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#8: Pricing &amp; Assortment as Signal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Consumer Products &amp; D2C</w:t>
      </w:r>
    </w:p>
    <w:p w:rsidR="00000000" w:rsidDel="00000000" w:rsidP="00000000" w:rsidRDefault="00000000" w:rsidRPr="00000000" w14:paraId="00000004">
      <w:pPr>
        <w:rPr/>
      </w:pPr>
      <w:r w:rsidDel="00000000" w:rsidR="00000000" w:rsidRPr="00000000">
        <w:rPr>
          <w:rtl w:val="0"/>
        </w:rPr>
        <w:t xml:space="preserve">Service: Strategy Consulting</w:t>
      </w:r>
    </w:p>
    <w:p w:rsidR="00000000" w:rsidDel="00000000" w:rsidP="00000000" w:rsidRDefault="00000000" w:rsidRPr="00000000" w14:paraId="00000005">
      <w:pPr>
        <w:rPr/>
      </w:pPr>
      <w:r w:rsidDel="00000000" w:rsidR="00000000" w:rsidRPr="00000000">
        <w:rPr>
          <w:rtl w:val="0"/>
        </w:rPr>
        <w:t xml:space="preserve">Stage: Pre-Series B (Scaling Phase)</w:t>
      </w:r>
    </w:p>
    <w:p w:rsidR="00000000" w:rsidDel="00000000" w:rsidP="00000000" w:rsidRDefault="00000000" w:rsidRPr="00000000" w14:paraId="00000006">
      <w:pPr>
        <w:rPr/>
      </w:pPr>
      <w:r w:rsidDel="00000000" w:rsidR="00000000" w:rsidRPr="00000000">
        <w:rPr>
          <w:rtl w:val="0"/>
        </w:rPr>
        <w:t xml:space="preserve">Region: India (redacted)</w:t>
      </w:r>
    </w:p>
    <w:p w:rsidR="00000000" w:rsidDel="00000000" w:rsidP="00000000" w:rsidRDefault="00000000" w:rsidRPr="00000000" w14:paraId="00000007">
      <w:pPr>
        <w:rPr/>
      </w:pPr>
      <w:r w:rsidDel="00000000" w:rsidR="00000000" w:rsidRPr="00000000">
        <w:rPr>
          <w:rtl w:val="0"/>
        </w:rPr>
        <w:t xml:space="preserve">Mandate: Quarterly Strategy Sprint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D2C brand had achieved steady growth online, but profitability remained elusive. Their catalog was bloated with SKUs that diluted focus, and pricing was inconsistent. Discounting had become habitual, eroding brand value. Investors flagged weak unit economics, and customers were confused about whether the brand stood for quality or affordability.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“We were selling everything to everyone — and in the process, signaling nothing.”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a sharper strategy, the brand risked being commoditized.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Pricing confusion undermined investor trust in sustainability.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bloated assortment created operational inefficiency and wasted working capital.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implemented a Signal-Driven Strategy Sprint with focus on precision: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Signal Diagnostic: Identified which SKUs actually transmitted brand strength vs. noise.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Pricing Signal Reset: Anchored prices to brand inevitability, not competitor discounts.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Assortment Rationalization: Cut 40% of underperforming SKUs and doubled down on hero products.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Narrative Reframe: Communicated the reset to customers and investors as “curated, inevitable brand expansion.”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SKU Reduction: -40% with improved margins.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Gross Margin: Increased by 22%.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Customer Perception: NPS improved by 18 points after pricing reset.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Investor Outcome: Secured stronger Series B interest due to tightened strategy.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Outcome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company transitioned from a “discount-heavy, noisy brand” to a lean, premium challenger. Pricing and assortment became inevitability signals that convinced both customers and investors.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Founder Voice (Redacted)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“We thought more products meant more growth. Instaura showed us that clarity — in pricing and assortment — was the real growth signal.”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Related Resources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#1: Pricing as Signal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Paper #6: Why More SKUs Kill Growth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Clarity Series #15: Why Strategy Isn’t About Doing More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Final CTA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Clarity → Movement.</w:t>
      </w:r>
    </w:p>
    <w:p w:rsidR="00000000" w:rsidDel="00000000" w:rsidP="00000000" w:rsidRDefault="00000000" w:rsidRPr="00000000" w14:paraId="00000062">
      <w:pPr>
        <w:rPr/>
      </w:pPr>
      <w:r w:rsidDel="00000000" w:rsidR="00000000" w:rsidRPr="00000000">
        <w:rPr>
          <w:rtl w:val="0"/>
        </w:rPr>
        <w:t xml:space="preserve">Your pricing and assortment aren’t operational decisions. They’re signals. Architect them with precision.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[Talk to 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[Book a Signal Call]</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