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#9: Clinical Proof to Market Belief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Healthcare &amp; Pharma</w:t>
      </w:r>
    </w:p>
    <w:p w:rsidR="00000000" w:rsidDel="00000000" w:rsidP="00000000" w:rsidRDefault="00000000" w:rsidRPr="00000000" w14:paraId="00000004">
      <w:pPr>
        <w:rPr/>
      </w:pPr>
      <w:r w:rsidDel="00000000" w:rsidR="00000000" w:rsidRPr="00000000">
        <w:rPr>
          <w:rtl w:val="0"/>
        </w:rPr>
        <w:t xml:space="preserve">Service: Signal Architecture</w:t>
      </w:r>
    </w:p>
    <w:p w:rsidR="00000000" w:rsidDel="00000000" w:rsidP="00000000" w:rsidRDefault="00000000" w:rsidRPr="00000000" w14:paraId="00000005">
      <w:pPr>
        <w:rPr/>
      </w:pPr>
      <w:r w:rsidDel="00000000" w:rsidR="00000000" w:rsidRPr="00000000">
        <w:rPr>
          <w:rtl w:val="0"/>
        </w:rPr>
        <w:t xml:space="preserve">Stage: Pre-Series A (Clinical Validation Stage)</w:t>
      </w:r>
    </w:p>
    <w:p w:rsidR="00000000" w:rsidDel="00000000" w:rsidP="00000000" w:rsidRDefault="00000000" w:rsidRPr="00000000" w14:paraId="00000006">
      <w:pPr>
        <w:rPr/>
      </w:pPr>
      <w:r w:rsidDel="00000000" w:rsidR="00000000" w:rsidRPr="00000000">
        <w:rPr>
          <w:rtl w:val="0"/>
        </w:rPr>
        <w:t xml:space="preserve">Region: India (redacted)</w:t>
      </w:r>
    </w:p>
    <w:p w:rsidR="00000000" w:rsidDel="00000000" w:rsidP="00000000" w:rsidRDefault="00000000" w:rsidRPr="00000000" w14:paraId="00000007">
      <w:pPr>
        <w:rPr/>
      </w:pPr>
      <w:r w:rsidDel="00000000" w:rsidR="00000000" w:rsidRPr="00000000">
        <w:rPr>
          <w:rtl w:val="0"/>
        </w:rPr>
        <w:t xml:space="preserve">Ticket Size: N/A (architecture mandate, not raise)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healthcare startup developing a digital diagnostics platform had achieved promising clinical trial results. Yet, when approaching investors and hospitals, their story fell flat. Doctors perceived them as “experimental,” investors saw them as “too early,” and customers remained unconvinced of reliability.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founder admitted: “We had the proof — but the market didn’t believe.”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It Mattered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Without strong signal translation, the clinical trial proof risked being ignored.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Investor confidence was weak; no one wanted to be the first mover.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Hospitals delayed adoption, citing “more validation required.”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Approach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re-architected the Signal Framework for credibility and inevitability: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Diagnostic: Identified the missing link between trial proof and market believability.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Narrative Core: Reframed the company from “experimental tech” → “inevitable clinical partner.”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Proof Signal Design: Built artifacts (trial highlights, medical endorsements, regulatory milestones) that carried weight.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Market Calibration: Crafted investor and hospital decks showcasing inevitability through evidence-first positioning.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Metrics Dashboard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Investor Interest: 2 LOIs within 60 days, after 9 months of rejection.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Hospital Pilots: 3 major hospital groups onboarded.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Perception Shift: From “too early” → “clinical inevitability.”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Outcome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By translating clinical proof into market belief, the startup broke through the credibility ceiling. Adoption accelerated, and investor momentum shifted positively.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Founder Voice (Redacted)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&gt; “We had the science. What we didn’t have was the signal. Instaura bridged that gap — suddenly, our proof became market belief.”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Related Resources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White Paper #4: Why Proof Without Signal Leaks Value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White Paper #11: Signal Gravity in Strategy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Clarity Series #9: Why Clinical Validation Alone Isn’t Enough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Final CTA Block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Clarity → Movement.</w:t>
      </w:r>
    </w:p>
    <w:p w:rsidR="00000000" w:rsidDel="00000000" w:rsidP="00000000" w:rsidRDefault="00000000" w:rsidRPr="00000000" w14:paraId="00000060">
      <w:pPr>
        <w:rPr/>
      </w:pPr>
      <w:r w:rsidDel="00000000" w:rsidR="00000000" w:rsidRPr="00000000">
        <w:rPr>
          <w:rtl w:val="0"/>
        </w:rPr>
        <w:t xml:space="preserve">Your proof may exist, but the market only moves when proof becomes signal. Architect it.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[Talk to Yas]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[Book a Signal Call]</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