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#19: Why VC Deal Flow Depends on Signal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VCs don’t miss great deals because they lack capital — they miss them because they lack signal.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Venture Capital • Deal Flow • Signal Strategy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15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Why VC Deal Flow Depends on Signal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VCs don’t hunt deals. Deals flow to the VCs with the strongest signals.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Every VC claims they have “great deal flow.” But deal flow is not random luck. It is the direct outcome of the signals they transmit to the market.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Founders don’t approach every fund. They approach funds whose signals encode belief, inevitability, and conviction. This paper unpacks how signal creates or destroys VC deal flow.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VC deal flow is a mirror — it reflects the signal a fund broadcasts.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Weak signals (slow decisions, unclear theses, passive presence) repel top founders.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Confused signals (investing in everything, chasing trends) attract noise, not quality.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Strong signals (clear conviction, decisive moves, founder-first brand) magnetize inevitability.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thesis: VCs don’t compete for deals. They compete for signal.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Why some VCs lose deal flow: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Their market signal is invisible — no one knows what they stand for.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They project hesitation, which founders decode as doubt.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They underinvest in founder trust, leaking credibility.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cost: not missing a company, but missing the next inevitability.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Signal Framework: VC Deal Flow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Conviction Signal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market must see the fund backing inevitability, not chasing trends.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Clarity Signal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thesis must be clear enough for founders to self-select.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Velocity Signal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Decisive moves attract founders tired of slow, diluted VCs.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Belief Signal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Founders look at who else you backed. Your portfolio is your signal broadcast.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Fund A: Thesis too vague (“we back great founders”). Signal was noise. Missed 2 unicorns.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Fund B: Built strong conviction around frontier AI → every AI founder pitched them first.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Fund C: Known for slow ICs and consensus-driven hesitation. Top founders bypassed → stuck with noisy deals.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Is your thesis a magnet or wallpaper?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founders believe you act with conviction?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Is your portfolio transmitting inevitability, or randomness?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Does the market repeat your name when inevitability is discussed?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Funds with clear theses received 4x more inbound from quality founders.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Founder trust correlated directly with 2.5x better win rates on competitive rounds.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Signal-strong funds reported 30% faster access to frontier deals.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&gt; “We pitched the funds whose signals were clear. The rest? They didn’t even cross our radar.”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Deal flow isn’t luck. It’s architecture. Funds that master signal clarity, conviction, and velocity don’t chase founders — founders chase them.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Clarity Series #19: Why VCs Struggle with Deal Flow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White Paper #20: Capital as Signal, Not Commodity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Case Study: Frontier AI Fund That Became a Magnet for Founders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Deal flow isn’t given. It’s earned with signal.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