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About → Vision – Hiasmine Personal Site (Developer/DevOps Brief)</w:t>
      </w:r>
    </w:p>
    <w:p>
      <w:r>
        <w:t>My vision for life is simple, but not small. It is rooted in the lessons of my past, the strength of my present, and the hope I carry for the future.</w:t>
        <w:br/>
        <w:br/>
        <w:t>I dream of raising my three sons to be men of integrity — men who value truth, family, compassion, and service to others. If I can pass on to them even a fraction of the resilience and discipline my grandmother gave me, I will consider that my greatest achievement.</w:t>
        <w:br/>
        <w:br/>
        <w:t>I want our home to be a place of warmth and balance, where love is felt in the everyday — in meals shared, in laughter, and even in the struggles we overcome together.</w:t>
        <w:br/>
        <w:br/>
        <w:t>Beyond family, my vision is to continue creating meaning in the work I do with Gaurav at Instaura. I want to help others grow, to be part of building things that matter, and to prove that women — mothers — can thrive in spaces once considered out of reach.</w:t>
        <w:br/>
        <w:br/>
        <w:t>I see a future where I live peacefully, contributing in my own way to a more harmonious world. A future where my family is strong, my children are grounded, and my life has been one of quiet but undeniable impact.</w:t>
        <w:br/>
        <w:br/>
        <w:t>For me, success will never be about titles or wealth. It will be about balance — between family and work, between giving and receiving, between striving and simply being. That is the life I envision, and the path I choose every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