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F1E2A"/>
          <w:sz w:val="32"/>
        </w:rPr>
        <w:t>Case Study: Defense Robotics – Structured Market Entry into Southeast Asia</w:t>
      </w:r>
    </w:p>
    <w:p>
      <w:r>
        <w:rPr>
          <w:b/>
          <w:color w:val="CF1E2A"/>
          <w:sz w:val="24"/>
        </w:rPr>
        <w:br/>
        <w:t>🎯 Engagement Type</w:t>
        <w:br/>
      </w:r>
    </w:p>
    <w:p>
      <w:pPr>
        <w:spacing w:after="200"/>
      </w:pPr>
      <w:r>
        <w:rPr>
          <w:color w:val="000000"/>
          <w:sz w:val="22"/>
        </w:rPr>
        <w:t>Full Execution – New Market Entry Mandate (18 months)</w:t>
        <w:br/>
        <w:t>🛡️ Sector: Defense Robotics | 📍 Region: Southeast Asia</w:t>
      </w:r>
    </w:p>
    <w:p>
      <w:r>
        <w:rPr>
          <w:b/>
          <w:color w:val="CF1E2A"/>
          <w:sz w:val="24"/>
        </w:rPr>
        <w:br/>
        <w:t>The Challenge</w:t>
        <w:br/>
      </w:r>
    </w:p>
    <w:p>
      <w:pPr>
        <w:spacing w:after="200"/>
      </w:pPr>
      <w:r>
        <w:rPr>
          <w:color w:val="000000"/>
          <w:sz w:val="22"/>
        </w:rPr>
        <w:t>A deep-tech defense robotics company with a highly specialized UAV platform for reconnaissance and intelligence missions sought to expand into Southeast Asia — a region with rising defense modernization budgets but notoriously complex procurement ecosystems.</w:t>
        <w:br/>
        <w:br/>
        <w:t>They had:</w:t>
        <w:br/>
        <w:t>- Zero in-region presence or licensing</w:t>
        <w:br/>
        <w:t>- No access to procurement stakeholders or defense attachés</w:t>
        <w:br/>
        <w:t>- A sales process stalled by misaligned messaging and bureaucratic friction</w:t>
      </w:r>
    </w:p>
    <w:p>
      <w:r>
        <w:rPr>
          <w:b/>
          <w:color w:val="CF1E2A"/>
          <w:sz w:val="24"/>
        </w:rPr>
        <w:br/>
        <w:t>What We Did</w:t>
        <w:br/>
      </w:r>
    </w:p>
    <w:p>
      <w:pPr>
        <w:spacing w:after="200"/>
      </w:pPr>
      <w:r>
        <w:rPr>
          <w:color w:val="000000"/>
          <w:sz w:val="22"/>
        </w:rPr>
        <w:t>Instaura was retained under an 18-month New Market Development Mandate with a clear goal: activate the market, unlock the first contract, and build a repeatable pathway for institutional sales.</w:t>
        <w:br/>
        <w:br/>
        <w:t>Our approach included:</w:t>
        <w:br/>
        <w:t>- Designing the Market Signal Architecture: Repositioning the UAV platform around regional defense priorities (coastal surveillance, counter-infiltration, unmanned force multipliers)</w:t>
        <w:br/>
        <w:t>- Building the Entry Funnel: Identifying key defense ministries, internal R&amp;D divisions, and partner-viable distributors</w:t>
        <w:br/>
        <w:t>- Facilitating On-ground Access: Engaged trusted local advisors to build cultural, regulatory, and technical alignment</w:t>
        <w:br/>
        <w:t>- Structuring a Pilot-to-Contract Conversion Model: Created a low-risk pathway for product evaluation and deal escalation</w:t>
        <w:br/>
        <w:t>- Running Sales Ops until market handover: Full-cycle management of pipeline, buyer mapping, and contracting</w:t>
      </w:r>
    </w:p>
    <w:p>
      <w:r>
        <w:rPr>
          <w:b/>
          <w:color w:val="CF1E2A"/>
          <w:sz w:val="24"/>
        </w:rPr>
        <w:br/>
        <w:t>Outcome</w:t>
        <w:br/>
      </w:r>
    </w:p>
    <w:p>
      <w:pPr>
        <w:spacing w:after="200"/>
      </w:pPr>
      <w:r>
        <w:rPr>
          <w:color w:val="000000"/>
          <w:sz w:val="22"/>
        </w:rPr>
        <w:t>📍 First 6 Months:</w:t>
        <w:br/>
        <w:t>- Secured the first contract with a Southeast Asian government entity, focused on field-testing and platform deployment</w:t>
        <w:br/>
        <w:t>- Total value of first deal: ~$4.2M, including integration and training modules</w:t>
        <w:br/>
        <w:t>- Created internal momentum within buyer ecosystem leading to renewed interest across departments</w:t>
        <w:br/>
        <w:br/>
        <w:t>🔁 Over 18 Months:</w:t>
        <w:br/>
        <w:t>- Delivered 3 defense contracts totaling $13M</w:t>
        <w:br/>
        <w:t>- Established a local strategic partner for long-term delivery and compliance</w:t>
        <w:br/>
        <w:t>- The client now operates with a repeatable, signal-based sales funnel across the region</w:t>
      </w:r>
    </w:p>
    <w:p>
      <w:r>
        <w:rPr>
          <w:b/>
          <w:color w:val="CF1E2A"/>
          <w:sz w:val="24"/>
        </w:rPr>
        <w:br/>
        <w:t>Why It Matters</w:t>
        <w:br/>
      </w:r>
    </w:p>
    <w:p>
      <w:pPr>
        <w:spacing w:after="200"/>
      </w:pPr>
      <w:r>
        <w:rPr>
          <w:color w:val="000000"/>
          <w:sz w:val="22"/>
        </w:rPr>
        <w:t>Entering a foreign defense market isn’t about having the best product — it’s about understanding how trust, protocol, and perception drive decisions.</w:t>
        <w:br/>
        <w:br/>
        <w:t>This case demonstrates how a structured, signal-first strategy can break institutional inertia, convert pilots into real contracts, and build lasting commercial presence in one of the most complex sectors on earth.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