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F1E2A"/>
          <w:sz w:val="32"/>
        </w:rPr>
        <w:t>Case Study: Health Tech – GTM-to-Contracts Mandate in Southeast Asia</w:t>
      </w:r>
    </w:p>
    <w:p>
      <w:r>
        <w:rPr>
          <w:b/>
          <w:color w:val="CF1E2A"/>
          <w:sz w:val="24"/>
        </w:rPr>
        <w:br/>
        <w:t>🎯 Engagement Type</w:t>
        <w:br/>
      </w:r>
    </w:p>
    <w:p>
      <w:pPr>
        <w:spacing w:after="200"/>
      </w:pPr>
      <w:r>
        <w:rPr>
          <w:color w:val="000000"/>
          <w:sz w:val="22"/>
        </w:rPr>
        <w:t>Full Execution – Market Activation &amp; Commercial Conversion Mandate (18 months)</w:t>
        <w:br/>
        <w:t>🏥 Sector: Health Tech | 📍 Region: Southeast Asia</w:t>
      </w:r>
    </w:p>
    <w:p>
      <w:r>
        <w:rPr>
          <w:b/>
          <w:color w:val="CF1E2A"/>
          <w:sz w:val="24"/>
        </w:rPr>
        <w:br/>
        <w:t>The Challenge</w:t>
        <w:br/>
      </w:r>
    </w:p>
    <w:p>
      <w:pPr>
        <w:spacing w:after="200"/>
      </w:pPr>
      <w:r>
        <w:rPr>
          <w:color w:val="000000"/>
          <w:sz w:val="22"/>
        </w:rPr>
        <w:t>A health-tech company had developed a high-performance signal compression system originally used in aerospace, now adapted for medical imaging and telehealth infrastructure. The system significantly improved real-time diagnostic transmission, especially in regions with low network reliability.</w:t>
        <w:br/>
        <w:br/>
        <w:t>However, they struggled to:</w:t>
        <w:br/>
        <w:t>- Articulate a credible positioning to clinical and non-clinical decision-makers</w:t>
        <w:br/>
        <w:t>- Gain access to private hospital chains and telemedicine buyers</w:t>
        <w:br/>
        <w:t>- Convert trials into structured commercial contracts across new geographies</w:t>
      </w:r>
    </w:p>
    <w:p>
      <w:r>
        <w:rPr>
          <w:b/>
          <w:color w:val="CF1E2A"/>
          <w:sz w:val="24"/>
        </w:rPr>
        <w:br/>
        <w:t>What We Did</w:t>
        <w:br/>
      </w:r>
    </w:p>
    <w:p>
      <w:pPr>
        <w:spacing w:after="200"/>
      </w:pPr>
      <w:r>
        <w:rPr>
          <w:color w:val="000000"/>
          <w:sz w:val="22"/>
        </w:rPr>
        <w:t>Instaura was engaged on an 18-month commercial execution mandate to lead market entry, secure early adopters, and convert traction into revenue.</w:t>
        <w:br/>
        <w:br/>
        <w:t>Key actions included:</w:t>
        <w:br/>
        <w:t>- Designing the Signal Stack to frame the solution around clinical efficiency, diagnostic precision, and operating cost reductions</w:t>
        <w:br/>
        <w:t>- Building segmented GTMs for private hospital chains, cross-border diagnostics groups, and public innovation pilots</w:t>
        <w:br/>
        <w:t>- Engaging local advisors, clinical validators, and medtech sales teams in key Southeast Asian countries</w:t>
        <w:br/>
        <w:t>- Structuring low-friction pilot programs with clear commercial pathways and internal champion buy-in</w:t>
        <w:br/>
        <w:t>- Owning all buyer-side conversations — including pitch narratives, contracting, and partner onboarding</w:t>
      </w:r>
    </w:p>
    <w:p>
      <w:r>
        <w:rPr>
          <w:b/>
          <w:color w:val="CF1E2A"/>
          <w:sz w:val="24"/>
        </w:rPr>
        <w:br/>
        <w:t>Outcome</w:t>
        <w:br/>
      </w:r>
    </w:p>
    <w:p>
      <w:pPr>
        <w:spacing w:after="200"/>
      </w:pPr>
      <w:r>
        <w:rPr>
          <w:color w:val="000000"/>
          <w:sz w:val="22"/>
        </w:rPr>
        <w:t>📍 First 6 Months:</w:t>
        <w:br/>
        <w:t>- Launched a pilot with a private diagnostics provider</w:t>
        <w:br/>
        <w:t>- Secured a $130K paid integration contract</w:t>
        <w:br/>
        <w:t>- Opened referral access to two regional hospital groups</w:t>
        <w:br/>
        <w:br/>
        <w:t>🔁 Over 18 Months:</w:t>
        <w:br/>
        <w:t>- Closed 3 commercial contracts across private hospitals and cross-border telemedicine networks</w:t>
        <w:br/>
        <w:t>- Total commercial value delivered: $7.4M</w:t>
        <w:br/>
        <w:t>- Supported entry into a government-linked innovation board for future public tenders</w:t>
        <w:br/>
        <w:t>- The company now operates with a localized GTM, channel-led sales model, and in-region revenue operations</w:t>
      </w:r>
    </w:p>
    <w:p>
      <w:r>
        <w:rPr>
          <w:b/>
          <w:color w:val="CF1E2A"/>
          <w:sz w:val="24"/>
        </w:rPr>
        <w:br/>
        <w:t>Why It Matters</w:t>
        <w:br/>
      </w:r>
    </w:p>
    <w:p>
      <w:pPr>
        <w:spacing w:after="200"/>
      </w:pPr>
      <w:r>
        <w:rPr>
          <w:color w:val="000000"/>
          <w:sz w:val="22"/>
        </w:rPr>
        <w:t>Even powerful clinical technology cannot scale without the right signal, structure, and sales orchestration.</w:t>
        <w:br/>
        <w:br/>
        <w:t>This case shows how founder vision, backed by execution rigor, can transform a deep-tech product into a regionally adopted healthcare solution — with measurable commercial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