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CABDD" w14:textId="77777777" w:rsidR="00AB167A" w:rsidRDefault="00A22B1A">
      <w:pPr>
        <w:pStyle w:val="Heading1"/>
      </w:pPr>
      <w:r>
        <w:rPr>
          <w:rFonts w:ascii="Segoe UI" w:hAnsi="Segoe UI"/>
          <w:color w:val="990000"/>
          <w:sz w:val="36"/>
        </w:rPr>
        <w:t>Case Study: Hyperlocal Food Delivery App</w:t>
      </w:r>
    </w:p>
    <w:p w14:paraId="385A2609" w14:textId="77777777" w:rsidR="00AB167A" w:rsidRDefault="00A22B1A">
      <w:pPr>
        <w:pStyle w:val="Heading2"/>
      </w:pPr>
      <w:r>
        <w:rPr>
          <w:rFonts w:ascii="Segoe UI" w:hAnsi="Segoe UI"/>
          <w:color w:val="990000"/>
          <w:sz w:val="24"/>
        </w:rPr>
        <w:t>Context</w:t>
      </w:r>
    </w:p>
    <w:p w14:paraId="7571FE8F" w14:textId="77777777" w:rsidR="00AB167A" w:rsidRDefault="00A22B1A">
      <w:r>
        <w:rPr>
          <w:rFonts w:ascii="Segoe UI" w:hAnsi="Segoe UI"/>
        </w:rPr>
        <w:t xml:space="preserve">A founder-led food delivery venture was preparing to launch in Mumbai — one of the most competitive markets in India. With deeply entrenched incumbents, limited capital, and zero brand recall, the path to </w:t>
      </w:r>
      <w:r>
        <w:rPr>
          <w:rFonts w:ascii="Segoe UI" w:hAnsi="Segoe UI"/>
        </w:rPr>
        <w:t>visibility and retention was unclear. Instaura was brought in to design a GTM strategy that could create traction in this high-noise market.</w:t>
      </w:r>
    </w:p>
    <w:p w14:paraId="313FA53E" w14:textId="77777777" w:rsidR="00AB167A" w:rsidRDefault="00A22B1A">
      <w:pPr>
        <w:pStyle w:val="Heading2"/>
      </w:pPr>
      <w:r>
        <w:rPr>
          <w:rFonts w:ascii="Segoe UI" w:hAnsi="Segoe UI"/>
          <w:color w:val="990000"/>
          <w:sz w:val="24"/>
        </w:rPr>
        <w:t>Challenges</w:t>
      </w:r>
    </w:p>
    <w:p w14:paraId="71B30793" w14:textId="77777777" w:rsidR="00AB167A" w:rsidRDefault="00A22B1A">
      <w:r>
        <w:rPr>
          <w:rFonts w:ascii="Segoe UI" w:hAnsi="Segoe UI"/>
        </w:rPr>
        <w:t>- Saturated market with dominant national players</w:t>
      </w:r>
      <w:r>
        <w:rPr>
          <w:rFonts w:ascii="Segoe UI" w:hAnsi="Segoe UI"/>
        </w:rPr>
        <w:br/>
        <w:t>- No unique positioning or GTM edge</w:t>
      </w:r>
      <w:r>
        <w:rPr>
          <w:rFonts w:ascii="Segoe UI" w:hAnsi="Segoe UI"/>
        </w:rPr>
        <w:br/>
        <w:t>- Needed rapid traction in critical micro-pockets of the city</w:t>
      </w:r>
      <w:r>
        <w:rPr>
          <w:rFonts w:ascii="Segoe UI" w:hAnsi="Segoe UI"/>
        </w:rPr>
        <w:br/>
        <w:t>- Low margins demanded fast CAC recovery</w:t>
      </w:r>
    </w:p>
    <w:p w14:paraId="7C367A40" w14:textId="77777777" w:rsidR="00AB167A" w:rsidRDefault="00A22B1A">
      <w:pPr>
        <w:pStyle w:val="Heading2"/>
      </w:pPr>
      <w:r>
        <w:rPr>
          <w:rFonts w:ascii="Segoe UI" w:hAnsi="Segoe UI"/>
          <w:color w:val="990000"/>
          <w:sz w:val="24"/>
        </w:rPr>
        <w:t>Instaura’s Strategic Design</w:t>
      </w:r>
    </w:p>
    <w:p w14:paraId="50FCE003" w14:textId="77777777" w:rsidR="00AB167A" w:rsidRDefault="00A22B1A">
      <w:r>
        <w:rPr>
          <w:rFonts w:ascii="Segoe UI" w:hAnsi="Segoe UI"/>
        </w:rPr>
        <w:t>🔴</w:t>
      </w:r>
      <w:r>
        <w:rPr>
          <w:rFonts w:ascii="Segoe UI" w:hAnsi="Segoe UI"/>
        </w:rPr>
        <w:t xml:space="preserve"> Signal Architecture</w:t>
      </w:r>
    </w:p>
    <w:p w14:paraId="102AA930" w14:textId="77777777" w:rsidR="00AB167A" w:rsidRDefault="00A22B1A">
      <w:r>
        <w:rPr>
          <w:rFonts w:ascii="Segoe UI" w:hAnsi="Segoe UI"/>
        </w:rPr>
        <w:t>- Positioned the venture as a hyperlocal, tightly-controlled delivery network focused on trust and timeliness</w:t>
      </w:r>
      <w:r>
        <w:rPr>
          <w:rFonts w:ascii="Segoe UI" w:hAnsi="Segoe UI"/>
        </w:rPr>
        <w:br/>
        <w:t>- Built key signal layers: “Only Local Kitchens”, “Only Known Vendors”, “Only On-Time Deliveries”</w:t>
      </w:r>
      <w:r>
        <w:rPr>
          <w:rFonts w:ascii="Segoe UI" w:hAnsi="Segoe UI"/>
        </w:rPr>
        <w:br/>
        <w:t>- Structured the identity as Mumbai-native — not a generic food app</w:t>
      </w:r>
    </w:p>
    <w:p w14:paraId="4FA93E99" w14:textId="77777777" w:rsidR="00AB167A" w:rsidRDefault="00A22B1A">
      <w:r>
        <w:rPr>
          <w:rFonts w:ascii="Segoe UI" w:hAnsi="Segoe UI"/>
        </w:rPr>
        <w:t>🟠</w:t>
      </w:r>
      <w:r>
        <w:rPr>
          <w:rFonts w:ascii="Segoe UI" w:hAnsi="Segoe UI"/>
        </w:rPr>
        <w:t xml:space="preserve"> GTM Design Blueprint</w:t>
      </w:r>
    </w:p>
    <w:p w14:paraId="2AD35B36" w14:textId="77777777" w:rsidR="00AB167A" w:rsidRDefault="00A22B1A">
      <w:r>
        <w:rPr>
          <w:rFonts w:ascii="Segoe UI" w:hAnsi="Segoe UI"/>
        </w:rPr>
        <w:t>- Designed a Zone Conquest Model — full density in high-value pin codes before expanding</w:t>
      </w:r>
      <w:r>
        <w:rPr>
          <w:rFonts w:ascii="Segoe UI" w:hAnsi="Segoe UI"/>
        </w:rPr>
        <w:br/>
        <w:t>- Created a Vendor Cohort Strategy with fixed SLAs, unified packaging, and shared logistics</w:t>
      </w:r>
      <w:r>
        <w:rPr>
          <w:rFonts w:ascii="Segoe UI" w:hAnsi="Segoe UI"/>
        </w:rPr>
        <w:br/>
        <w:t>- Proposed Workplace Referral Loops to build concentrated virality in offices and tech parks</w:t>
      </w:r>
      <w:r>
        <w:rPr>
          <w:rFonts w:ascii="Segoe UI" w:hAnsi="Segoe UI"/>
        </w:rPr>
        <w:br/>
        <w:t>- Introduced Delivery Captain Protocols — each delivery experience was a live brand signal</w:t>
      </w:r>
      <w:r>
        <w:rPr>
          <w:rFonts w:ascii="Segoe UI" w:hAnsi="Segoe UI"/>
        </w:rPr>
        <w:br/>
        <w:t>- Engineered First-14-Day Habit Formation mechanisms: pinned schedules, smart reorders, and localized nudges</w:t>
      </w:r>
    </w:p>
    <w:p w14:paraId="095EE21D" w14:textId="77777777" w:rsidR="00AB167A" w:rsidRDefault="00A22B1A">
      <w:pPr>
        <w:pStyle w:val="Heading2"/>
      </w:pPr>
      <w:r>
        <w:rPr>
          <w:rFonts w:ascii="Segoe UI" w:hAnsi="Segoe UI"/>
          <w:color w:val="990000"/>
          <w:sz w:val="24"/>
        </w:rPr>
        <w:t>Market Response</w:t>
      </w:r>
    </w:p>
    <w:p w14:paraId="18152E8E" w14:textId="77777777" w:rsidR="00AB167A" w:rsidRDefault="00A22B1A">
      <w:r>
        <w:rPr>
          <w:rFonts w:ascii="Segoe UI" w:hAnsi="Segoe UI"/>
        </w:rPr>
        <w:t>Within the first 6 months:</w:t>
      </w:r>
      <w:r>
        <w:rPr>
          <w:rFonts w:ascii="Segoe UI" w:hAnsi="Segoe UI"/>
        </w:rPr>
        <w:br/>
        <w:t>- The startup achieved deep usage density in Mumbai’s most competitive delivery zones</w:t>
      </w:r>
      <w:r>
        <w:rPr>
          <w:rFonts w:ascii="Segoe UI" w:hAnsi="Segoe UI"/>
        </w:rPr>
        <w:br/>
      </w:r>
      <w:r>
        <w:rPr>
          <w:rFonts w:ascii="Segoe UI" w:hAnsi="Segoe UI"/>
        </w:rPr>
        <w:lastRenderedPageBreak/>
        <w:t>- Active users averaged 4.8 orders per week</w:t>
      </w:r>
      <w:r>
        <w:rPr>
          <w:rFonts w:ascii="Segoe UI" w:hAnsi="Segoe UI"/>
        </w:rPr>
        <w:br/>
        <w:t>- CAC dropped rapidly due to zip-code level repeat usage</w:t>
      </w:r>
      <w:r>
        <w:rPr>
          <w:rFonts w:ascii="Segoe UI" w:hAnsi="Segoe UI"/>
        </w:rPr>
        <w:br/>
        <w:t>- Word spread — including to national incumbents</w:t>
      </w:r>
    </w:p>
    <w:p w14:paraId="7FA7C404" w14:textId="77777777" w:rsidR="00AB167A" w:rsidRDefault="00A22B1A">
      <w:pPr>
        <w:pStyle w:val="Heading2"/>
      </w:pPr>
      <w:r>
        <w:rPr>
          <w:rFonts w:ascii="Segoe UI" w:hAnsi="Segoe UI"/>
          <w:color w:val="990000"/>
          <w:sz w:val="24"/>
        </w:rPr>
        <w:t>Strategic Offer &amp; Outcome</w:t>
      </w:r>
    </w:p>
    <w:p w14:paraId="6217C3C3" w14:textId="77777777" w:rsidR="00AB167A" w:rsidRDefault="00A22B1A">
      <w:r>
        <w:rPr>
          <w:rFonts w:ascii="Segoe UI" w:hAnsi="Segoe UI"/>
        </w:rPr>
        <w:t>A leading food delivery major, recognizing the strategic threat, issued a $10M acqui-hire offer for the team — a move to absorb the execution muscle behind the playbook.</w:t>
      </w:r>
      <w:r>
        <w:rPr>
          <w:rFonts w:ascii="Segoe UI" w:hAnsi="Segoe UI"/>
        </w:rPr>
        <w:br/>
      </w:r>
      <w:r>
        <w:rPr>
          <w:rFonts w:ascii="Segoe UI" w:hAnsi="Segoe UI"/>
        </w:rPr>
        <w:br/>
        <w:t>Instaura advised a strategic exit at this point. The GTM had delivered its signal. Timing was optimal.</w:t>
      </w:r>
      <w:r>
        <w:rPr>
          <w:rFonts w:ascii="Segoe UI" w:hAnsi="Segoe UI"/>
        </w:rPr>
        <w:br/>
      </w:r>
      <w:r>
        <w:rPr>
          <w:rFonts w:ascii="Segoe UI" w:hAnsi="Segoe UI"/>
        </w:rPr>
        <w:br/>
        <w:t>The founder declined.</w:t>
      </w:r>
      <w:r>
        <w:rPr>
          <w:rFonts w:ascii="Segoe UI" w:hAnsi="Segoe UI"/>
        </w:rPr>
        <w:br/>
      </w:r>
      <w:r>
        <w:rPr>
          <w:rFonts w:ascii="Segoe UI" w:hAnsi="Segoe UI"/>
        </w:rPr>
        <w:br/>
        <w:t>Months later, the acquirer was absorbed by a larger competitor. The pathway to that exit closed. The startup struggled to expand beyond Mumbai, eventually selling to the merged entity at a $2M valuation.</w:t>
      </w:r>
    </w:p>
    <w:p w14:paraId="44BE08D9" w14:textId="77777777" w:rsidR="00AB167A" w:rsidRDefault="00A22B1A">
      <w:pPr>
        <w:pStyle w:val="Heading2"/>
      </w:pPr>
      <w:r>
        <w:rPr>
          <w:rFonts w:ascii="Segoe UI" w:hAnsi="Segoe UI"/>
          <w:color w:val="990000"/>
          <w:sz w:val="24"/>
        </w:rPr>
        <w:t>Lesson</w:t>
      </w:r>
    </w:p>
    <w:p w14:paraId="49665415" w14:textId="77777777" w:rsidR="00AB167A" w:rsidRDefault="00A22B1A">
      <w:r>
        <w:rPr>
          <w:rFonts w:ascii="Segoe UI" w:hAnsi="Segoe UI"/>
        </w:rPr>
        <w:t>A well-designed GTM can unlock velocity, density, and market attention. But the value it creates must be timed with clear strategic judgement.</w:t>
      </w:r>
      <w:r>
        <w:rPr>
          <w:rFonts w:ascii="Segoe UI" w:hAnsi="Segoe UI"/>
        </w:rPr>
        <w:br/>
      </w:r>
      <w:r>
        <w:rPr>
          <w:rFonts w:ascii="Segoe UI" w:hAnsi="Segoe UI"/>
        </w:rPr>
        <w:br/>
        <w:t>Our advice was precise. The window was real. The outcome followed.</w:t>
      </w:r>
    </w:p>
    <w:sectPr w:rsidR="00AB167A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6E553" w14:textId="77777777" w:rsidR="00F44E0E" w:rsidRDefault="00F44E0E" w:rsidP="00F44E0E">
      <w:pPr>
        <w:spacing w:after="0" w:line="240" w:lineRule="auto"/>
      </w:pPr>
      <w:r>
        <w:separator/>
      </w:r>
    </w:p>
  </w:endnote>
  <w:endnote w:type="continuationSeparator" w:id="0">
    <w:p w14:paraId="5DDB4A99" w14:textId="77777777" w:rsidR="00F44E0E" w:rsidRDefault="00F44E0E" w:rsidP="00F44E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3492D" w14:textId="77777777" w:rsidR="00F44E0E" w:rsidRDefault="00F44E0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C8F44" w14:textId="77777777" w:rsidR="00F44E0E" w:rsidRDefault="00F44E0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98294" w14:textId="77777777" w:rsidR="00F44E0E" w:rsidRDefault="00F44E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0C509" w14:textId="77777777" w:rsidR="00F44E0E" w:rsidRDefault="00F44E0E" w:rsidP="00F44E0E">
      <w:pPr>
        <w:spacing w:after="0" w:line="240" w:lineRule="auto"/>
      </w:pPr>
      <w:r>
        <w:separator/>
      </w:r>
    </w:p>
  </w:footnote>
  <w:footnote w:type="continuationSeparator" w:id="0">
    <w:p w14:paraId="3A94D645" w14:textId="77777777" w:rsidR="00F44E0E" w:rsidRDefault="00F44E0E" w:rsidP="00F44E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B300E" w14:textId="77777777" w:rsidR="00F44E0E" w:rsidRDefault="00F44E0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EDCFB" w14:textId="0ECB813F" w:rsidR="00F44E0E" w:rsidRDefault="00F44E0E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029FD78" wp14:editId="1CA842FB">
          <wp:simplePos x="0" y="0"/>
          <wp:positionH relativeFrom="column">
            <wp:posOffset>-822960</wp:posOffset>
          </wp:positionH>
          <wp:positionV relativeFrom="paragraph">
            <wp:posOffset>-213995</wp:posOffset>
          </wp:positionV>
          <wp:extent cx="593725" cy="593725"/>
          <wp:effectExtent l="0" t="0" r="0" b="0"/>
          <wp:wrapTopAndBottom/>
          <wp:docPr id="32413049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4130496" name="Picture 32413049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flipH="1">
                    <a:off x="0" y="0"/>
                    <a:ext cx="593725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C2AC2" w14:textId="77777777" w:rsidR="00F44E0E" w:rsidRDefault="00F44E0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2915717">
    <w:abstractNumId w:val="8"/>
  </w:num>
  <w:num w:numId="2" w16cid:durableId="1794787597">
    <w:abstractNumId w:val="6"/>
  </w:num>
  <w:num w:numId="3" w16cid:durableId="1866671667">
    <w:abstractNumId w:val="5"/>
  </w:num>
  <w:num w:numId="4" w16cid:durableId="1054811166">
    <w:abstractNumId w:val="4"/>
  </w:num>
  <w:num w:numId="5" w16cid:durableId="1186167368">
    <w:abstractNumId w:val="7"/>
  </w:num>
  <w:num w:numId="6" w16cid:durableId="728530512">
    <w:abstractNumId w:val="3"/>
  </w:num>
  <w:num w:numId="7" w16cid:durableId="1883324831">
    <w:abstractNumId w:val="2"/>
  </w:num>
  <w:num w:numId="8" w16cid:durableId="4676639">
    <w:abstractNumId w:val="1"/>
  </w:num>
  <w:num w:numId="9" w16cid:durableId="939921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6A5E"/>
    <w:rsid w:val="0029639D"/>
    <w:rsid w:val="00326F90"/>
    <w:rsid w:val="004D3129"/>
    <w:rsid w:val="0082432A"/>
    <w:rsid w:val="00A22B1A"/>
    <w:rsid w:val="00AA1D8D"/>
    <w:rsid w:val="00AB167A"/>
    <w:rsid w:val="00B47730"/>
    <w:rsid w:val="00CB0664"/>
    <w:rsid w:val="00F44E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39CC2C"/>
  <w14:defaultImageDpi w14:val="300"/>
  <w15:docId w15:val="{E7F778EB-11E6-5B48-9541-E619104BF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footer" Target="footer3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header" Target="header3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oter" Target="footer2.xml" /><Relationship Id="rId5" Type="http://schemas.openxmlformats.org/officeDocument/2006/relationships/webSettings" Target="webSettings.xml" /><Relationship Id="rId15" Type="http://schemas.openxmlformats.org/officeDocument/2006/relationships/theme" Target="theme/theme1.xml" /><Relationship Id="rId10" Type="http://schemas.openxmlformats.org/officeDocument/2006/relationships/footer" Target="footer1.xml" /><Relationship Id="rId4" Type="http://schemas.openxmlformats.org/officeDocument/2006/relationships/settings" Target="settings.xml" /><Relationship Id="rId9" Type="http://schemas.openxmlformats.org/officeDocument/2006/relationships/header" Target="header2.xml" /><Relationship Id="rId14" Type="http://schemas.openxmlformats.org/officeDocument/2006/relationships/fontTable" Target="fontTable.xml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364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Gaurav Shah</cp:lastModifiedBy>
  <cp:revision>4</cp:revision>
  <dcterms:created xsi:type="dcterms:W3CDTF">2013-12-23T23:15:00Z</dcterms:created>
  <dcterms:modified xsi:type="dcterms:W3CDTF">2025-07-14T12:33:00Z</dcterms:modified>
  <cp:category/>
</cp:coreProperties>
</file>