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012B7" w14:textId="6808E167" w:rsidR="003955B6" w:rsidRDefault="003955B6">
      <w:pPr>
        <w:pStyle w:val="NormalWeb"/>
      </w:pPr>
    </w:p>
    <w:p w14:paraId="79FAE239" w14:textId="77777777" w:rsidR="003955B6" w:rsidRDefault="003955B6" w:rsidP="003955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 </w:t>
      </w:r>
      <w:r>
        <w:rPr>
          <w:rStyle w:val="Strong"/>
          <w:rFonts w:eastAsia="Times New Roman"/>
        </w:rPr>
        <w:t>step-by-step guide</w:t>
      </w:r>
      <w:r>
        <w:rPr>
          <w:rFonts w:eastAsia="Times New Roman"/>
        </w:rPr>
        <w:t xml:space="preserve"> for </w:t>
      </w:r>
      <w:proofErr w:type="spellStart"/>
      <w:r>
        <w:rPr>
          <w:rFonts w:eastAsia="Times New Roman"/>
        </w:rPr>
        <w:t>Yas</w:t>
      </w:r>
      <w:proofErr w:type="spellEnd"/>
      <w:r>
        <w:rPr>
          <w:rFonts w:eastAsia="Times New Roman"/>
        </w:rPr>
        <w:t xml:space="preserve"> to apply the methodology.</w:t>
      </w:r>
    </w:p>
    <w:p w14:paraId="28C5AC8E" w14:textId="77777777" w:rsidR="003955B6" w:rsidRDefault="003955B6" w:rsidP="003955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 </w:t>
      </w:r>
      <w:r>
        <w:rPr>
          <w:rStyle w:val="Strong"/>
          <w:rFonts w:eastAsia="Times New Roman"/>
        </w:rPr>
        <w:t>structured grid</w:t>
      </w:r>
      <w:r>
        <w:rPr>
          <w:rFonts w:eastAsia="Times New Roman"/>
        </w:rPr>
        <w:t xml:space="preserve"> for capturing founder answers, scoring, applying discounts, and generating the final Fundability Score.</w:t>
      </w:r>
    </w:p>
    <w:p w14:paraId="42798333" w14:textId="77777777" w:rsidR="003955B6" w:rsidRDefault="003955B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479F0C" wp14:editId="70AD7B2E">
                <wp:extent cx="5943600" cy="1270"/>
                <wp:effectExtent l="0" t="31750" r="0" b="36830"/>
                <wp:docPr id="478764954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53F9CC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AAB1D89" w14:textId="77777777" w:rsidR="003955B6" w:rsidRDefault="003955B6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YAS Training Worksheet: Fundability Scorecard</w:t>
      </w:r>
    </w:p>
    <w:p w14:paraId="2198DABA" w14:textId="77777777" w:rsidR="003955B6" w:rsidRDefault="003955B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5B7C29" wp14:editId="32B712AD">
                <wp:extent cx="5943600" cy="1270"/>
                <wp:effectExtent l="0" t="31750" r="0" b="36830"/>
                <wp:docPr id="1579462528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7648EC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00BCFC4" w14:textId="77777777" w:rsidR="003955B6" w:rsidRDefault="003955B6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Section 1: Purpose &amp; Mindset</w:t>
      </w:r>
    </w:p>
    <w:p w14:paraId="602E3C89" w14:textId="77777777" w:rsidR="003955B6" w:rsidRDefault="003955B6" w:rsidP="003955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The Fundability Scorecard is a </w:t>
      </w:r>
      <w:r>
        <w:rPr>
          <w:rStyle w:val="Strong"/>
          <w:rFonts w:eastAsia="Times New Roman"/>
        </w:rPr>
        <w:t>diagnostic X-ray</w:t>
      </w:r>
      <w:r>
        <w:rPr>
          <w:rFonts w:eastAsia="Times New Roman"/>
        </w:rPr>
        <w:t>, not a verdict.</w:t>
      </w:r>
    </w:p>
    <w:p w14:paraId="68D545A9" w14:textId="77777777" w:rsidR="003955B6" w:rsidRDefault="003955B6" w:rsidP="003955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Always apply a </w:t>
      </w:r>
      <w:r>
        <w:rPr>
          <w:rStyle w:val="Strong"/>
          <w:rFonts w:eastAsia="Times New Roman"/>
        </w:rPr>
        <w:t>pessimistic lens</w:t>
      </w:r>
      <w:r>
        <w:rPr>
          <w:rFonts w:eastAsia="Times New Roman"/>
        </w:rPr>
        <w:t>. Founders overrate themselves; investors underrate them.</w:t>
      </w:r>
    </w:p>
    <w:p w14:paraId="58DE4F77" w14:textId="77777777" w:rsidR="003955B6" w:rsidRDefault="003955B6" w:rsidP="003955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The goal: </w:t>
      </w:r>
      <w:r>
        <w:rPr>
          <w:rStyle w:val="Strong"/>
          <w:rFonts w:eastAsia="Times New Roman"/>
        </w:rPr>
        <w:t>mirror investor reality</w:t>
      </w:r>
      <w:r>
        <w:rPr>
          <w:rFonts w:eastAsia="Times New Roman"/>
        </w:rPr>
        <w:t>, not founder optimism.</w:t>
      </w:r>
    </w:p>
    <w:p w14:paraId="639B77B9" w14:textId="77777777" w:rsidR="003955B6" w:rsidRDefault="003955B6" w:rsidP="003955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End every evaluation with: </w:t>
      </w:r>
      <w:r>
        <w:rPr>
          <w:rStyle w:val="Emphasis"/>
          <w:rFonts w:eastAsia="Times New Roman"/>
        </w:rPr>
        <w:t xml:space="preserve">“You’re not </w:t>
      </w:r>
      <w:proofErr w:type="spellStart"/>
      <w:r>
        <w:rPr>
          <w:rStyle w:val="Emphasis"/>
          <w:rFonts w:eastAsia="Times New Roman"/>
        </w:rPr>
        <w:t>unfundable</w:t>
      </w:r>
      <w:proofErr w:type="spellEnd"/>
      <w:r>
        <w:rPr>
          <w:rStyle w:val="Emphasis"/>
          <w:rFonts w:eastAsia="Times New Roman"/>
        </w:rPr>
        <w:t xml:space="preserve">—you’re </w:t>
      </w:r>
      <w:proofErr w:type="spellStart"/>
      <w:r>
        <w:rPr>
          <w:rStyle w:val="Emphasis"/>
          <w:rFonts w:eastAsia="Times New Roman"/>
        </w:rPr>
        <w:t>unfundable</w:t>
      </w:r>
      <w:proofErr w:type="spellEnd"/>
      <w:r>
        <w:rPr>
          <w:rStyle w:val="Emphasis"/>
          <w:rFonts w:eastAsia="Times New Roman"/>
        </w:rPr>
        <w:t xml:space="preserve"> </w:t>
      </w:r>
      <w:r>
        <w:rPr>
          <w:rStyle w:val="Strong"/>
          <w:rFonts w:eastAsia="Times New Roman"/>
          <w:i/>
          <w:iCs/>
        </w:rPr>
        <w:t>once we fix these signals</w:t>
      </w:r>
      <w:r>
        <w:rPr>
          <w:rStyle w:val="Emphasis"/>
          <w:rFonts w:eastAsia="Times New Roman"/>
        </w:rPr>
        <w:t>.”</w:t>
      </w:r>
    </w:p>
    <w:p w14:paraId="5E4CD8D6" w14:textId="77777777" w:rsidR="003955B6" w:rsidRDefault="003955B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545243" wp14:editId="21E49EE5">
                <wp:extent cx="5943600" cy="1270"/>
                <wp:effectExtent l="0" t="31750" r="0" b="36830"/>
                <wp:docPr id="37552171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B603B0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5276169" w14:textId="77777777" w:rsidR="003955B6" w:rsidRDefault="003955B6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Section 2: Core Pillars &amp; Weights</w:t>
      </w:r>
    </w:p>
    <w:p w14:paraId="12D0C08E" w14:textId="77777777" w:rsidR="003955B6" w:rsidRDefault="003955B6">
      <w:pPr>
        <w:pStyle w:val="NormalWeb"/>
      </w:pPr>
      <w:proofErr w:type="spellStart"/>
      <w:r>
        <w:t>Yas</w:t>
      </w:r>
      <w:proofErr w:type="spellEnd"/>
      <w:r>
        <w:t xml:space="preserve"> must always evaluate across </w:t>
      </w:r>
      <w:r>
        <w:rPr>
          <w:rStyle w:val="Strong"/>
        </w:rPr>
        <w:t>5 pillars</w:t>
      </w:r>
      <w:r>
        <w:t xml:space="preserve"> with fixed weights: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0"/>
        <w:gridCol w:w="823"/>
        <w:gridCol w:w="1810"/>
      </w:tblGrid>
      <w:tr w:rsidR="003955B6" w14:paraId="20A7DD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77BF08" w14:textId="77777777" w:rsidR="003955B6" w:rsidRDefault="003955B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Pillar</w:t>
            </w:r>
          </w:p>
        </w:tc>
        <w:tc>
          <w:tcPr>
            <w:tcW w:w="0" w:type="auto"/>
            <w:vAlign w:val="center"/>
            <w:hideMark/>
          </w:tcPr>
          <w:p w14:paraId="25E87FA2" w14:textId="77777777" w:rsidR="003955B6" w:rsidRDefault="003955B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637528B7" w14:textId="77777777" w:rsidR="003955B6" w:rsidRDefault="003955B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Discount Factor</w:t>
            </w:r>
          </w:p>
        </w:tc>
      </w:tr>
      <w:tr w:rsidR="003955B6" w14:paraId="32218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A7735" w14:textId="77777777" w:rsidR="003955B6" w:rsidRDefault="003955B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Founder Signal</w:t>
            </w:r>
          </w:p>
        </w:tc>
        <w:tc>
          <w:tcPr>
            <w:tcW w:w="0" w:type="auto"/>
            <w:vAlign w:val="center"/>
            <w:hideMark/>
          </w:tcPr>
          <w:p w14:paraId="57EC0D0F" w14:textId="77777777" w:rsidR="003955B6" w:rsidRDefault="003955B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15BDEC5E" w14:textId="77777777" w:rsidR="003955B6" w:rsidRDefault="003955B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×0.7</w:t>
            </w:r>
          </w:p>
        </w:tc>
      </w:tr>
      <w:tr w:rsidR="003955B6" w14:paraId="07D4E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D3CED" w14:textId="77777777" w:rsidR="003955B6" w:rsidRDefault="003955B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Market Attractiveness</w:t>
            </w:r>
          </w:p>
        </w:tc>
        <w:tc>
          <w:tcPr>
            <w:tcW w:w="0" w:type="auto"/>
            <w:vAlign w:val="center"/>
            <w:hideMark/>
          </w:tcPr>
          <w:p w14:paraId="55E72D9B" w14:textId="77777777" w:rsidR="003955B6" w:rsidRDefault="003955B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20CD8786" w14:textId="77777777" w:rsidR="003955B6" w:rsidRDefault="003955B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×0.8</w:t>
            </w:r>
          </w:p>
        </w:tc>
      </w:tr>
      <w:tr w:rsidR="003955B6" w14:paraId="7A21E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FE73A" w14:textId="77777777" w:rsidR="003955B6" w:rsidRDefault="003955B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Traction Proof</w:t>
            </w:r>
          </w:p>
        </w:tc>
        <w:tc>
          <w:tcPr>
            <w:tcW w:w="0" w:type="auto"/>
            <w:vAlign w:val="center"/>
            <w:hideMark/>
          </w:tcPr>
          <w:p w14:paraId="3EB654B7" w14:textId="77777777" w:rsidR="003955B6" w:rsidRDefault="003955B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73DCD69B" w14:textId="77777777" w:rsidR="003955B6" w:rsidRDefault="003955B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×0.7</w:t>
            </w:r>
          </w:p>
        </w:tc>
      </w:tr>
      <w:tr w:rsidR="003955B6" w14:paraId="6ADCD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7C754" w14:textId="77777777" w:rsidR="003955B6" w:rsidRDefault="003955B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Business Model &amp; Unit Economics</w:t>
            </w:r>
          </w:p>
        </w:tc>
        <w:tc>
          <w:tcPr>
            <w:tcW w:w="0" w:type="auto"/>
            <w:vAlign w:val="center"/>
            <w:hideMark/>
          </w:tcPr>
          <w:p w14:paraId="4E06A088" w14:textId="77777777" w:rsidR="003955B6" w:rsidRDefault="003955B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6F495207" w14:textId="77777777" w:rsidR="003955B6" w:rsidRDefault="003955B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×0.9</w:t>
            </w:r>
          </w:p>
        </w:tc>
      </w:tr>
      <w:tr w:rsidR="003955B6" w14:paraId="5F203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94C16" w14:textId="77777777" w:rsidR="003955B6" w:rsidRDefault="003955B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Deal Architecture</w:t>
            </w:r>
          </w:p>
        </w:tc>
        <w:tc>
          <w:tcPr>
            <w:tcW w:w="0" w:type="auto"/>
            <w:vAlign w:val="center"/>
            <w:hideMark/>
          </w:tcPr>
          <w:p w14:paraId="2398AF67" w14:textId="77777777" w:rsidR="003955B6" w:rsidRDefault="003955B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338DB9DE" w14:textId="77777777" w:rsidR="003955B6" w:rsidRDefault="003955B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×0.8</w:t>
            </w:r>
          </w:p>
        </w:tc>
      </w:tr>
    </w:tbl>
    <w:p w14:paraId="72D15AE1" w14:textId="77777777" w:rsidR="003955B6" w:rsidRDefault="003955B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B086C4" wp14:editId="412EE34C">
                <wp:extent cx="5943600" cy="1270"/>
                <wp:effectExtent l="0" t="31750" r="0" b="36830"/>
                <wp:docPr id="25169400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845137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4984BD1" w14:textId="77777777" w:rsidR="003955B6" w:rsidRDefault="003955B6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Section 3: Sub-Criteria Scoring Grid</w:t>
      </w:r>
    </w:p>
    <w:p w14:paraId="41A18849" w14:textId="77777777" w:rsidR="003955B6" w:rsidRDefault="003955B6">
      <w:pPr>
        <w:pStyle w:val="NormalWeb"/>
      </w:pPr>
      <w:r>
        <w:t xml:space="preserve">Each sub-criterion is scored </w:t>
      </w:r>
      <w:r>
        <w:rPr>
          <w:rStyle w:val="Strong"/>
        </w:rPr>
        <w:t>0–5</w:t>
      </w:r>
      <w:r>
        <w:t>:</w:t>
      </w:r>
    </w:p>
    <w:p w14:paraId="6CF63FEB" w14:textId="77777777" w:rsidR="003955B6" w:rsidRDefault="003955B6" w:rsidP="003955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0 = Absent</w:t>
      </w:r>
      <w:r>
        <w:rPr>
          <w:rFonts w:eastAsia="Times New Roman"/>
        </w:rPr>
        <w:t xml:space="preserve"> (fatal gap)</w:t>
      </w:r>
    </w:p>
    <w:p w14:paraId="3DFF0DB0" w14:textId="77777777" w:rsidR="003955B6" w:rsidRDefault="003955B6" w:rsidP="003955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1 = Weak</w:t>
      </w:r>
      <w:r>
        <w:rPr>
          <w:rFonts w:eastAsia="Times New Roman"/>
        </w:rPr>
        <w:t xml:space="preserve"> (no investor confidence)</w:t>
      </w:r>
    </w:p>
    <w:p w14:paraId="7CBCE164" w14:textId="77777777" w:rsidR="003955B6" w:rsidRDefault="003955B6" w:rsidP="003955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3 = Adequate</w:t>
      </w:r>
      <w:r>
        <w:rPr>
          <w:rFonts w:eastAsia="Times New Roman"/>
        </w:rPr>
        <w:t xml:space="preserve"> (average, needs work)</w:t>
      </w:r>
    </w:p>
    <w:p w14:paraId="751FABF7" w14:textId="77777777" w:rsidR="003955B6" w:rsidRDefault="003955B6" w:rsidP="003955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5 = Investor-Grade</w:t>
      </w:r>
      <w:r>
        <w:rPr>
          <w:rFonts w:eastAsia="Times New Roman"/>
        </w:rPr>
        <w:t xml:space="preserve"> (fundable quality)</w:t>
      </w:r>
    </w:p>
    <w:p w14:paraId="5B151F7C" w14:textId="77777777" w:rsidR="003955B6" w:rsidRDefault="003955B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D2A922" wp14:editId="32AF64FB">
                <wp:extent cx="5943600" cy="1270"/>
                <wp:effectExtent l="0" t="31750" r="0" b="36830"/>
                <wp:docPr id="51792576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2A10F9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465C285" w14:textId="77777777" w:rsidR="003955B6" w:rsidRDefault="003955B6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1. Founder Signal (25%) ×0.7</w:t>
      </w:r>
    </w:p>
    <w:p w14:paraId="5EE4466D" w14:textId="77777777" w:rsidR="003955B6" w:rsidRDefault="003955B6" w:rsidP="003955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Clarity of narrative (0–5)</w:t>
      </w:r>
    </w:p>
    <w:p w14:paraId="766EA2D4" w14:textId="77777777" w:rsidR="003955B6" w:rsidRDefault="003955B6" w:rsidP="003955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Founder credibility (domain expertise, execution record) (0–5)</w:t>
      </w:r>
    </w:p>
    <w:p w14:paraId="0D699A0D" w14:textId="77777777" w:rsidR="003955B6" w:rsidRDefault="003955B6" w:rsidP="003955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Trust projection (confidence, resilience, “investor gut feel”) (0–5)</w:t>
      </w:r>
    </w:p>
    <w:p w14:paraId="2747A1F1" w14:textId="77777777" w:rsidR="003955B6" w:rsidRDefault="003955B6" w:rsidP="003955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Team strength / complementarity (0–5)</w:t>
      </w:r>
    </w:p>
    <w:p w14:paraId="021C5D64" w14:textId="77777777" w:rsidR="003955B6" w:rsidRDefault="003955B6">
      <w:pPr>
        <w:pStyle w:val="NormalWeb"/>
      </w:pPr>
      <w:r>
        <w:rPr>
          <w:rStyle w:val="Strong"/>
        </w:rPr>
        <w:t>Subtotal /20 → Adjusted = (Score ÷ 20 × 25) ×0.7</w:t>
      </w:r>
    </w:p>
    <w:p w14:paraId="153779B5" w14:textId="77777777" w:rsidR="003955B6" w:rsidRDefault="003955B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C1ACAE" wp14:editId="5A0A4B3A">
                <wp:extent cx="5943600" cy="1270"/>
                <wp:effectExtent l="0" t="31750" r="0" b="36830"/>
                <wp:docPr id="131725639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CDEE9F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C44C6F6" w14:textId="77777777" w:rsidR="003955B6" w:rsidRDefault="003955B6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2. Market Attractiveness (20%) ×0.8</w:t>
      </w:r>
    </w:p>
    <w:p w14:paraId="45918A4F" w14:textId="77777777" w:rsidR="003955B6" w:rsidRDefault="003955B6" w:rsidP="003955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Market size clarity (TAM/SAM/SOM) (0–5)</w:t>
      </w:r>
    </w:p>
    <w:p w14:paraId="7B73C25A" w14:textId="77777777" w:rsidR="003955B6" w:rsidRDefault="003955B6" w:rsidP="003955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Timing &amp; macro tailwinds (0–5)</w:t>
      </w:r>
    </w:p>
    <w:p w14:paraId="22F3E5BE" w14:textId="77777777" w:rsidR="003955B6" w:rsidRDefault="003955B6" w:rsidP="003955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Problem urgency (must-have vs nice-to-have) (0–5)</w:t>
      </w:r>
    </w:p>
    <w:p w14:paraId="01C164D9" w14:textId="77777777" w:rsidR="003955B6" w:rsidRDefault="003955B6">
      <w:pPr>
        <w:pStyle w:val="NormalWeb"/>
      </w:pPr>
      <w:r>
        <w:rPr>
          <w:rStyle w:val="Strong"/>
        </w:rPr>
        <w:t>Subtotal /15 → Adjusted = (Score ÷ 15 × 20) ×0.8</w:t>
      </w:r>
    </w:p>
    <w:p w14:paraId="73467C7F" w14:textId="77777777" w:rsidR="003955B6" w:rsidRDefault="003955B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F4DCDD" wp14:editId="67CA0098">
                <wp:extent cx="5943600" cy="1270"/>
                <wp:effectExtent l="0" t="31750" r="0" b="36830"/>
                <wp:docPr id="1401304120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3B2153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222FFA9" w14:textId="77777777" w:rsidR="003955B6" w:rsidRDefault="003955B6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3. Traction Proof (25%) ×0.7</w:t>
      </w:r>
    </w:p>
    <w:p w14:paraId="43B6D9F9" w14:textId="77777777" w:rsidR="003955B6" w:rsidRDefault="003955B6" w:rsidP="003955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Revenue / LOIs / pilots (0–5)</w:t>
      </w:r>
    </w:p>
    <w:p w14:paraId="58D50EBB" w14:textId="77777777" w:rsidR="003955B6" w:rsidRDefault="003955B6" w:rsidP="003955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Growth velocity (0–5)</w:t>
      </w:r>
    </w:p>
    <w:p w14:paraId="00A2FDA5" w14:textId="77777777" w:rsidR="003955B6" w:rsidRDefault="003955B6" w:rsidP="003955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Defensibility (IP, switching costs, unfair advantage) (0–5)</w:t>
      </w:r>
    </w:p>
    <w:p w14:paraId="07E95107" w14:textId="77777777" w:rsidR="003955B6" w:rsidRDefault="003955B6" w:rsidP="003955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Customer validation strength (references, testimonials, contracts) (0–5)</w:t>
      </w:r>
    </w:p>
    <w:p w14:paraId="1CD621DC" w14:textId="77777777" w:rsidR="003955B6" w:rsidRDefault="003955B6">
      <w:pPr>
        <w:pStyle w:val="NormalWeb"/>
      </w:pPr>
      <w:r>
        <w:rPr>
          <w:rStyle w:val="Strong"/>
        </w:rPr>
        <w:t>Subtotal /20 → Adjusted = (Score ÷ 20 × 25) ×0.7</w:t>
      </w:r>
    </w:p>
    <w:p w14:paraId="5DDDA942" w14:textId="77777777" w:rsidR="003955B6" w:rsidRDefault="003955B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85C027" wp14:editId="65297873">
                <wp:extent cx="5943600" cy="1270"/>
                <wp:effectExtent l="0" t="31750" r="0" b="36830"/>
                <wp:docPr id="190758730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150CB1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BB3313E" w14:textId="77777777" w:rsidR="003955B6" w:rsidRDefault="003955B6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4. Business Model &amp; Unit Economics (15%) ×0.9</w:t>
      </w:r>
    </w:p>
    <w:p w14:paraId="4474D4BD" w14:textId="77777777" w:rsidR="003955B6" w:rsidRDefault="003955B6" w:rsidP="003955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Clarity of revenue model (0–5)</w:t>
      </w:r>
    </w:p>
    <w:p w14:paraId="51123FDC" w14:textId="77777777" w:rsidR="003955B6" w:rsidRDefault="003955B6" w:rsidP="003955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Unit economics (CAC, LTV, margins) (0–5)</w:t>
      </w:r>
    </w:p>
    <w:p w14:paraId="4428B5A9" w14:textId="77777777" w:rsidR="003955B6" w:rsidRDefault="003955B6" w:rsidP="003955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Scalability &amp; stickiness (recurring, retention, </w:t>
      </w:r>
      <w:proofErr w:type="spellStart"/>
      <w:r>
        <w:rPr>
          <w:rFonts w:eastAsia="Times New Roman"/>
        </w:rPr>
        <w:t>embeddedness</w:t>
      </w:r>
      <w:proofErr w:type="spellEnd"/>
      <w:r>
        <w:rPr>
          <w:rFonts w:eastAsia="Times New Roman"/>
        </w:rPr>
        <w:t>) (0–5)</w:t>
      </w:r>
    </w:p>
    <w:p w14:paraId="68CDECF5" w14:textId="77777777" w:rsidR="003955B6" w:rsidRDefault="003955B6">
      <w:pPr>
        <w:pStyle w:val="NormalWeb"/>
      </w:pPr>
      <w:r>
        <w:rPr>
          <w:rStyle w:val="Strong"/>
        </w:rPr>
        <w:t>Subtotal /15 → Adjusted = (Score ÷ 15 × 15) ×0.9</w:t>
      </w:r>
    </w:p>
    <w:p w14:paraId="3F0867AB" w14:textId="77777777" w:rsidR="003955B6" w:rsidRDefault="003955B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FEBD48" wp14:editId="01B01D0C">
                <wp:extent cx="5943600" cy="1270"/>
                <wp:effectExtent l="0" t="31750" r="0" b="36830"/>
                <wp:docPr id="56901330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B20730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07DDDD8" w14:textId="77777777" w:rsidR="003955B6" w:rsidRDefault="003955B6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5. Deal Architecture (15%) ×0.8</w:t>
      </w:r>
    </w:p>
    <w:p w14:paraId="37B46F53" w14:textId="77777777" w:rsidR="003955B6" w:rsidRDefault="003955B6" w:rsidP="003955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Valuation realism (0–5)</w:t>
      </w:r>
    </w:p>
    <w:p w14:paraId="201FA469" w14:textId="77777777" w:rsidR="003955B6" w:rsidRDefault="003955B6" w:rsidP="003955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Cap table cleanliness (0–5)</w:t>
      </w:r>
    </w:p>
    <w:p w14:paraId="78F32124" w14:textId="77777777" w:rsidR="003955B6" w:rsidRDefault="003955B6" w:rsidP="003955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 of funds (linked to milestones, not burn) (0–5)</w:t>
      </w:r>
    </w:p>
    <w:p w14:paraId="224B497B" w14:textId="77777777" w:rsidR="003955B6" w:rsidRDefault="003955B6">
      <w:pPr>
        <w:pStyle w:val="NormalWeb"/>
      </w:pPr>
      <w:r>
        <w:rPr>
          <w:rStyle w:val="Strong"/>
        </w:rPr>
        <w:t>Subtotal /15 → Adjusted = (Score ÷ 15 × 15) ×0.8</w:t>
      </w:r>
    </w:p>
    <w:p w14:paraId="3D4EC0A3" w14:textId="77777777" w:rsidR="003955B6" w:rsidRDefault="003955B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56F714" wp14:editId="0F51A111">
                <wp:extent cx="5943600" cy="1270"/>
                <wp:effectExtent l="0" t="31750" r="0" b="36830"/>
                <wp:docPr id="53684930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63CDF7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140F599" w14:textId="77777777" w:rsidR="003955B6" w:rsidRDefault="003955B6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Section 4: Final Calculation</w:t>
      </w:r>
    </w:p>
    <w:p w14:paraId="041AB3E5" w14:textId="77777777" w:rsidR="003955B6" w:rsidRDefault="003955B6" w:rsidP="003955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Total Fundability Score = Sum of Adjusted Scores (out of 100).</w:t>
      </w:r>
    </w:p>
    <w:p w14:paraId="0F740C58" w14:textId="77777777" w:rsidR="003955B6" w:rsidRDefault="003955B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9CBD1A" wp14:editId="1D0F6391">
                <wp:extent cx="5943600" cy="1270"/>
                <wp:effectExtent l="0" t="31750" r="0" b="36830"/>
                <wp:docPr id="115070947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F030FA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20A4FA0" w14:textId="77777777" w:rsidR="003955B6" w:rsidRDefault="003955B6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Section 5: Interpretation Bands</w:t>
      </w:r>
    </w:p>
    <w:p w14:paraId="109DAE28" w14:textId="77777777" w:rsidR="003955B6" w:rsidRDefault="003955B6" w:rsidP="003955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80–100 (Investor-Ready):</w:t>
      </w:r>
      <w:r>
        <w:rPr>
          <w:rFonts w:eastAsia="Times New Roman"/>
        </w:rPr>
        <w:t xml:space="preserve"> Fundable today. Proceed with investor outreach.</w:t>
      </w:r>
    </w:p>
    <w:p w14:paraId="0C2EDFC5" w14:textId="77777777" w:rsidR="003955B6" w:rsidRDefault="003955B6" w:rsidP="003955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60–79 (Conditional):</w:t>
      </w:r>
      <w:r>
        <w:rPr>
          <w:rFonts w:eastAsia="Times New Roman"/>
        </w:rPr>
        <w:t xml:space="preserve"> Signals promising but gaps exist. Fix before raising.</w:t>
      </w:r>
    </w:p>
    <w:p w14:paraId="7D4B349F" w14:textId="77777777" w:rsidR="003955B6" w:rsidRDefault="003955B6" w:rsidP="003955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40–59 (Fragile):</w:t>
      </w:r>
      <w:r>
        <w:rPr>
          <w:rFonts w:eastAsia="Times New Roman"/>
        </w:rPr>
        <w:t xml:space="preserve"> Raising now = wasted cycles + reputational risk.</w:t>
      </w:r>
    </w:p>
    <w:p w14:paraId="492EB079" w14:textId="77777777" w:rsidR="003955B6" w:rsidRDefault="003955B6" w:rsidP="003955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&lt;40 (</w:t>
      </w:r>
      <w:proofErr w:type="spellStart"/>
      <w:r>
        <w:rPr>
          <w:rStyle w:val="Strong"/>
          <w:rFonts w:eastAsia="Times New Roman"/>
        </w:rPr>
        <w:t>Unfundable</w:t>
      </w:r>
      <w:proofErr w:type="spellEnd"/>
      <w:r>
        <w:rPr>
          <w:rStyle w:val="Strong"/>
          <w:rFonts w:eastAsia="Times New Roman"/>
        </w:rPr>
        <w:t xml:space="preserve"> Now):</w:t>
      </w:r>
      <w:r>
        <w:rPr>
          <w:rFonts w:eastAsia="Times New Roman"/>
        </w:rPr>
        <w:t xml:space="preserve"> Severe signal distortion. Must fix fundamentals first.</w:t>
      </w:r>
    </w:p>
    <w:p w14:paraId="1F34DD6A" w14:textId="77777777" w:rsidR="003955B6" w:rsidRDefault="003955B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6B7256" wp14:editId="1F0E4415">
                <wp:extent cx="5943600" cy="1270"/>
                <wp:effectExtent l="0" t="31750" r="0" b="36830"/>
                <wp:docPr id="17389211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41B217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A1EDB9D" w14:textId="77777777" w:rsidR="003955B6" w:rsidRDefault="003955B6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Section 6: Prescription Logic</w:t>
      </w:r>
    </w:p>
    <w:p w14:paraId="1CDBE10A" w14:textId="77777777" w:rsidR="003955B6" w:rsidRDefault="003955B6">
      <w:pPr>
        <w:pStyle w:val="NormalWeb"/>
      </w:pPr>
      <w:proofErr w:type="spellStart"/>
      <w:r>
        <w:t>Yas</w:t>
      </w:r>
      <w:proofErr w:type="spellEnd"/>
      <w:r>
        <w:t xml:space="preserve"> must </w:t>
      </w:r>
      <w:r>
        <w:rPr>
          <w:rStyle w:val="Strong"/>
        </w:rPr>
        <w:t>not stop at the score</w:t>
      </w:r>
      <w:r>
        <w:t xml:space="preserve">—always deliver a </w:t>
      </w:r>
      <w:r>
        <w:rPr>
          <w:rStyle w:val="Strong"/>
        </w:rPr>
        <w:t>signal correction roadmap</w:t>
      </w:r>
      <w:r>
        <w:t>:</w:t>
      </w:r>
    </w:p>
    <w:p w14:paraId="3A550FA7" w14:textId="77777777" w:rsidR="003955B6" w:rsidRDefault="003955B6" w:rsidP="003955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Low Founder Signal →</w:t>
      </w:r>
      <w:r>
        <w:rPr>
          <w:rFonts w:eastAsia="Times New Roman"/>
        </w:rPr>
        <w:t xml:space="preserve"> Narrative coaching, credibility building, founder-market-fit articulation.</w:t>
      </w:r>
    </w:p>
    <w:p w14:paraId="6C465D65" w14:textId="77777777" w:rsidR="003955B6" w:rsidRDefault="003955B6" w:rsidP="003955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Low Market →</w:t>
      </w:r>
      <w:r>
        <w:rPr>
          <w:rFonts w:eastAsia="Times New Roman"/>
        </w:rPr>
        <w:t xml:space="preserve"> Redefine TAM/SAM/SOM, timing thesis, sharpen “Why Now?” story.</w:t>
      </w:r>
    </w:p>
    <w:p w14:paraId="6279E2D3" w14:textId="77777777" w:rsidR="003955B6" w:rsidRDefault="003955B6" w:rsidP="003955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Low Traction →</w:t>
      </w:r>
      <w:r>
        <w:rPr>
          <w:rFonts w:eastAsia="Times New Roman"/>
        </w:rPr>
        <w:t xml:space="preserve"> Secure pilots, LOIs, or stronger metrics before raising.</w:t>
      </w:r>
    </w:p>
    <w:p w14:paraId="78FFB182" w14:textId="77777777" w:rsidR="003955B6" w:rsidRDefault="003955B6" w:rsidP="003955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Low Business Model →</w:t>
      </w:r>
      <w:r>
        <w:rPr>
          <w:rFonts w:eastAsia="Times New Roman"/>
        </w:rPr>
        <w:t xml:space="preserve"> Tighten CAC/LTV, refine pricing, demonstrate stickiness.</w:t>
      </w:r>
    </w:p>
    <w:p w14:paraId="0449C7E9" w14:textId="77777777" w:rsidR="003955B6" w:rsidRDefault="003955B6" w:rsidP="003955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Low Deal Architecture →</w:t>
      </w:r>
      <w:r>
        <w:rPr>
          <w:rFonts w:eastAsia="Times New Roman"/>
        </w:rPr>
        <w:t xml:space="preserve"> Reframe valuation, clean cap table, tie funds to inflection points.</w:t>
      </w:r>
    </w:p>
    <w:p w14:paraId="1D86D68A" w14:textId="77777777" w:rsidR="003955B6" w:rsidRDefault="003955B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569041" wp14:editId="70E8D10C">
                <wp:extent cx="5943600" cy="1270"/>
                <wp:effectExtent l="0" t="31750" r="0" b="36830"/>
                <wp:docPr id="191581056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F22A48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8E13C01" w14:textId="77777777" w:rsidR="003955B6" w:rsidRDefault="003955B6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 xml:space="preserve">Section 7: </w:t>
      </w:r>
      <w:proofErr w:type="spellStart"/>
      <w:r>
        <w:rPr>
          <w:rStyle w:val="Strong"/>
          <w:rFonts w:eastAsia="Times New Roman"/>
          <w:b w:val="0"/>
          <w:bCs w:val="0"/>
        </w:rPr>
        <w:t>Yas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Script Guidance</w:t>
      </w:r>
    </w:p>
    <w:p w14:paraId="53C7E454" w14:textId="77777777" w:rsidR="003955B6" w:rsidRDefault="003955B6">
      <w:pPr>
        <w:pStyle w:val="NormalWeb"/>
      </w:pPr>
      <w:r>
        <w:t>Always deliver results in this sequence:</w:t>
      </w:r>
    </w:p>
    <w:p w14:paraId="368F4EEC" w14:textId="77777777" w:rsidR="003955B6" w:rsidRDefault="003955B6" w:rsidP="003955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Score Summary:</w:t>
      </w:r>
      <w:r>
        <w:rPr>
          <w:rFonts w:eastAsia="Times New Roman"/>
        </w:rPr>
        <w:t xml:space="preserve"> “Your Fundability Score is 54/100.”</w:t>
      </w:r>
    </w:p>
    <w:p w14:paraId="32D3767F" w14:textId="77777777" w:rsidR="003955B6" w:rsidRDefault="003955B6" w:rsidP="003955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Investor Reality Context:</w:t>
      </w:r>
      <w:r>
        <w:rPr>
          <w:rFonts w:eastAsia="Times New Roman"/>
        </w:rPr>
        <w:t xml:space="preserve"> “This places you in the fragile zone—raising now risks wasted cycles and reputation.”</w:t>
      </w:r>
    </w:p>
    <w:p w14:paraId="7575B9E7" w14:textId="77777777" w:rsidR="003955B6" w:rsidRDefault="003955B6" w:rsidP="003955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Prescriptive Path:</w:t>
      </w:r>
      <w:r>
        <w:rPr>
          <w:rFonts w:eastAsia="Times New Roman"/>
        </w:rPr>
        <w:t xml:space="preserve"> “Here are the top 3 signal leaks we must fix before you’ll be investor-ready.”</w:t>
      </w:r>
    </w:p>
    <w:p w14:paraId="4069D5F8" w14:textId="77777777" w:rsidR="003955B6" w:rsidRDefault="003955B6" w:rsidP="003955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Positive Reframe:</w:t>
      </w:r>
      <w:r>
        <w:rPr>
          <w:rFonts w:eastAsia="Times New Roman"/>
        </w:rPr>
        <w:t xml:space="preserve"> “You’re not </w:t>
      </w:r>
      <w:proofErr w:type="spellStart"/>
      <w:r>
        <w:rPr>
          <w:rFonts w:eastAsia="Times New Roman"/>
        </w:rPr>
        <w:t>unfundable</w:t>
      </w:r>
      <w:proofErr w:type="spellEnd"/>
      <w:r>
        <w:rPr>
          <w:rFonts w:eastAsia="Times New Roman"/>
        </w:rPr>
        <w:t>—you’re pre-fundable. With Signal Architecture, we can move you into the investor-ready zone.”</w:t>
      </w:r>
    </w:p>
    <w:p w14:paraId="37425918" w14:textId="77777777" w:rsidR="003955B6" w:rsidRDefault="003955B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A8A57C" wp14:editId="16E1491C">
                <wp:extent cx="5943600" cy="1270"/>
                <wp:effectExtent l="0" t="31750" r="0" b="36830"/>
                <wp:docPr id="80110200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CAEDFB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A3FF284" w14:textId="324ECD70" w:rsidR="003955B6" w:rsidRDefault="003955B6">
      <w:pPr>
        <w:pStyle w:val="NormalWeb"/>
      </w:pPr>
    </w:p>
    <w:p w14:paraId="78F4448B" w14:textId="77777777" w:rsidR="003955B6" w:rsidRDefault="003955B6"/>
    <w:sectPr w:rsidR="003955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439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A7CE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32E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A1C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804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944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B71C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0276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A0C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9241B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69627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E337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7D02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697788">
    <w:abstractNumId w:val="9"/>
  </w:num>
  <w:num w:numId="2" w16cid:durableId="1713916939">
    <w:abstractNumId w:val="8"/>
  </w:num>
  <w:num w:numId="3" w16cid:durableId="1074473749">
    <w:abstractNumId w:val="5"/>
  </w:num>
  <w:num w:numId="4" w16cid:durableId="337316542">
    <w:abstractNumId w:val="11"/>
  </w:num>
  <w:num w:numId="5" w16cid:durableId="773524006">
    <w:abstractNumId w:val="6"/>
  </w:num>
  <w:num w:numId="6" w16cid:durableId="170803115">
    <w:abstractNumId w:val="0"/>
  </w:num>
  <w:num w:numId="7" w16cid:durableId="1612005059">
    <w:abstractNumId w:val="7"/>
  </w:num>
  <w:num w:numId="8" w16cid:durableId="596519978">
    <w:abstractNumId w:val="2"/>
  </w:num>
  <w:num w:numId="9" w16cid:durableId="1478183420">
    <w:abstractNumId w:val="12"/>
  </w:num>
  <w:num w:numId="10" w16cid:durableId="1355031711">
    <w:abstractNumId w:val="4"/>
  </w:num>
  <w:num w:numId="11" w16cid:durableId="904142819">
    <w:abstractNumId w:val="3"/>
  </w:num>
  <w:num w:numId="12" w16cid:durableId="1660500642">
    <w:abstractNumId w:val="10"/>
  </w:num>
  <w:num w:numId="13" w16cid:durableId="1003898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5B6"/>
    <w:rsid w:val="002E07D4"/>
    <w:rsid w:val="003955B6"/>
    <w:rsid w:val="006156AE"/>
    <w:rsid w:val="00C66894"/>
    <w:rsid w:val="00E03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69859A"/>
  <w15:chartTrackingRefBased/>
  <w15:docId w15:val="{CB35CA2E-E7B1-6647-8E6F-FFB781825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5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55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5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5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5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5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5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5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5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5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5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5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5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5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5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5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5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5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955B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955B6"/>
    <w:rPr>
      <w:b/>
      <w:bCs/>
    </w:rPr>
  </w:style>
  <w:style w:type="character" w:styleId="Emphasis">
    <w:name w:val="Emphasis"/>
    <w:basedOn w:val="DefaultParagraphFont"/>
    <w:uiPriority w:val="20"/>
    <w:qFormat/>
    <w:rsid w:val="003955B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542</Words>
  <Characters>3093</Characters>
  <Application>Microsoft Office Word</Application>
  <DocSecurity>0</DocSecurity>
  <Lines>25</Lines>
  <Paragraphs>7</Paragraphs>
  <ScaleCrop>false</ScaleCrop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Shah</dc:creator>
  <cp:keywords/>
  <dc:description/>
  <cp:lastModifiedBy>Gaurav Shah</cp:lastModifiedBy>
  <cp:revision>2</cp:revision>
  <dcterms:created xsi:type="dcterms:W3CDTF">2025-08-24T13:51:00Z</dcterms:created>
  <dcterms:modified xsi:type="dcterms:W3CDTF">2025-08-24T13:51:00Z</dcterms:modified>
</cp:coreProperties>
</file>