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6D03" w14:textId="06933486" w:rsidR="00AE311E" w:rsidRPr="005E12EB" w:rsidRDefault="00435A44" w:rsidP="00AE311E">
      <w:pPr>
        <w:rPr>
          <w:color w:val="0070C0"/>
        </w:rPr>
      </w:pPr>
      <w:r w:rsidRPr="00435A44">
        <w:rPr>
          <w:color w:val="0070C0"/>
        </w:rPr>
        <w:t>Nature</w:t>
      </w:r>
      <w:r w:rsidR="00AE311E" w:rsidRPr="00435A44">
        <w:rPr>
          <w:color w:val="0070C0"/>
        </w:rPr>
        <w:t xml:space="preserve"> of Invention: </w:t>
      </w:r>
      <w:r w:rsidR="00E35D7B">
        <w:rPr>
          <w:color w:val="0070C0"/>
        </w:rPr>
        <w:t>Process design</w:t>
      </w:r>
    </w:p>
    <w:p w14:paraId="66237D91" w14:textId="747E1704" w:rsidR="00AE311E" w:rsidRDefault="00AE311E" w:rsidP="00AE311E">
      <w:r w:rsidRPr="005E12EB">
        <w:rPr>
          <w:rFonts w:ascii="HELVETICA NEUE CONDENSED" w:hAnsi="HELVETICA NEUE CONDENSED"/>
          <w:b/>
          <w:bCs/>
        </w:rPr>
        <w:t>Applicant:</w:t>
      </w:r>
      <w:r>
        <w:t xml:space="preserve"> </w:t>
      </w:r>
      <w:r w:rsidR="00657A3E">
        <w:t xml:space="preserve"> NCL</w:t>
      </w:r>
    </w:p>
    <w:p w14:paraId="78567077" w14:textId="28273AF4" w:rsidR="00AE311E" w:rsidRDefault="00AE311E" w:rsidP="00AE311E">
      <w:r w:rsidRPr="005E12EB">
        <w:rPr>
          <w:rFonts w:ascii="HELVETICA NEUE CONDENSED" w:hAnsi="HELVETICA NEUE CONDENSED"/>
          <w:b/>
          <w:bCs/>
        </w:rPr>
        <w:t>Inventors:</w:t>
      </w:r>
      <w:r w:rsidR="00435A44">
        <w:t xml:space="preserve"> </w:t>
      </w:r>
      <w:r w:rsidR="00175439">
        <w:t>Prince Yadav</w:t>
      </w:r>
    </w:p>
    <w:p w14:paraId="66DF861C" w14:textId="7BE8CC7D" w:rsidR="00AE311E" w:rsidRPr="00657A3E" w:rsidRDefault="00AE311E" w:rsidP="00AE311E">
      <w:pPr>
        <w:rPr>
          <w:rFonts w:ascii="HELVETICA NEUE CONDENSED" w:hAnsi="HELVETICA NEUE CONDENSED"/>
          <w:b/>
          <w:bCs/>
          <w:vertAlign w:val="subscript"/>
        </w:rPr>
      </w:pPr>
      <w:r w:rsidRPr="005E12EB">
        <w:rPr>
          <w:rFonts w:ascii="HELVETICA NEUE CONDENSED" w:hAnsi="HELVETICA NEUE CONDENSED"/>
          <w:b/>
          <w:bCs/>
        </w:rPr>
        <w:t>Chemical Formula:</w:t>
      </w:r>
      <w:r w:rsidR="00657A3E" w:rsidRPr="00657A3E">
        <w:rPr>
          <w:rFonts w:ascii="HELVETICA NEUE CONDENSED" w:hAnsi="HELVETICA NEUE CONDENSED"/>
        </w:rPr>
        <w:t xml:space="preserve"> </w:t>
      </w:r>
      <w:r w:rsidR="00657A3E">
        <w:rPr>
          <w:rFonts w:ascii="HELVETICA NEUE CONDENSED" w:hAnsi="HELVETICA NEUE CONDENSED"/>
        </w:rPr>
        <w:t>C</w:t>
      </w:r>
      <w:r w:rsidR="00657A3E">
        <w:rPr>
          <w:rFonts w:ascii="HELVETICA NEUE CONDENSED" w:hAnsi="HELVETICA NEUE CONDENSED"/>
          <w:vertAlign w:val="subscript"/>
        </w:rPr>
        <w:t>5</w:t>
      </w:r>
      <w:r w:rsidR="00657A3E">
        <w:rPr>
          <w:rFonts w:ascii="HELVETICA NEUE CONDENSED" w:hAnsi="HELVETICA NEUE CONDENSED"/>
        </w:rPr>
        <w:t>H</w:t>
      </w:r>
      <w:r w:rsidR="00657A3E">
        <w:rPr>
          <w:rFonts w:ascii="HELVETICA NEUE CONDENSED" w:hAnsi="HELVETICA NEUE CONDENSED"/>
          <w:vertAlign w:val="subscript"/>
        </w:rPr>
        <w:t>8</w:t>
      </w:r>
      <w:r w:rsidR="00657A3E">
        <w:rPr>
          <w:rFonts w:ascii="HELVETICA NEUE CONDENSED" w:hAnsi="HELVETICA NEUE CONDENSED"/>
        </w:rPr>
        <w:t>O</w:t>
      </w:r>
      <w:r w:rsidR="00657A3E">
        <w:rPr>
          <w:rFonts w:ascii="HELVETICA NEUE CONDENSED" w:hAnsi="HELVETICA NEUE CONDENSED"/>
          <w:vertAlign w:val="subscript"/>
        </w:rPr>
        <w:t>2</w:t>
      </w:r>
    </w:p>
    <w:p w14:paraId="34157EB2" w14:textId="4FA03683" w:rsidR="004B483A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Name:</w:t>
      </w:r>
      <w:r w:rsidR="00657A3E" w:rsidRPr="00657A3E">
        <w:rPr>
          <w:rFonts w:ascii="HELVETICA NEUE CONDENSED" w:hAnsi="HELVETICA NEUE CONDENSED"/>
        </w:rPr>
        <w:t xml:space="preserve"> </w:t>
      </w:r>
      <w:r w:rsidR="00657A3E">
        <w:rPr>
          <w:rFonts w:ascii="HELVETICA NEUE CONDENSED" w:hAnsi="HELVETICA NEUE CONDENSED"/>
        </w:rPr>
        <w:t>Acetylacetone</w:t>
      </w:r>
    </w:p>
    <w:p w14:paraId="26C9AD3C" w14:textId="6FDB8AB2" w:rsidR="008815D0" w:rsidRPr="005E12EB" w:rsidRDefault="008815D0" w:rsidP="00AE311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Title:</w:t>
      </w:r>
    </w:p>
    <w:p w14:paraId="250E0FC9" w14:textId="7371CFB5" w:rsidR="00415C0E" w:rsidRPr="00415C0E" w:rsidRDefault="0070790F" w:rsidP="00415C0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Description</w:t>
      </w:r>
      <w:r w:rsidR="004B483A" w:rsidRPr="005E12EB">
        <w:rPr>
          <w:rFonts w:ascii="HELVETICA NEUE CONDENSED" w:hAnsi="HELVETICA NEUE CONDENSED"/>
          <w:b/>
          <w:bCs/>
        </w:rPr>
        <w:t>:</w:t>
      </w:r>
    </w:p>
    <w:p w14:paraId="66EF6AB4" w14:textId="2BAB4B1B" w:rsidR="004702AC" w:rsidRDefault="00783EF4" w:rsidP="004702AC">
      <w:pPr>
        <w:pStyle w:val="ListParagraph"/>
        <w:numPr>
          <w:ilvl w:val="0"/>
          <w:numId w:val="1"/>
        </w:numPr>
      </w:pPr>
      <w:r>
        <w:t>Give the block diagram for the feasible process</w:t>
      </w:r>
      <w:r w:rsidR="007B0494">
        <w:t xml:space="preserve"> (as </w:t>
      </w:r>
      <w:r w:rsidR="00331FCE">
        <w:t>determined</w:t>
      </w:r>
      <w:r w:rsidR="007B0494">
        <w:t xml:space="preserve"> in market analysis report)</w:t>
      </w:r>
      <w:r>
        <w:t>.</w:t>
      </w:r>
      <w:r w:rsidR="004F3E17">
        <w:t xml:space="preserve"> List all unit operations and process conditions.</w:t>
      </w:r>
    </w:p>
    <w:p w14:paraId="362E262A" w14:textId="442E9A87" w:rsidR="00657A3E" w:rsidRDefault="00657A3E" w:rsidP="00657A3E">
      <w:pPr>
        <w:jc w:val="center"/>
        <w:rPr>
          <w:b/>
          <w:bCs/>
        </w:rPr>
      </w:pPr>
      <w:r w:rsidRPr="00657A3E">
        <w:rPr>
          <w:b/>
          <w:bCs/>
          <w:sz w:val="24"/>
          <w:szCs w:val="24"/>
        </w:rPr>
        <w:t>Unit operations and process conditions</w:t>
      </w:r>
      <w:r>
        <w:rPr>
          <w:b/>
          <w:bCs/>
        </w:rPr>
        <w:t>.</w:t>
      </w:r>
    </w:p>
    <w:p w14:paraId="5CD4888A" w14:textId="77777777" w:rsidR="002812EB" w:rsidRDefault="002812EB" w:rsidP="002812EB">
      <w:pPr>
        <w:rPr>
          <w:rFonts w:asciiTheme="minorHAnsi" w:hAnsiTheme="minorHAnsi" w:cstheme="minorBidi"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t xml:space="preserve"> The </w:t>
      </w:r>
      <w:r>
        <w:rPr>
          <w:b/>
          <w:bCs/>
        </w:rPr>
        <w:t>industrial unit operations</w:t>
      </w:r>
      <w:r>
        <w:t xml:space="preserve"> involved in the production of </w:t>
      </w:r>
      <w:r>
        <w:rPr>
          <w:b/>
          <w:bCs/>
        </w:rPr>
        <w:t>acetylacetone</w:t>
      </w:r>
      <w:r>
        <w:t xml:space="preserve"> using the Claisen condensation method, along with the corresponding reactor types for each step:</w:t>
      </w:r>
    </w:p>
    <w:p w14:paraId="60870E77" w14:textId="77777777" w:rsidR="002812EB" w:rsidRDefault="002812EB" w:rsidP="002812EB"/>
    <w:p w14:paraId="3842E07E" w14:textId="77777777" w:rsidR="002812EB" w:rsidRDefault="002812EB" w:rsidP="002812EB">
      <w:r>
        <w:t xml:space="preserve">1. </w:t>
      </w:r>
      <w:r>
        <w:rPr>
          <w:b/>
          <w:bCs/>
          <w:u w:val="single"/>
        </w:rPr>
        <w:t>Mixing (Agitation)</w:t>
      </w:r>
      <w:r>
        <w:rPr>
          <w:u w:val="single"/>
        </w:rPr>
        <w:t>:</w:t>
      </w:r>
    </w:p>
    <w:p w14:paraId="78AB25E0" w14:textId="77777777" w:rsidR="002812EB" w:rsidRDefault="002812EB" w:rsidP="002812EB">
      <w:r>
        <w:t xml:space="preserve">    - </w:t>
      </w:r>
      <w:r>
        <w:rPr>
          <w:b/>
          <w:bCs/>
        </w:rPr>
        <w:t>Purpose</w:t>
      </w:r>
      <w:r>
        <w:t>: Ensure uniform distribution of reactants (acetone and butyl acetate) and catalyst (sodium butoxide).</w:t>
      </w:r>
    </w:p>
    <w:p w14:paraId="58D8F5FD" w14:textId="77777777" w:rsidR="002812EB" w:rsidRDefault="002812EB" w:rsidP="002812EB">
      <w:r>
        <w:t xml:space="preserve">    - </w:t>
      </w:r>
      <w:r>
        <w:rPr>
          <w:b/>
          <w:bCs/>
        </w:rPr>
        <w:t>Reactor Type</w:t>
      </w:r>
      <w:r>
        <w:t>: Stirred tank reactor (STR) or continuous stirred tank reactor (CSTR).</w:t>
      </w:r>
    </w:p>
    <w:p w14:paraId="1661CF3E" w14:textId="77777777" w:rsidR="002812EB" w:rsidRDefault="002812EB" w:rsidP="002812EB">
      <w:r>
        <w:t xml:space="preserve">    - </w:t>
      </w:r>
      <w:r>
        <w:rPr>
          <w:b/>
          <w:bCs/>
        </w:rPr>
        <w:t>Operating Conditions</w:t>
      </w:r>
      <w:r>
        <w:t>:</w:t>
      </w:r>
    </w:p>
    <w:p w14:paraId="41583951" w14:textId="77777777" w:rsidR="002812EB" w:rsidRDefault="002812EB" w:rsidP="002812EB">
      <w:r>
        <w:t xml:space="preserve">        - </w:t>
      </w:r>
      <w:r>
        <w:rPr>
          <w:b/>
          <w:bCs/>
        </w:rPr>
        <w:t>Agitation Speed</w:t>
      </w:r>
      <w:r>
        <w:t>: Moderate to ensure efficient mixing.</w:t>
      </w:r>
    </w:p>
    <w:p w14:paraId="709BB050" w14:textId="77777777" w:rsidR="002812EB" w:rsidRDefault="002812EB" w:rsidP="002812EB">
      <w:r>
        <w:t xml:space="preserve">        - </w:t>
      </w:r>
      <w:r>
        <w:rPr>
          <w:b/>
          <w:bCs/>
        </w:rPr>
        <w:t>Temperature</w:t>
      </w:r>
      <w:r>
        <w:t>: Room temperature (around 25°C).</w:t>
      </w:r>
    </w:p>
    <w:p w14:paraId="1FC7EFBD" w14:textId="77777777" w:rsidR="002812EB" w:rsidRDefault="002812EB" w:rsidP="002812EB"/>
    <w:p w14:paraId="5444F71B" w14:textId="77777777" w:rsidR="002812EB" w:rsidRDefault="002812EB" w:rsidP="002812EB">
      <w:pPr>
        <w:rPr>
          <w:u w:val="single"/>
        </w:rPr>
      </w:pPr>
      <w:r>
        <w:t xml:space="preserve">2. </w:t>
      </w:r>
      <w:r>
        <w:rPr>
          <w:b/>
          <w:bCs/>
          <w:u w:val="single"/>
        </w:rPr>
        <w:t>Reaction (Claisen Condensation)</w:t>
      </w:r>
      <w:r>
        <w:rPr>
          <w:u w:val="single"/>
        </w:rPr>
        <w:t>:</w:t>
      </w:r>
    </w:p>
    <w:p w14:paraId="74C8B1A7" w14:textId="77777777" w:rsidR="002812EB" w:rsidRDefault="002812EB" w:rsidP="002812EB">
      <w:r>
        <w:t xml:space="preserve">    - </w:t>
      </w:r>
      <w:r>
        <w:rPr>
          <w:b/>
          <w:bCs/>
        </w:rPr>
        <w:t>Purpose</w:t>
      </w:r>
      <w:r>
        <w:t>: Formation of the intermediate compound (sodium acetylacetonate).</w:t>
      </w:r>
    </w:p>
    <w:p w14:paraId="5254549E" w14:textId="77777777" w:rsidR="002812EB" w:rsidRDefault="002812EB" w:rsidP="002812EB">
      <w:r>
        <w:t xml:space="preserve">    - </w:t>
      </w:r>
      <w:r>
        <w:rPr>
          <w:b/>
          <w:bCs/>
        </w:rPr>
        <w:t>Reactor Type</w:t>
      </w:r>
      <w:r>
        <w:t>: Batch reactor or plug flow reactor (PFR).</w:t>
      </w:r>
    </w:p>
    <w:p w14:paraId="083F2278" w14:textId="77777777" w:rsidR="002812EB" w:rsidRDefault="002812EB" w:rsidP="002812EB">
      <w:r>
        <w:t xml:space="preserve">    - </w:t>
      </w:r>
      <w:r>
        <w:rPr>
          <w:b/>
          <w:bCs/>
        </w:rPr>
        <w:t>Operating Conditions</w:t>
      </w:r>
      <w:r>
        <w:t>:</w:t>
      </w:r>
    </w:p>
    <w:p w14:paraId="791A0CBD" w14:textId="77777777" w:rsidR="002812EB" w:rsidRDefault="002812EB" w:rsidP="002812EB">
      <w:r>
        <w:t xml:space="preserve">        - </w:t>
      </w:r>
      <w:r>
        <w:rPr>
          <w:b/>
          <w:bCs/>
        </w:rPr>
        <w:t>Temperature</w:t>
      </w:r>
      <w:r>
        <w:t>: Maintain at 80-85°C for several hours.</w:t>
      </w:r>
    </w:p>
    <w:p w14:paraId="7767A2DF" w14:textId="77777777" w:rsidR="002812EB" w:rsidRDefault="002812EB" w:rsidP="002812EB">
      <w:r>
        <w:t xml:space="preserve">        - </w:t>
      </w:r>
      <w:r>
        <w:rPr>
          <w:b/>
          <w:bCs/>
        </w:rPr>
        <w:t>Pressure</w:t>
      </w:r>
      <w:r>
        <w:t>: Atmospheric pressure.</w:t>
      </w:r>
    </w:p>
    <w:p w14:paraId="5DE03AB9" w14:textId="77777777" w:rsidR="002812EB" w:rsidRDefault="002812EB" w:rsidP="002812EB">
      <w:r>
        <w:t xml:space="preserve">        - </w:t>
      </w:r>
      <w:r>
        <w:rPr>
          <w:b/>
          <w:bCs/>
        </w:rPr>
        <w:t>Catalyst</w:t>
      </w:r>
      <w:r>
        <w:t>: Sodium butoxide (NaOBu).</w:t>
      </w:r>
    </w:p>
    <w:p w14:paraId="7E39B2D4" w14:textId="77777777" w:rsidR="002812EB" w:rsidRDefault="002812EB" w:rsidP="002812EB"/>
    <w:p w14:paraId="068E773D" w14:textId="77777777" w:rsidR="002812EB" w:rsidRDefault="002812EB" w:rsidP="002812EB">
      <w:pPr>
        <w:rPr>
          <w:u w:val="single"/>
        </w:rPr>
      </w:pPr>
      <w:r>
        <w:t xml:space="preserve">3. </w:t>
      </w:r>
      <w:r>
        <w:rPr>
          <w:b/>
          <w:bCs/>
          <w:u w:val="single"/>
        </w:rPr>
        <w:t>Cooling and Precipitation</w:t>
      </w:r>
      <w:r>
        <w:rPr>
          <w:u w:val="single"/>
        </w:rPr>
        <w:t>:</w:t>
      </w:r>
    </w:p>
    <w:p w14:paraId="22811B54" w14:textId="77777777" w:rsidR="002812EB" w:rsidRDefault="002812EB" w:rsidP="002812EB">
      <w:r>
        <w:t xml:space="preserve">    - </w:t>
      </w:r>
      <w:r>
        <w:rPr>
          <w:b/>
          <w:bCs/>
        </w:rPr>
        <w:t>Purpose</w:t>
      </w:r>
      <w:r>
        <w:t>: Allow the product (sodium acetylacetonate) to crystallize.</w:t>
      </w:r>
    </w:p>
    <w:p w14:paraId="4E0239E2" w14:textId="77777777" w:rsidR="002812EB" w:rsidRDefault="002812EB" w:rsidP="002812EB">
      <w:r>
        <w:t xml:space="preserve">    - </w:t>
      </w:r>
      <w:r>
        <w:rPr>
          <w:b/>
          <w:bCs/>
        </w:rPr>
        <w:t>Reactor Type</w:t>
      </w:r>
      <w:r>
        <w:t>: Crystallizer (e.g., cooling crystallizer).</w:t>
      </w:r>
    </w:p>
    <w:p w14:paraId="4673812C" w14:textId="77777777" w:rsidR="002812EB" w:rsidRDefault="002812EB" w:rsidP="002812EB">
      <w:r>
        <w:t xml:space="preserve">    - </w:t>
      </w:r>
      <w:r>
        <w:rPr>
          <w:b/>
          <w:bCs/>
        </w:rPr>
        <w:t>Operating Conditions</w:t>
      </w:r>
      <w:r>
        <w:t>:</w:t>
      </w:r>
    </w:p>
    <w:p w14:paraId="582F484E" w14:textId="77777777" w:rsidR="002812EB" w:rsidRDefault="002812EB" w:rsidP="002812EB">
      <w:r>
        <w:t xml:space="preserve">        - </w:t>
      </w:r>
      <w:r>
        <w:rPr>
          <w:b/>
          <w:bCs/>
        </w:rPr>
        <w:t>Cooling Rate</w:t>
      </w:r>
      <w:r>
        <w:t>: Gradual cooling to room temperature.</w:t>
      </w:r>
    </w:p>
    <w:p w14:paraId="28F5B194" w14:textId="77777777" w:rsidR="002812EB" w:rsidRDefault="002812EB" w:rsidP="002812EB">
      <w:r>
        <w:t xml:space="preserve">        - </w:t>
      </w:r>
      <w:r>
        <w:rPr>
          <w:b/>
          <w:bCs/>
        </w:rPr>
        <w:t>Solvent</w:t>
      </w:r>
      <w:r>
        <w:t>: Inert solvent (e.g., n-heptane).</w:t>
      </w:r>
    </w:p>
    <w:p w14:paraId="74AA3B0D" w14:textId="77777777" w:rsidR="002812EB" w:rsidRDefault="002812EB" w:rsidP="002812EB"/>
    <w:p w14:paraId="41A85C15" w14:textId="77777777" w:rsidR="002812EB" w:rsidRDefault="002812EB" w:rsidP="002812EB">
      <w:r>
        <w:t xml:space="preserve">4. </w:t>
      </w:r>
      <w:r>
        <w:rPr>
          <w:b/>
          <w:bCs/>
          <w:u w:val="single"/>
        </w:rPr>
        <w:t>Filtration</w:t>
      </w:r>
      <w:r>
        <w:t>:</w:t>
      </w:r>
    </w:p>
    <w:p w14:paraId="72E15CEE" w14:textId="77777777" w:rsidR="002812EB" w:rsidRDefault="002812EB" w:rsidP="002812EB">
      <w:r>
        <w:t xml:space="preserve">    - </w:t>
      </w:r>
      <w:r>
        <w:rPr>
          <w:b/>
          <w:bCs/>
        </w:rPr>
        <w:t>Purpose</w:t>
      </w:r>
      <w:r>
        <w:t>: Separate the crystals of sodium acetylacetonate from the solvent.</w:t>
      </w:r>
    </w:p>
    <w:p w14:paraId="4AB7055B" w14:textId="77777777" w:rsidR="002812EB" w:rsidRDefault="002812EB" w:rsidP="002812EB">
      <w:r>
        <w:t xml:space="preserve">    - </w:t>
      </w:r>
      <w:r>
        <w:rPr>
          <w:b/>
          <w:bCs/>
        </w:rPr>
        <w:t>Reactor Type</w:t>
      </w:r>
      <w:r>
        <w:t>: Filtration unit (e.g., vacuum filter or centrifuge).</w:t>
      </w:r>
    </w:p>
    <w:p w14:paraId="6A55474D" w14:textId="77777777" w:rsidR="002812EB" w:rsidRDefault="002812EB" w:rsidP="002812EB">
      <w:r>
        <w:t xml:space="preserve">    - </w:t>
      </w:r>
      <w:r>
        <w:rPr>
          <w:b/>
          <w:bCs/>
        </w:rPr>
        <w:t>Operating Conditions</w:t>
      </w:r>
      <w:r>
        <w:t>:</w:t>
      </w:r>
    </w:p>
    <w:p w14:paraId="649D4D9B" w14:textId="77777777" w:rsidR="002812EB" w:rsidRDefault="002812EB" w:rsidP="002812EB">
      <w:r>
        <w:t xml:space="preserve">        - </w:t>
      </w:r>
      <w:r>
        <w:rPr>
          <w:b/>
          <w:bCs/>
        </w:rPr>
        <w:t>Filter Medium</w:t>
      </w:r>
      <w:r>
        <w:t>: Filter paper or cloth.</w:t>
      </w:r>
    </w:p>
    <w:p w14:paraId="01B71E16" w14:textId="77777777" w:rsidR="002812EB" w:rsidRDefault="002812EB" w:rsidP="002812EB">
      <w:r>
        <w:t xml:space="preserve">        - </w:t>
      </w:r>
      <w:r>
        <w:rPr>
          <w:b/>
          <w:bCs/>
        </w:rPr>
        <w:t>Pressure</w:t>
      </w:r>
      <w:r>
        <w:t>: Gravity filtration.</w:t>
      </w:r>
    </w:p>
    <w:p w14:paraId="6909DF3F" w14:textId="77777777" w:rsidR="002812EB" w:rsidRDefault="002812EB" w:rsidP="002812EB"/>
    <w:p w14:paraId="3AC66901" w14:textId="77777777" w:rsidR="002812EB" w:rsidRDefault="002812EB" w:rsidP="002812EB">
      <w:r>
        <w:t xml:space="preserve">5. </w:t>
      </w:r>
      <w:r>
        <w:rPr>
          <w:b/>
          <w:bCs/>
          <w:u w:val="single"/>
        </w:rPr>
        <w:t>Acidification</w:t>
      </w:r>
      <w:r>
        <w:t>:</w:t>
      </w:r>
    </w:p>
    <w:p w14:paraId="68B7122B" w14:textId="77777777" w:rsidR="002812EB" w:rsidRDefault="002812EB" w:rsidP="002812EB">
      <w:r>
        <w:t xml:space="preserve">    - </w:t>
      </w:r>
      <w:r>
        <w:rPr>
          <w:b/>
          <w:bCs/>
        </w:rPr>
        <w:t>Purpose</w:t>
      </w:r>
      <w:r>
        <w:t>: Convert sodium acetylacetonate to acetylacetone.</w:t>
      </w:r>
    </w:p>
    <w:p w14:paraId="5240EE69" w14:textId="77777777" w:rsidR="002812EB" w:rsidRDefault="002812EB" w:rsidP="002812EB">
      <w:r>
        <w:t xml:space="preserve">    - </w:t>
      </w:r>
      <w:r>
        <w:rPr>
          <w:b/>
          <w:bCs/>
        </w:rPr>
        <w:t>Reactor Type</w:t>
      </w:r>
      <w:r>
        <w:t>: Stirred tank reactor (STR) or continuous stirred tank reactor (CSTR).</w:t>
      </w:r>
    </w:p>
    <w:p w14:paraId="2007167A" w14:textId="77777777" w:rsidR="002812EB" w:rsidRDefault="002812EB" w:rsidP="002812EB">
      <w:r>
        <w:t xml:space="preserve">    - </w:t>
      </w:r>
      <w:r>
        <w:rPr>
          <w:b/>
          <w:bCs/>
        </w:rPr>
        <w:t>Operating Conditions</w:t>
      </w:r>
      <w:r>
        <w:t>:</w:t>
      </w:r>
    </w:p>
    <w:p w14:paraId="4AF6021D" w14:textId="77777777" w:rsidR="002812EB" w:rsidRDefault="002812EB" w:rsidP="002812EB">
      <w:r>
        <w:t xml:space="preserve">        - </w:t>
      </w:r>
      <w:r>
        <w:rPr>
          <w:b/>
          <w:bCs/>
        </w:rPr>
        <w:t>Acid</w:t>
      </w:r>
      <w:r>
        <w:t>: Hydrochloric acid (HCl).</w:t>
      </w:r>
    </w:p>
    <w:p w14:paraId="5ABBEA6D" w14:textId="77777777" w:rsidR="002812EB" w:rsidRDefault="002812EB" w:rsidP="002812EB">
      <w:r>
        <w:t xml:space="preserve">        - </w:t>
      </w:r>
      <w:r>
        <w:rPr>
          <w:b/>
          <w:bCs/>
        </w:rPr>
        <w:t>Stoichiometry</w:t>
      </w:r>
      <w:r>
        <w:t>: 1 mole of sodium acetylacetonate reacts with 1 mole of HCl.</w:t>
      </w:r>
    </w:p>
    <w:p w14:paraId="761D33E8" w14:textId="77777777" w:rsidR="002812EB" w:rsidRDefault="002812EB" w:rsidP="002812EB"/>
    <w:p w14:paraId="595D4317" w14:textId="77777777" w:rsidR="002812EB" w:rsidRDefault="002812EB" w:rsidP="002812EB">
      <w:r>
        <w:t xml:space="preserve">6. </w:t>
      </w:r>
      <w:r>
        <w:rPr>
          <w:b/>
          <w:bCs/>
          <w:u w:val="single"/>
        </w:rPr>
        <w:t>Extraction</w:t>
      </w:r>
      <w:r>
        <w:t>:</w:t>
      </w:r>
    </w:p>
    <w:p w14:paraId="69E3B447" w14:textId="77777777" w:rsidR="002812EB" w:rsidRDefault="002812EB" w:rsidP="002812EB">
      <w:r>
        <w:t xml:space="preserve">    - </w:t>
      </w:r>
      <w:r>
        <w:rPr>
          <w:b/>
          <w:bCs/>
          <w:u w:val="single"/>
        </w:rPr>
        <w:t>Purpose</w:t>
      </w:r>
      <w:r>
        <w:t>: Isolate acetylacetone from the aqueous phase.</w:t>
      </w:r>
    </w:p>
    <w:p w14:paraId="5F87E959" w14:textId="77777777" w:rsidR="002812EB" w:rsidRDefault="002812EB" w:rsidP="002812EB">
      <w:r>
        <w:t xml:space="preserve">    - </w:t>
      </w:r>
      <w:r>
        <w:rPr>
          <w:b/>
          <w:bCs/>
          <w:u w:val="single"/>
        </w:rPr>
        <w:t>Reactor Type</w:t>
      </w:r>
      <w:r>
        <w:t>: Extraction column (e.g., mixer-settler or packed column).</w:t>
      </w:r>
    </w:p>
    <w:p w14:paraId="7C0FE833" w14:textId="77777777" w:rsidR="002812EB" w:rsidRDefault="002812EB" w:rsidP="002812EB">
      <w:r>
        <w:t xml:space="preserve">    - </w:t>
      </w:r>
      <w:r>
        <w:rPr>
          <w:b/>
          <w:bCs/>
          <w:u w:val="single"/>
        </w:rPr>
        <w:t>Operating Conditions</w:t>
      </w:r>
      <w:r>
        <w:t>:</w:t>
      </w:r>
    </w:p>
    <w:p w14:paraId="094BE9D0" w14:textId="77777777" w:rsidR="002812EB" w:rsidRDefault="002812EB" w:rsidP="002812EB">
      <w:r>
        <w:t xml:space="preserve">        - </w:t>
      </w:r>
      <w:r>
        <w:rPr>
          <w:b/>
          <w:bCs/>
        </w:rPr>
        <w:t>Solvent</w:t>
      </w:r>
      <w:r>
        <w:t>: Organic solvent (e.g., dichloromethane).</w:t>
      </w:r>
    </w:p>
    <w:p w14:paraId="405578A6" w14:textId="77777777" w:rsidR="002812EB" w:rsidRDefault="002812EB" w:rsidP="002812EB">
      <w:r>
        <w:lastRenderedPageBreak/>
        <w:t xml:space="preserve">        - </w:t>
      </w:r>
      <w:r>
        <w:rPr>
          <w:b/>
          <w:bCs/>
        </w:rPr>
        <w:t>Shaking or Stirring</w:t>
      </w:r>
      <w:r>
        <w:t>: To enhance extraction efficiency.</w:t>
      </w:r>
    </w:p>
    <w:p w14:paraId="2A0258F7" w14:textId="77777777" w:rsidR="002812EB" w:rsidRDefault="002812EB" w:rsidP="002812EB"/>
    <w:p w14:paraId="371BBB58" w14:textId="77777777" w:rsidR="002812EB" w:rsidRDefault="002812EB" w:rsidP="002812EB">
      <w:r>
        <w:t xml:space="preserve">7. </w:t>
      </w:r>
      <w:r>
        <w:rPr>
          <w:b/>
          <w:bCs/>
          <w:u w:val="single"/>
        </w:rPr>
        <w:t>Distillation</w:t>
      </w:r>
      <w:r>
        <w:t>:</w:t>
      </w:r>
    </w:p>
    <w:p w14:paraId="3DEF00FA" w14:textId="77777777" w:rsidR="002812EB" w:rsidRDefault="002812EB" w:rsidP="002812EB">
      <w:r>
        <w:t xml:space="preserve">    - </w:t>
      </w:r>
      <w:r>
        <w:rPr>
          <w:b/>
          <w:bCs/>
        </w:rPr>
        <w:t>Purpose</w:t>
      </w:r>
      <w:r>
        <w:t>: Obtain pure acetylacetone.</w:t>
      </w:r>
    </w:p>
    <w:p w14:paraId="150540C7" w14:textId="77777777" w:rsidR="002812EB" w:rsidRDefault="002812EB" w:rsidP="002812EB">
      <w:r>
        <w:t xml:space="preserve">    - </w:t>
      </w:r>
      <w:r>
        <w:rPr>
          <w:b/>
          <w:bCs/>
        </w:rPr>
        <w:t>Reactor Type</w:t>
      </w:r>
      <w:r>
        <w:t>: Distillation column (e.g., fractional distillation column).</w:t>
      </w:r>
    </w:p>
    <w:p w14:paraId="0592D07D" w14:textId="77777777" w:rsidR="002812EB" w:rsidRDefault="002812EB" w:rsidP="002812EB">
      <w:r>
        <w:t xml:space="preserve">    - </w:t>
      </w:r>
      <w:r>
        <w:rPr>
          <w:b/>
          <w:bCs/>
        </w:rPr>
        <w:t>Operating Conditions</w:t>
      </w:r>
      <w:r>
        <w:t>:</w:t>
      </w:r>
    </w:p>
    <w:p w14:paraId="6C54F5BE" w14:textId="77777777" w:rsidR="002812EB" w:rsidRDefault="002812EB" w:rsidP="002812EB">
      <w:r>
        <w:t xml:space="preserve">        - </w:t>
      </w:r>
      <w:r>
        <w:rPr>
          <w:b/>
          <w:bCs/>
        </w:rPr>
        <w:t>Temperature</w:t>
      </w:r>
      <w:r>
        <w:t>: Distill the organic solvent to separate acetylacetone.</w:t>
      </w:r>
    </w:p>
    <w:p w14:paraId="12646BEB" w14:textId="77777777" w:rsidR="002812EB" w:rsidRDefault="002812EB" w:rsidP="002812EB">
      <w:r>
        <w:t xml:space="preserve">        - </w:t>
      </w:r>
      <w:r>
        <w:rPr>
          <w:b/>
          <w:bCs/>
        </w:rPr>
        <w:t>Pressure</w:t>
      </w:r>
      <w:r>
        <w:t>: Atmospheric pressure.</w:t>
      </w:r>
    </w:p>
    <w:p w14:paraId="31877921" w14:textId="318CCD72" w:rsidR="00657A3E" w:rsidRDefault="00657A3E" w:rsidP="00657A3E"/>
    <w:p w14:paraId="7844B58A" w14:textId="77777777" w:rsidR="00657A3E" w:rsidRDefault="00657A3E" w:rsidP="00657A3E">
      <w:pPr>
        <w:jc w:val="left"/>
        <w:rPr>
          <w:b/>
          <w:bCs/>
        </w:rPr>
      </w:pPr>
    </w:p>
    <w:p w14:paraId="37C40322" w14:textId="77777777" w:rsidR="00657A3E" w:rsidRPr="00657A3E" w:rsidRDefault="00657A3E" w:rsidP="00657A3E">
      <w:pPr>
        <w:jc w:val="center"/>
        <w:rPr>
          <w:b/>
          <w:bCs/>
        </w:rPr>
      </w:pPr>
    </w:p>
    <w:p w14:paraId="6D370E23" w14:textId="40B3E077" w:rsidR="00544C0A" w:rsidRDefault="00783EF4" w:rsidP="00544C0A">
      <w:pPr>
        <w:pStyle w:val="ListParagraph"/>
        <w:numPr>
          <w:ilvl w:val="0"/>
          <w:numId w:val="1"/>
        </w:numPr>
      </w:pPr>
      <w:r>
        <w:t>Give the material balance</w:t>
      </w:r>
      <w:r w:rsidR="004F3E17">
        <w:t xml:space="preserve"> for a scaled-up process plant with capacity of 1000 kg/day. (If needed, simplify the calculations by stating assumptions)</w:t>
      </w:r>
    </w:p>
    <w:p w14:paraId="7F94EE68" w14:textId="279237EA" w:rsidR="00921EE1" w:rsidRDefault="00921EE1" w:rsidP="00544C0A">
      <w:pPr>
        <w:pStyle w:val="ListParagraph"/>
        <w:numPr>
          <w:ilvl w:val="0"/>
          <w:numId w:val="1"/>
        </w:numPr>
      </w:pPr>
      <w:r>
        <w:t>List the capacity</w:t>
      </w:r>
      <w:r w:rsidR="00162F10">
        <w:t xml:space="preserve"> of reactors</w:t>
      </w:r>
      <w:r>
        <w:t xml:space="preserve"> needed </w:t>
      </w:r>
      <w:r w:rsidR="00162F10">
        <w:t xml:space="preserve">and evaluate the cost. Use Glass lined Carbon steel (GS lined CS) as the material of construction (MOC). </w:t>
      </w:r>
      <w:r w:rsidR="00157B1E">
        <w:t>Use the pressure according to reaction conditions. You will use only 70% of the total volume. If you design a 1000 L reactor, you can only fill 700 L reaction mixture.</w:t>
      </w:r>
      <w:r w:rsidR="00162F10">
        <w:t xml:space="preserve"> </w:t>
      </w:r>
    </w:p>
    <w:p w14:paraId="3ACD2E1A" w14:textId="2BB2E83E" w:rsidR="00921EE1" w:rsidRDefault="00921EE1" w:rsidP="00921EE1">
      <w:pPr>
        <w:rPr>
          <w:rFonts w:ascii="HELVETICA NEUE CONDENSED" w:hAnsi="HELVETICA NEUE CONDENSED"/>
          <w:b/>
          <w:bCs/>
        </w:rPr>
      </w:pPr>
      <w:r w:rsidRPr="00162F10">
        <w:rPr>
          <w:rFonts w:ascii="HELVETICA NEUE CONDENSED" w:hAnsi="HELVETICA NEUE CONDENSED"/>
          <w:b/>
          <w:bCs/>
        </w:rPr>
        <w:t>Capital cost</w:t>
      </w:r>
      <w:r w:rsidR="00450BF0">
        <w:rPr>
          <w:rFonts w:ascii="HELVETICA NEUE CONDENSED" w:hAnsi="HELVETICA NEUE CONDENSED"/>
          <w:b/>
          <w:bCs/>
        </w:rPr>
        <w:t xml:space="preserve"> (only for the reactor)</w:t>
      </w:r>
      <w:r w:rsidRPr="00162F10">
        <w:rPr>
          <w:rFonts w:ascii="HELVETICA NEUE CONDENSED" w:hAnsi="HELVETICA NEUE CONDENSED"/>
          <w:b/>
          <w:bCs/>
        </w:rPr>
        <w:t>:</w:t>
      </w:r>
    </w:p>
    <w:p w14:paraId="09F67B41" w14:textId="6144139B" w:rsidR="00162F10" w:rsidRPr="00162F10" w:rsidRDefault="00162F10" w:rsidP="00921EE1">
      <w:pPr>
        <w:rPr>
          <w:rFonts w:asciiTheme="majorHAnsi" w:hAnsiTheme="majorHAnsi"/>
          <w:b/>
          <w:bCs/>
        </w:rPr>
      </w:pPr>
      <w:r w:rsidRPr="00162F10">
        <w:rPr>
          <w:rFonts w:asciiTheme="majorHAnsi" w:hAnsiTheme="majorHAnsi"/>
          <w:b/>
          <w:bCs/>
        </w:rPr>
        <w:t>example</w:t>
      </w:r>
      <w:r>
        <w:rPr>
          <w:rFonts w:asciiTheme="majorHAnsi" w:hAnsi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948"/>
        <w:gridCol w:w="1808"/>
        <w:gridCol w:w="1729"/>
      </w:tblGrid>
      <w:tr w:rsidR="00162F10" w14:paraId="45C6E58C" w14:textId="77777777" w:rsidTr="00194D20">
        <w:tc>
          <w:tcPr>
            <w:tcW w:w="2972" w:type="dxa"/>
          </w:tcPr>
          <w:p w14:paraId="70BAF2FA" w14:textId="241B5A45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Equipment</w:t>
            </w:r>
          </w:p>
        </w:tc>
        <w:tc>
          <w:tcPr>
            <w:tcW w:w="1559" w:type="dxa"/>
          </w:tcPr>
          <w:p w14:paraId="1135ECEC" w14:textId="3F079CDE" w:rsidR="00162F10" w:rsidRPr="00157B1E" w:rsidRDefault="00157B1E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 xml:space="preserve">Design </w:t>
            </w:r>
            <w:r w:rsidR="00162F10" w:rsidRPr="00157B1E">
              <w:rPr>
                <w:rFonts w:ascii="Helvetica Neue" w:hAnsi="Helvetica Neue"/>
                <w:b/>
                <w:bCs/>
              </w:rPr>
              <w:t>Capacity (L)</w:t>
            </w:r>
          </w:p>
        </w:tc>
        <w:tc>
          <w:tcPr>
            <w:tcW w:w="948" w:type="dxa"/>
          </w:tcPr>
          <w:p w14:paraId="4F086046" w14:textId="50F63AAD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No. of units</w:t>
            </w:r>
          </w:p>
        </w:tc>
        <w:tc>
          <w:tcPr>
            <w:tcW w:w="1808" w:type="dxa"/>
          </w:tcPr>
          <w:p w14:paraId="49F9BBEE" w14:textId="5F9A6AB4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Cost/unit ($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for year 2014</w:t>
            </w:r>
            <w:r w:rsidRPr="00157B1E">
              <w:rPr>
                <w:rFonts w:ascii="Helvetica Neue" w:hAnsi="Helvetica Neue"/>
                <w:b/>
                <w:bCs/>
              </w:rPr>
              <w:t>)</w:t>
            </w:r>
          </w:p>
        </w:tc>
        <w:tc>
          <w:tcPr>
            <w:tcW w:w="1729" w:type="dxa"/>
          </w:tcPr>
          <w:p w14:paraId="0F623639" w14:textId="05E96437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Total Cost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($ for year 2014)</w:t>
            </w:r>
          </w:p>
        </w:tc>
      </w:tr>
      <w:tr w:rsidR="00157B1E" w14:paraId="2F312D65" w14:textId="77777777" w:rsidTr="00194D20">
        <w:tc>
          <w:tcPr>
            <w:tcW w:w="2972" w:type="dxa"/>
          </w:tcPr>
          <w:p w14:paraId="4D781495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Reactor 1</w:t>
            </w:r>
          </w:p>
          <w:p w14:paraId="6576C435" w14:textId="0862D55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(Jacketed reactor, agitated, Carbon steel</w:t>
            </w:r>
            <w:r w:rsidR="002F6944">
              <w:t>, atm. pressure</w:t>
            </w:r>
            <w:r>
              <w:t>)</w:t>
            </w:r>
          </w:p>
        </w:tc>
        <w:tc>
          <w:tcPr>
            <w:tcW w:w="1559" w:type="dxa"/>
          </w:tcPr>
          <w:p w14:paraId="03A94D8B" w14:textId="4AA628B5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2000</w:t>
            </w:r>
          </w:p>
        </w:tc>
        <w:tc>
          <w:tcPr>
            <w:tcW w:w="948" w:type="dxa"/>
          </w:tcPr>
          <w:p w14:paraId="18520D42" w14:textId="07AAD53F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</w:t>
            </w:r>
          </w:p>
        </w:tc>
        <w:tc>
          <w:tcPr>
            <w:tcW w:w="1808" w:type="dxa"/>
          </w:tcPr>
          <w:p w14:paraId="1ED354F3" w14:textId="55542364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  <w:tc>
          <w:tcPr>
            <w:tcW w:w="1729" w:type="dxa"/>
          </w:tcPr>
          <w:p w14:paraId="2C6EBC0E" w14:textId="6B62451E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</w:tr>
      <w:tr w:rsidR="00157B1E" w14:paraId="48D3490B" w14:textId="77777777" w:rsidTr="00194D20">
        <w:tc>
          <w:tcPr>
            <w:tcW w:w="2972" w:type="dxa"/>
          </w:tcPr>
          <w:p w14:paraId="7CC61A4E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559" w:type="dxa"/>
          </w:tcPr>
          <w:p w14:paraId="431C2C04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948" w:type="dxa"/>
          </w:tcPr>
          <w:p w14:paraId="56EC193F" w14:textId="11108DCA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808" w:type="dxa"/>
          </w:tcPr>
          <w:p w14:paraId="3A9169EB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729" w:type="dxa"/>
          </w:tcPr>
          <w:p w14:paraId="779922A7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0C216B11" w14:textId="77777777" w:rsidR="00921EE1" w:rsidRPr="00415C0E" w:rsidRDefault="00921EE1" w:rsidP="00921EE1"/>
    <w:p w14:paraId="03B16A5E" w14:textId="7A8FB787" w:rsidR="00AE311E" w:rsidRDefault="00AE311E" w:rsidP="00415C0E">
      <w:r w:rsidRPr="00415C0E">
        <w:rPr>
          <w:rFonts w:ascii="HELVETICA NEUE CONDENSED" w:hAnsi="HELVETICA NEUE CONDENSED"/>
          <w:b/>
          <w:bCs/>
        </w:rPr>
        <w:t>References:</w:t>
      </w:r>
      <w:r w:rsidR="004B483A">
        <w:t xml:space="preserve"> Provide reference for a research paper or an actual patent.</w:t>
      </w:r>
    </w:p>
    <w:p w14:paraId="628C7FE1" w14:textId="77777777" w:rsidR="002812EB" w:rsidRDefault="006C1E5E" w:rsidP="002812EB">
      <w:pPr>
        <w:rPr>
          <w:rFonts w:asciiTheme="minorHAnsi" w:hAnsiTheme="minorHAnsi" w:cstheme="minorBidi"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hyperlink r:id="rId10" w:history="1"/>
      <w:r w:rsidR="002812EB">
        <w:rPr>
          <w:rStyle w:val="Hyperlink"/>
        </w:rPr>
        <w:t xml:space="preserve"> </w:t>
      </w:r>
      <w:r w:rsidR="002812EB">
        <w:t xml:space="preserve">(1) Biosynthesis of acetylacetone inspired by its biodegradation. </w:t>
      </w:r>
      <w:hyperlink r:id="rId11" w:history="1">
        <w:r w:rsidR="002812EB">
          <w:rPr>
            <w:rStyle w:val="Hyperlink"/>
          </w:rPr>
          <w:t>https://biotechnologyforbiofuels.biomedcentral.com/articles/10.1186/s13068-020-01725-9</w:t>
        </w:r>
      </w:hyperlink>
      <w:r w:rsidR="002812EB">
        <w:t>.</w:t>
      </w:r>
    </w:p>
    <w:p w14:paraId="4312B879" w14:textId="77777777" w:rsidR="002812EB" w:rsidRDefault="002812EB" w:rsidP="002812EB">
      <w:r>
        <w:t xml:space="preserve">(2) UNIT OPERATIONS : PHARMACEUTICAL ENGINEERING ON BASICS AND … - SlideShare. </w:t>
      </w:r>
      <w:hyperlink r:id="rId12" w:history="1">
        <w:r>
          <w:rPr>
            <w:rStyle w:val="Hyperlink"/>
          </w:rPr>
          <w:t>https://www.slideshare.net/ATANUBARIK1/basics-and-application-of-unit-operations-in-pharmaceutical-engineering</w:t>
        </w:r>
      </w:hyperlink>
      <w:r>
        <w:t>.</w:t>
      </w:r>
    </w:p>
    <w:p w14:paraId="403BDCB6" w14:textId="77777777" w:rsidR="002812EB" w:rsidRDefault="002812EB" w:rsidP="002812EB">
      <w:r>
        <w:t xml:space="preserve">(3) Pharmaceutical industry and unit process | PPT – SlideShare. </w:t>
      </w:r>
      <w:hyperlink r:id="rId13" w:history="1">
        <w:r>
          <w:rPr>
            <w:rStyle w:val="Hyperlink"/>
          </w:rPr>
          <w:t>https://www.slideshare.net/ibtihalosman/pharmaceutical-industry-and-unit-process</w:t>
        </w:r>
      </w:hyperlink>
      <w:r>
        <w:t>.</w:t>
      </w:r>
    </w:p>
    <w:p w14:paraId="538F1B64" w14:textId="77777777" w:rsidR="002812EB" w:rsidRDefault="002812EB" w:rsidP="002812EB">
      <w:r>
        <w:t>(4) UNIT 5 Bioreactor Design – Sathyabama Institute of Science and Technology. https://www.sathyabama.ac.in/sites/default/files/course-material/2020-10/UNIT-V_11.pdf.</w:t>
      </w:r>
    </w:p>
    <w:p w14:paraId="341AAD09" w14:textId="77777777" w:rsidR="002812EB" w:rsidRDefault="002812EB" w:rsidP="002812EB">
      <w:r>
        <w:t xml:space="preserve">(5) Acetylacetone – NIST Chemistry WebBook. </w:t>
      </w:r>
      <w:hyperlink r:id="rId14" w:history="1">
        <w:r>
          <w:rPr>
            <w:rStyle w:val="Hyperlink"/>
          </w:rPr>
          <w:t>https://webbook.nist.gov/cgi/cbook.cgi?ID=C123546&amp;Mask=819</w:t>
        </w:r>
      </w:hyperlink>
      <w:r>
        <w:t>.</w:t>
      </w:r>
    </w:p>
    <w:p w14:paraId="7E6D06B6" w14:textId="77777777" w:rsidR="002812EB" w:rsidRDefault="002812EB" w:rsidP="002812EB">
      <w:r>
        <w:t xml:space="preserve">(6) 23.8: The Claisen Condensation Reaction – Chemistry LibreTexts. </w:t>
      </w:r>
      <w:hyperlink r:id="rId15" w:history="1">
        <w:r>
          <w:rPr>
            <w:rStyle w:val="Hyperlink"/>
          </w:rPr>
          <w:t>https://chem.libretexts.org/Courses/Smith_College/Organic_Chemistry_%28LibreTexts%29/23%3A_Carbonyl_Condensation_Reactions/23.08%3A_The_Claisen_Condensation_Reaction</w:t>
        </w:r>
      </w:hyperlink>
      <w:r>
        <w:t>.</w:t>
      </w:r>
    </w:p>
    <w:p w14:paraId="37A76928" w14:textId="77777777" w:rsidR="002812EB" w:rsidRDefault="002812EB" w:rsidP="002812EB">
      <w:r>
        <w:t xml:space="preserve">(7) Claisen condensation – Wikipedia. </w:t>
      </w:r>
      <w:hyperlink r:id="rId16" w:history="1">
        <w:r>
          <w:rPr>
            <w:rStyle w:val="Hyperlink"/>
          </w:rPr>
          <w:t>https://en.wikipedia.org/wiki/Claisen_condensation</w:t>
        </w:r>
      </w:hyperlink>
      <w:r>
        <w:t>.</w:t>
      </w:r>
    </w:p>
    <w:p w14:paraId="2C79F2E2" w14:textId="77777777" w:rsidR="002812EB" w:rsidRDefault="002812EB" w:rsidP="002812EB">
      <w:r>
        <w:t xml:space="preserve">(8) 23.8: The Claisen Condensation Reaction – Chemistry LibreTexts. </w:t>
      </w:r>
      <w:hyperlink r:id="rId17" w:history="1">
        <w:r>
          <w:rPr>
            <w:rStyle w:val="Hyperlink"/>
          </w:rPr>
          <w:t>https://chem.libretexts.org/Bookshelves/Organic_Chemistry/Organic_Chemistry_%28OpenStax%29/23%3A_Carbonyl_Condensation_Reactions/23.08%3A_The_Claisen_Condensation_Reaction</w:t>
        </w:r>
      </w:hyperlink>
      <w:r>
        <w:t>.</w:t>
      </w:r>
    </w:p>
    <w:p w14:paraId="5D67894A" w14:textId="77777777" w:rsidR="002812EB" w:rsidRDefault="002812EB" w:rsidP="002812EB">
      <w:r>
        <w:t xml:space="preserve">(9) 8.4: Claisen Condensation – Chemistry LibreTexts. </w:t>
      </w:r>
      <w:hyperlink r:id="rId18" w:history="1">
        <w:r>
          <w:rPr>
            <w:rStyle w:val="Hyperlink"/>
          </w:rPr>
          <w:t>https://chem.libretexts.org/Courses/SUNY_Oneonta/Chem_322_Lecture_Content/08%3A_Reactions_at_the_-Carbon_Part_II/8.04%3A_Claisen_Condensation</w:t>
        </w:r>
      </w:hyperlink>
      <w:r>
        <w:t>.</w:t>
      </w:r>
    </w:p>
    <w:p w14:paraId="680AB6C5" w14:textId="77777777" w:rsidR="002812EB" w:rsidRDefault="002812EB" w:rsidP="002812EB">
      <w:r>
        <w:t xml:space="preserve">(10) Preparation of Acetylacetone Using Sodium Alkoxide and Dispersed Sodium …. </w:t>
      </w:r>
      <w:hyperlink r:id="rId19" w:history="1">
        <w:r>
          <w:rPr>
            <w:rStyle w:val="Hyperlink"/>
          </w:rPr>
          <w:t>https://chemistry.mdma.ch/hiveboard/rhodium/pdf/acetylacetone.synthesis.pdf</w:t>
        </w:r>
      </w:hyperlink>
      <w:r>
        <w:t>.</w:t>
      </w:r>
    </w:p>
    <w:p w14:paraId="7E128A11" w14:textId="77777777" w:rsidR="002812EB" w:rsidRDefault="002812EB" w:rsidP="002812EB">
      <w:r>
        <w:t>(11) 23.7 The Claisen Condensation Reaction – OpenStax. https://openstax.org/books/organic-chemistry/pages/23-7-the-claisen-condensation-reaction.</w:t>
      </w:r>
    </w:p>
    <w:p w14:paraId="28479A99" w14:textId="77777777" w:rsidR="002812EB" w:rsidRDefault="002812EB" w:rsidP="002812EB">
      <w:r>
        <w:t xml:space="preserve">(12) An Overview of Metal Acetylacetonates: Developing Areas … - Springer. </w:t>
      </w:r>
      <w:hyperlink r:id="rId20" w:history="1">
        <w:r>
          <w:rPr>
            <w:rStyle w:val="Hyperlink"/>
          </w:rPr>
          <w:t>https://link.springer.com/article/10.1007/s10563-017-9239-9</w:t>
        </w:r>
      </w:hyperlink>
      <w:r>
        <w:t>.</w:t>
      </w:r>
    </w:p>
    <w:p w14:paraId="5E02B320" w14:textId="77777777" w:rsidR="002812EB" w:rsidRDefault="002812EB" w:rsidP="002812EB">
      <w:r>
        <w:t>(13) Acetylacetone – Wikipedia. https://en.wikipedia.org/wiki/Acetylacetone.</w:t>
      </w:r>
    </w:p>
    <w:p w14:paraId="10A44F79" w14:textId="289EC0C5" w:rsidR="00222492" w:rsidRDefault="00222492" w:rsidP="002812EB">
      <w:pPr>
        <w:pStyle w:val="ListParagraph"/>
      </w:pPr>
    </w:p>
    <w:p w14:paraId="1BA67885" w14:textId="77777777" w:rsidR="005E12EB" w:rsidRDefault="005E12EB" w:rsidP="00AE311E"/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443A6196" w14:textId="5384CC6B" w:rsidR="005E12EB" w:rsidRDefault="00657A3E" w:rsidP="005E12EB">
      <w:pPr>
        <w:pStyle w:val="ListParagraph"/>
        <w:numPr>
          <w:ilvl w:val="0"/>
          <w:numId w:val="2"/>
        </w:numPr>
      </w:pPr>
      <w:r>
        <w:t xml:space="preserve"> Prince Yadav find out about unit operation and process condition information.</w:t>
      </w:r>
    </w:p>
    <w:p w14:paraId="2D0F0425" w14:textId="60216BC6" w:rsidR="0020548D" w:rsidRDefault="008C0243" w:rsidP="0020548D">
      <w:pPr>
        <w:pStyle w:val="ListParagraph"/>
        <w:numPr>
          <w:ilvl w:val="0"/>
          <w:numId w:val="2"/>
        </w:numPr>
      </w:pPr>
      <w:r>
        <w:t>Authors</w:t>
      </w:r>
      <w:r w:rsidR="005E12EB">
        <w:t xml:space="preserve"> 2 and 3 </w:t>
      </w:r>
      <w:r w:rsidR="00415C0E">
        <w:t xml:space="preserve">found necessary separation steps to </w:t>
      </w:r>
      <w:r>
        <w:t>achieve desired product purity</w:t>
      </w:r>
      <w:r w:rsidR="005E12EB">
        <w:t xml:space="preserve">.  </w:t>
      </w:r>
    </w:p>
    <w:p w14:paraId="1BFE8DCD" w14:textId="28FE532F" w:rsidR="0020548D" w:rsidRDefault="0020548D" w:rsidP="0020548D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 w:rsidR="009508D0"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60B00" w14:paraId="61D67858" w14:textId="77777777" w:rsidTr="00877772">
        <w:tc>
          <w:tcPr>
            <w:tcW w:w="3004" w:type="dxa"/>
          </w:tcPr>
          <w:p w14:paraId="0803FAC3" w14:textId="77777777" w:rsidR="00560B00" w:rsidRDefault="00560B00" w:rsidP="00877772">
            <w:r>
              <w:t>Name</w:t>
            </w:r>
          </w:p>
        </w:tc>
        <w:tc>
          <w:tcPr>
            <w:tcW w:w="3006" w:type="dxa"/>
          </w:tcPr>
          <w:p w14:paraId="1BB7BDB8" w14:textId="77777777" w:rsidR="00560B00" w:rsidRDefault="00560B00" w:rsidP="00877772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72F5FC21" w14:textId="77777777" w:rsidR="00560B00" w:rsidRDefault="00560B00" w:rsidP="00877772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560B00" w14:paraId="4221BD1F" w14:textId="77777777" w:rsidTr="00877772">
        <w:tc>
          <w:tcPr>
            <w:tcW w:w="3004" w:type="dxa"/>
          </w:tcPr>
          <w:p w14:paraId="7BD3B9A2" w14:textId="77777777" w:rsidR="00560B00" w:rsidRDefault="00560B00" w:rsidP="00877772">
            <w:r>
              <w:t>CEO Name</w:t>
            </w:r>
          </w:p>
        </w:tc>
        <w:tc>
          <w:tcPr>
            <w:tcW w:w="3006" w:type="dxa"/>
          </w:tcPr>
          <w:p w14:paraId="04856AC0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0D5CF4A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1D3421F0" w14:textId="77777777" w:rsidTr="00877772">
        <w:tc>
          <w:tcPr>
            <w:tcW w:w="3004" w:type="dxa"/>
          </w:tcPr>
          <w:p w14:paraId="23613909" w14:textId="631C600A" w:rsidR="00560B00" w:rsidRDefault="00657A3E" w:rsidP="00877772">
            <w:r>
              <w:t>Prince Yadav</w:t>
            </w:r>
          </w:p>
        </w:tc>
        <w:tc>
          <w:tcPr>
            <w:tcW w:w="3006" w:type="dxa"/>
          </w:tcPr>
          <w:p w14:paraId="63D5E1E3" w14:textId="640A5035" w:rsidR="00560B00" w:rsidRDefault="00657A3E" w:rsidP="00877772">
            <w:pPr>
              <w:spacing w:after="0" w:line="240" w:lineRule="auto"/>
              <w:jc w:val="left"/>
            </w:pPr>
            <w:r>
              <w:t>200725</w:t>
            </w:r>
          </w:p>
        </w:tc>
        <w:tc>
          <w:tcPr>
            <w:tcW w:w="3006" w:type="dxa"/>
          </w:tcPr>
          <w:p w14:paraId="1F47B695" w14:textId="20F7F770" w:rsidR="00560B00" w:rsidRDefault="003D08A4" w:rsidP="00877772">
            <w:pPr>
              <w:spacing w:after="0" w:line="240" w:lineRule="auto"/>
              <w:jc w:val="left"/>
            </w:pPr>
            <w:r>
              <w:t>Prince Yadav</w:t>
            </w:r>
          </w:p>
        </w:tc>
      </w:tr>
      <w:tr w:rsidR="00560B00" w14:paraId="371F2629" w14:textId="77777777" w:rsidTr="00877772">
        <w:tc>
          <w:tcPr>
            <w:tcW w:w="3004" w:type="dxa"/>
          </w:tcPr>
          <w:p w14:paraId="7406A351" w14:textId="77777777" w:rsidR="00560B00" w:rsidRDefault="00560B00" w:rsidP="00877772">
            <w:r>
              <w:t>Second author Name (if any)</w:t>
            </w:r>
          </w:p>
        </w:tc>
        <w:tc>
          <w:tcPr>
            <w:tcW w:w="3006" w:type="dxa"/>
          </w:tcPr>
          <w:p w14:paraId="3DB43DEE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46B8B5B1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79AC36CF" w14:textId="77777777" w:rsidTr="00877772">
        <w:tc>
          <w:tcPr>
            <w:tcW w:w="3004" w:type="dxa"/>
          </w:tcPr>
          <w:p w14:paraId="4107CB16" w14:textId="77777777" w:rsidR="00560B00" w:rsidRDefault="00560B00" w:rsidP="00877772">
            <w:r>
              <w:t>Third author Name (if any)</w:t>
            </w:r>
          </w:p>
        </w:tc>
        <w:tc>
          <w:tcPr>
            <w:tcW w:w="3006" w:type="dxa"/>
          </w:tcPr>
          <w:p w14:paraId="6306DCD0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1951FEE4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0CAF8A6A" w14:textId="77777777" w:rsidTr="00877772">
        <w:tc>
          <w:tcPr>
            <w:tcW w:w="3004" w:type="dxa"/>
          </w:tcPr>
          <w:p w14:paraId="5EBF9610" w14:textId="77777777" w:rsidR="00560B00" w:rsidRDefault="00560B00" w:rsidP="00877772">
            <w:r>
              <w:t>Fourth author Name (if any)</w:t>
            </w:r>
          </w:p>
        </w:tc>
        <w:tc>
          <w:tcPr>
            <w:tcW w:w="3006" w:type="dxa"/>
          </w:tcPr>
          <w:p w14:paraId="76ECCF2F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75D5231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431031E6" w14:textId="77777777" w:rsidTr="00877772">
        <w:tc>
          <w:tcPr>
            <w:tcW w:w="3004" w:type="dxa"/>
          </w:tcPr>
          <w:p w14:paraId="455DB762" w14:textId="77777777" w:rsidR="00560B00" w:rsidRDefault="00560B00" w:rsidP="00877772">
            <w:r>
              <w:t>Fifth author Name, Roll No &amp; signature (if any)</w:t>
            </w:r>
          </w:p>
        </w:tc>
        <w:tc>
          <w:tcPr>
            <w:tcW w:w="3006" w:type="dxa"/>
          </w:tcPr>
          <w:p w14:paraId="37511141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3C0FBE9C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77E9A1B1" w14:textId="77777777" w:rsidTr="00877772">
        <w:tc>
          <w:tcPr>
            <w:tcW w:w="3004" w:type="dxa"/>
          </w:tcPr>
          <w:p w14:paraId="5F572C7B" w14:textId="77777777" w:rsidR="00560B00" w:rsidRDefault="00560B00" w:rsidP="00877772">
            <w:r>
              <w:t>Sixth author Name (if any)</w:t>
            </w:r>
          </w:p>
        </w:tc>
        <w:tc>
          <w:tcPr>
            <w:tcW w:w="3006" w:type="dxa"/>
          </w:tcPr>
          <w:p w14:paraId="2E52420D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24BCBE9F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</w:tbl>
    <w:p w14:paraId="7BDA7D40" w14:textId="77777777" w:rsidR="00560B00" w:rsidRPr="0020548D" w:rsidRDefault="00560B00" w:rsidP="0020548D">
      <w:pPr>
        <w:rPr>
          <w:b/>
          <w:bCs/>
          <w:color w:val="FF0000"/>
        </w:rPr>
      </w:pPr>
    </w:p>
    <w:sectPr w:rsidR="00560B00" w:rsidRPr="0020548D" w:rsidSect="00C14061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554B" w14:textId="77777777" w:rsidR="00C14061" w:rsidRDefault="00C14061" w:rsidP="00AE311E">
      <w:pPr>
        <w:spacing w:after="0" w:line="240" w:lineRule="auto"/>
      </w:pPr>
      <w:r>
        <w:separator/>
      </w:r>
    </w:p>
  </w:endnote>
  <w:endnote w:type="continuationSeparator" w:id="0">
    <w:p w14:paraId="7C53E0A7" w14:textId="77777777" w:rsidR="00C14061" w:rsidRDefault="00C14061" w:rsidP="00AE311E">
      <w:pPr>
        <w:spacing w:after="0" w:line="240" w:lineRule="auto"/>
      </w:pPr>
      <w:r>
        <w:continuationSeparator/>
      </w:r>
    </w:p>
  </w:endnote>
  <w:endnote w:type="continuationNotice" w:id="1">
    <w:p w14:paraId="7545B918" w14:textId="77777777" w:rsidR="00AB54D2" w:rsidRDefault="00AB54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00F4" w14:textId="77777777" w:rsidR="00C14061" w:rsidRDefault="00C14061" w:rsidP="00AE311E">
      <w:pPr>
        <w:spacing w:after="0" w:line="240" w:lineRule="auto"/>
      </w:pPr>
      <w:r>
        <w:separator/>
      </w:r>
    </w:p>
  </w:footnote>
  <w:footnote w:type="continuationSeparator" w:id="0">
    <w:p w14:paraId="67750CE7" w14:textId="77777777" w:rsidR="00C14061" w:rsidRDefault="00C14061" w:rsidP="00AE311E">
      <w:pPr>
        <w:spacing w:after="0" w:line="240" w:lineRule="auto"/>
      </w:pPr>
      <w:r>
        <w:continuationSeparator/>
      </w:r>
    </w:p>
  </w:footnote>
  <w:footnote w:type="continuationNotice" w:id="1">
    <w:p w14:paraId="51173B92" w14:textId="77777777" w:rsidR="00AB54D2" w:rsidRDefault="00AB54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C3B" w14:textId="68EE39F9" w:rsidR="00AE311E" w:rsidRPr="00AE311E" w:rsidRDefault="007A7F34" w:rsidP="00AE311E">
    <w:pPr>
      <w:jc w:val="right"/>
      <w:rPr>
        <w:noProof/>
        <w14:textOutline w14:w="0" w14:cap="rnd" w14:cmpd="sng" w14:algn="ctr">
          <w14:noFill/>
          <w14:prstDash w14:val="solid"/>
          <w14:bevel/>
        </w14:textOutline>
      </w:rPr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265AA4" id="Group 159" o:spid="_x0000_s1026" style="position:absolute;margin-left:-1in;margin-top:-16.2pt;width:133.9pt;height:80.65pt;z-index: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FB3CC7" id="Straight Connector 1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>CHE261A Patent</w:t>
    </w:r>
    <w:r w:rsidR="00AE311E">
      <w:rPr>
        <w:rFonts w:ascii="Helvetica Neue" w:hAnsi="Helvetica Neue" w:cs="Arial"/>
        <w:color w:val="0070C0"/>
        <w:sz w:val="32"/>
        <w:szCs w:val="32"/>
      </w:rPr>
      <w:t xml:space="preserve"> Application</w:t>
    </w:r>
    <w:r w:rsidR="00AE311E" w:rsidRPr="00AE311E">
      <w:rPr>
        <w:noProof/>
        <w14:textOutline w14:w="0" w14:cap="rnd" w14:cmpd="sng" w14:algn="ctr">
          <w14:noFill/>
          <w14:prstDash w14:val="solid"/>
          <w14:bevel/>
        </w14:textOutline>
      </w:rPr>
      <w:t xml:space="preserve"> </w:t>
    </w:r>
  </w:p>
  <w:p w14:paraId="2DA0942F" w14:textId="28678C92" w:rsidR="00AE311E" w:rsidRDefault="00AE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90542">
    <w:abstractNumId w:val="0"/>
  </w:num>
  <w:num w:numId="2" w16cid:durableId="1208907225">
    <w:abstractNumId w:val="2"/>
  </w:num>
  <w:num w:numId="3" w16cid:durableId="183437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63354"/>
    <w:rsid w:val="000670C1"/>
    <w:rsid w:val="000E7E0C"/>
    <w:rsid w:val="00157B1E"/>
    <w:rsid w:val="00162F10"/>
    <w:rsid w:val="00175439"/>
    <w:rsid w:val="00194D20"/>
    <w:rsid w:val="0020548D"/>
    <w:rsid w:val="00222492"/>
    <w:rsid w:val="002812EB"/>
    <w:rsid w:val="002D07EA"/>
    <w:rsid w:val="002E6601"/>
    <w:rsid w:val="002F6944"/>
    <w:rsid w:val="00331FCE"/>
    <w:rsid w:val="0036741F"/>
    <w:rsid w:val="003D08A4"/>
    <w:rsid w:val="00400080"/>
    <w:rsid w:val="00415C0E"/>
    <w:rsid w:val="00435A44"/>
    <w:rsid w:val="00450BF0"/>
    <w:rsid w:val="004702AC"/>
    <w:rsid w:val="004B483A"/>
    <w:rsid w:val="004F3E17"/>
    <w:rsid w:val="005337FA"/>
    <w:rsid w:val="00544C0A"/>
    <w:rsid w:val="00560B00"/>
    <w:rsid w:val="005A0825"/>
    <w:rsid w:val="005A3791"/>
    <w:rsid w:val="005E12EB"/>
    <w:rsid w:val="00657A3E"/>
    <w:rsid w:val="00683878"/>
    <w:rsid w:val="006C1E5E"/>
    <w:rsid w:val="0070790F"/>
    <w:rsid w:val="00783EF4"/>
    <w:rsid w:val="007A7F34"/>
    <w:rsid w:val="007B0494"/>
    <w:rsid w:val="007C2884"/>
    <w:rsid w:val="008475F1"/>
    <w:rsid w:val="008815D0"/>
    <w:rsid w:val="008C0243"/>
    <w:rsid w:val="008D4BAD"/>
    <w:rsid w:val="00921EE1"/>
    <w:rsid w:val="0093026F"/>
    <w:rsid w:val="009508D0"/>
    <w:rsid w:val="00AB54D2"/>
    <w:rsid w:val="00AE311E"/>
    <w:rsid w:val="00C14061"/>
    <w:rsid w:val="00C467E9"/>
    <w:rsid w:val="00CF156B"/>
    <w:rsid w:val="00D12EC8"/>
    <w:rsid w:val="00D17F51"/>
    <w:rsid w:val="00D86576"/>
    <w:rsid w:val="00E1603A"/>
    <w:rsid w:val="00E21BFA"/>
    <w:rsid w:val="00E35D7B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lideshare.net/ibtihalosman/pharmaceutical-industry-and-unit-process" TargetMode="External"/><Relationship Id="rId18" Type="http://schemas.openxmlformats.org/officeDocument/2006/relationships/hyperlink" Target="https://chem.libretexts.org/Courses/SUNY_Oneonta/Chem_322_Lecture_Content/08%3A_Reactions_at_the_-Carbon_Part_II/8.04%3A_Claisen_Condensatio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slideshare.net/ATANUBARIK1/basics-and-application-of-unit-operations-in-pharmaceutical-engineering" TargetMode="External"/><Relationship Id="rId17" Type="http://schemas.openxmlformats.org/officeDocument/2006/relationships/hyperlink" Target="https://chem.libretexts.org/Bookshelves/Organic_Chemistry/Organic_Chemistry_%28OpenStax%29/23%3A_Carbonyl_Condensation_Reactions/23.08%3A_The_Claisen_Condensation_Reac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Claisen_condensation" TargetMode="External"/><Relationship Id="rId20" Type="http://schemas.openxmlformats.org/officeDocument/2006/relationships/hyperlink" Target="https://link.springer.com/article/10.1007/s10563-017-9239-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otechnologyforbiofuels.biomedcentral.com/articles/10.1186/s13068-020-01725-9" TargetMode="External"/><Relationship Id="rId5" Type="http://schemas.openxmlformats.org/officeDocument/2006/relationships/styles" Target="styles.xml"/><Relationship Id="rId15" Type="http://schemas.openxmlformats.org/officeDocument/2006/relationships/hyperlink" Target="https://chem.libretexts.org/Courses/Smith_College/Organic_Chemistry_%28LibreTexts%29/23%3A_Carbonyl_Condensation_Reactions/23.08%3A_The_Claisen_Condensation_Reac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tche.com/equipcost/Reactor.html" TargetMode="External"/><Relationship Id="rId19" Type="http://schemas.openxmlformats.org/officeDocument/2006/relationships/hyperlink" Target="https://chemistry.mdma.ch/hiveboard/rhodium/pdf/acetylacetone.synthesis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ebbook.nist.gov/cgi/cbook.cgi?ID=C123546&amp;Mask=819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F35D53D9E14091FB3D2892B90A4F" ma:contentTypeVersion="5" ma:contentTypeDescription="Create a new document." ma:contentTypeScope="" ma:versionID="0a213e770fbb3fae01190a555710184f">
  <xsd:schema xmlns:xsd="http://www.w3.org/2001/XMLSchema" xmlns:xs="http://www.w3.org/2001/XMLSchema" xmlns:p="http://schemas.microsoft.com/office/2006/metadata/properties" xmlns:ns3="fab7edeb-647c-4f0e-8561-891fbc866164" targetNamespace="http://schemas.microsoft.com/office/2006/metadata/properties" ma:root="true" ma:fieldsID="c099644e4fdcc5d01ee78dc7ca99c549" ns3:_="">
    <xsd:import namespace="fab7edeb-647c-4f0e-8561-891fbc8661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7edeb-647c-4f0e-8561-891fbc866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b7edeb-647c-4f0e-8561-891fbc866164" xsi:nil="true"/>
  </documentManagement>
</p:properties>
</file>

<file path=customXml/itemProps1.xml><?xml version="1.0" encoding="utf-8"?>
<ds:datastoreItem xmlns:ds="http://schemas.openxmlformats.org/officeDocument/2006/customXml" ds:itemID="{ADE14E44-93E9-4006-BBBB-48E06D09B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34665-B63B-4A37-90C3-054933AC6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7edeb-647c-4f0e-8561-891fbc866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0285-641B-4B2B-89E7-69BAC0099790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fab7edeb-647c-4f0e-8561-891fbc866164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Prince Yadav</cp:lastModifiedBy>
  <cp:revision>2</cp:revision>
  <dcterms:created xsi:type="dcterms:W3CDTF">2024-03-31T10:52:00Z</dcterms:created>
  <dcterms:modified xsi:type="dcterms:W3CDTF">2024-03-31T10:52:00Z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0x0101007ACDF35D53D9E14091FB3D2892B90A4F</vt:lpwstr>
  </property>
</Properties>
</file>