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Marcus Vance</w:t>
      </w:r>
    </w:p>
    <w:p>
      <w:r>
        <w:t>Machine Learning Systems Engineer with 5.0 years of production experience building high-scale inference infrastructure.</w:t>
      </w:r>
    </w:p>
    <w:p>
      <w:pPr>
        <w:pStyle w:val="Heading1"/>
      </w:pPr>
      <w:r>
        <w:t>Work Experience</w:t>
      </w:r>
    </w:p>
    <w:p>
      <w:r>
        <w:t>Senior Machine Learning Engineer | DeepMatrix Inc. (2021 - Present)</w:t>
      </w:r>
    </w:p>
    <w:p>
      <w:r>
        <w:t>- Deployed Triton Inference Server and vLLM clusters on AWS EKS with Kubernetes, serving multi-modal models to 2.5M active users.</w:t>
      </w:r>
    </w:p>
    <w:p>
      <w:r>
        <w:t>- Reduced model memory footprint by 35% using ONNX runtime and FP8 quantization.</w:t>
      </w:r>
    </w:p>
    <w:p>
      <w:r>
        <w:t>Education: Master of Science in Computer Engineering | Georgia Tech</w:t>
      </w:r>
    </w:p>
    <w:p>
      <w:r>
        <w:t>Skills: Python, C++, PyTorch, Kubernetes, vLLM, Triton, Docker, 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