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гаммирование)той же длины, что и подлежащий сокрытию текст, то текст нельзя раскрыть.Даже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 0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0 = 0, 0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1 = 1, 1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0 = 1, 1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</w:t>
      </w:r>
    </w:p>
    <w:p>
      <w:pPr>
        <w:pStyle w:val="CaptionedFigure"/>
      </w:pPr>
      <w:r>
        <w:drawing>
          <wp:inline>
            <wp:extent cx="2667000" cy="641223"/>
            <wp:effectExtent b="0" l="0" r="0" t="0"/>
            <wp:docPr descr="Схема однократного использования Вернама" title="fig:" id="22" name="Picture"/>
            <a:graphic>
              <a:graphicData uri="http://schemas.openxmlformats.org/drawingml/2006/picture">
                <pic:pic>
                  <pic:nvPicPr>
                    <pic:cNvPr descr=".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однократного использования Вернама</w:t>
      </w:r>
    </w:p>
    <w:p>
      <w:pPr>
        <w:pStyle w:val="BodyText"/>
      </w:pPr>
      <w:r>
        <w:t xml:space="preserve">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—</m:t>
        </m:r>
        <m:r>
          <m:t>i</m:t>
        </m:r>
      </m:oMath>
      <w:r>
        <w:t xml:space="preserve">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.</m:t>
        </m:r>
      </m:oMath>
      <w:r>
        <w:t xml:space="preserve"> </w:t>
      </w:r>
      <w:r>
        <w:t xml:space="preserve">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{#fig:001},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0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  <w:pStyle w:val="Compact"/>
      </w:pPr>
      <w:r>
        <w:t xml:space="preserve">однократное использование ключа.</w:t>
      </w:r>
    </w:p>
    <w:bookmarkEnd w:id="24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5"/>
    <w:bookmarkStart w:id="32" w:name="порядок-выполнения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Порядок выполнения работы</w:t>
      </w:r>
    </w:p>
    <w:p>
      <w:pPr>
        <w:numPr>
          <w:ilvl w:val="0"/>
          <w:numId w:val="1003"/>
        </w:numPr>
        <w:pStyle w:val="Compact"/>
      </w:pPr>
      <w:r>
        <w:t xml:space="preserve">Определить вид шифротекста при известном ключе и известном открытом тексте</w:t>
      </w:r>
    </w:p>
    <w:p>
      <w:pPr>
        <w:pStyle w:val="CaptionedFigure"/>
      </w:pPr>
      <w:r>
        <w:drawing>
          <wp:inline>
            <wp:extent cx="5334000" cy="1677263"/>
            <wp:effectExtent b="0" l="0" r="0" t="0"/>
            <wp:docPr descr="создание ключа той же длины, что и открытый текст" title="fig:" id="27" name="Picture"/>
            <a:graphic>
              <a:graphicData uri="http://schemas.openxmlformats.org/drawingml/2006/picture">
                <pic:pic>
                  <pic:nvPicPr>
                    <pic:cNvPr descr=".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 той же длины, что и открытый текст</w:t>
      </w:r>
    </w:p>
    <w:p>
      <w:pPr>
        <w:numPr>
          <w:ilvl w:val="0"/>
          <w:numId w:val="1004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CaptionedFigure"/>
      </w:pPr>
      <w:r>
        <w:drawing>
          <wp:inline>
            <wp:extent cx="5334000" cy="3440681"/>
            <wp:effectExtent b="0" l="0" r="0" t="0"/>
            <wp:docPr descr="получение шифротекста" title="fig:" id="30" name="Picture"/>
            <a:graphic>
              <a:graphicData uri="http://schemas.openxmlformats.org/drawingml/2006/picture">
                <pic:pic>
                  <pic:nvPicPr>
                    <pic:cNvPr descr=".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шифротекста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на практике при-</w:t>
      </w:r>
      <w:r>
        <w:t xml:space="preserve"> </w:t>
      </w:r>
      <w:r>
        <w:t xml:space="preserve">менение режима однократного гаммирования</w:t>
      </w:r>
    </w:p>
    <w:bookmarkEnd w:id="34"/>
    <w:bookmarkStart w:id="3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 *Лабораторная работа №7**: 007-lab_crypto-gamma.pdf*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Адебайо Ридвануллахи Айофе</dc:creator>
  <dc:language>ru-RU</dc:language>
  <cp:keywords/>
  <dcterms:created xsi:type="dcterms:W3CDTF">2023-10-20T20:57:32Z</dcterms:created>
  <dcterms:modified xsi:type="dcterms:W3CDTF">2023-10-20T20:57:32Z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