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6B7280"/>
          <w:sz w:val="22"/>
          <w:szCs w:val="22"/>
        </w:rPr>
        <w:t xml:space="preserve">PRINODIA BUSINESS GROUP</w:t>
      </w:r>
    </w:p>
    <w:p>
      <w:pPr>
        <w:spacing w:after="0" w:before="240"/>
      </w:pPr>
      <w:r>
        <w:t xml:space="preserve"/>
      </w:r>
    </w:p>
    <w:p>
      <w:pPr>
        <w:spacing w:after="160" w:before="0"/>
        <w:jc w:val="center"/>
      </w:pPr>
      <w:r>
        <w:rPr>
          <w:rFonts w:ascii="Arial" w:cs="Arial" w:eastAsia="Arial" w:hAnsi="Arial"/>
          <w:b/>
          <w:bCs/>
          <w:color w:val="1E3A5F"/>
          <w:sz w:val="64"/>
          <w:szCs w:val="64"/>
        </w:rPr>
        <w:t xml:space="preserve">Prinodia Workspace</w:t>
      </w:r>
    </w:p>
    <w:p>
      <w:pPr>
        <w:spacing w:after="120" w:before="0"/>
        <w:jc w:val="center"/>
      </w:pPr>
      <w:r>
        <w:rPr>
          <w:rFonts w:ascii="Arial" w:cs="Arial" w:eastAsia="Arial" w:hAnsi="Arial"/>
          <w:color w:val="2E75B6"/>
          <w:sz w:val="36"/>
          <w:szCs w:val="36"/>
        </w:rPr>
        <w:t xml:space="preserve">Business Platform &amp; SaaS Architecture</w:t>
      </w:r>
    </w:p>
    <w:p>
      <w:pPr>
        <w:spacing w:after="0" w:before="120"/>
      </w:pPr>
      <w:r>
        <w:t xml:space="preserve"/>
      </w:r>
    </w:p>
    <w:p>
      <w:pPr>
        <w:pBdr>
          <w:bottom w:val="single" w:color="2E75B6" w:sz="8" w:space="1"/>
        </w:pBdr>
        <w:spacing w:after="200" w:before="0"/>
        <w:jc w:val="center"/>
      </w:pPr>
      <w:r>
        <w:t xml:space="preserve"/>
      </w:r>
    </w:p>
    <w:p>
      <w:pPr>
        <w:spacing w:after="0" w:before="160"/>
      </w:pPr>
      <w:r>
        <w:t xml:space="preserve"/>
      </w:r>
    </w:p>
    <w:p>
      <w:pPr>
        <w:spacing w:after="80" w:before="0"/>
        <w:jc w:val="center"/>
      </w:pPr>
      <w:r>
        <w:rPr>
          <w:rFonts w:ascii="Arial" w:cs="Arial" w:eastAsia="Arial" w:hAnsi="Arial"/>
          <w:i/>
          <w:iCs/>
          <w:color w:val="2E75B6"/>
          <w:sz w:val="26"/>
          <w:szCs w:val="26"/>
        </w:rPr>
        <w:t xml:space="preserve">Master Blueprint — Version 1.0</w:t>
      </w:r>
    </w:p>
    <w:p>
      <w:pPr>
        <w:spacing w:after="80" w:before="0"/>
        <w:jc w:val="center"/>
      </w:pPr>
      <w:r>
        <w:rPr>
          <w:rFonts w:ascii="Arial" w:cs="Arial" w:eastAsia="Arial" w:hAnsi="Arial"/>
          <w:b/>
          <w:bCs/>
          <w:color w:val="CC0000"/>
          <w:sz w:val="22"/>
          <w:szCs w:val="22"/>
        </w:rPr>
        <w:t xml:space="preserve">June 2026  |  CONFIDENTIAL</w:t>
      </w:r>
    </w:p>
    <w:p>
      <w:r>
        <w:br w:type="page"/>
      </w:r>
    </w:p>
    <w:p>
      <w:pPr>
        <w:pStyle w:val="Heading1"/>
        <w:spacing w:after="200" w:before="20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1. Company Structure</w:t>
      </w:r>
    </w:p>
    <w:p>
      <w:pPr>
        <w:spacing w:after="80" w:before="60"/>
      </w:pPr>
      <w:r>
        <w:rPr>
          <w:rFonts w:ascii="Arial" w:cs="Arial" w:eastAsia="Arial" w:hAnsi="Arial"/>
          <w:sz w:val="22"/>
          <w:szCs w:val="22"/>
        </w:rPr>
        <w:t xml:space="preserve">Prinodia operates as a vertically integrated technology group. Prinodia Business Group is the parent entity governing all products, IP, and brand licensing. Prinodia Workspace is the current flagship SaaS product, with a growing suite of tools on the roadmap.</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1.1 Corporate Hierarchy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Entity</w:t>
            </w:r>
          </w:p>
        </w:tc>
        <w:tc>
          <w:tcPr>
            <w:tcW w:type="dxa" w:w="35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Description</w:t>
            </w:r>
          </w:p>
        </w:tc>
        <w:tc>
          <w:tcPr>
            <w:tcW w:type="dxa" w:w="35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Business Group</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Parent holding company and brand umbrella</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Strategic direction, IP ownership, brand licensing, investor relations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Workspace</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Flagship SaaS product — enterprise government collaboration platform</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Product development, customer acquisition, SaaS operations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Cloud</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Infrastructure division managing hosting, storage, and CDN</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Multi-region infrastructure, disaster recovery, compliance hosting</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Labs</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R&amp;D arm for AI, automation, and emerging products</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AI models, innovation pipeline, future product incubation</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Partners</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Channel partnership and reseller program</w:t>
            </w:r>
          </w:p>
        </w:tc>
        <w:tc>
          <w:tcPr>
            <w:tcW w:type="dxa" w:w="35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Implementation partners, government integrators, resellers</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1.2 Brand Hierarchy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40"/>
        <w:gridCol w:w="252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Tier</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Brand</w:t>
            </w:r>
          </w:p>
        </w:tc>
        <w:tc>
          <w:tcPr>
            <w:tcW w:type="dxa" w:w="26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Category</w:t>
            </w:r>
          </w:p>
        </w:tc>
        <w:tc>
          <w:tcPr>
            <w:tcW w:type="dxa" w:w="25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Status</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Parent Brand</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Business Group</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Corporate umbrella</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65F46"/>
                <w:sz w:val="20"/>
                <w:szCs w:val="20"/>
              </w:rPr>
              <w:t xml:space="preserve">Active</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Flagship Product</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Workspace</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Government collaboration platform</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65F46"/>
                <w:sz w:val="20"/>
                <w:szCs w:val="20"/>
              </w:rPr>
              <w:t xml:space="preserve">Active — v1.7.0</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Integrated Module</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Drive</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Enterprise secure file system</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65F46"/>
                <w:sz w:val="20"/>
                <w:szCs w:val="20"/>
              </w:rPr>
              <w:t xml:space="preserve">Active — v1.7.0</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Integrated Module</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Canvas</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Collaborative whiteboarding</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65F46"/>
                <w:sz w:val="20"/>
                <w:szCs w:val="20"/>
              </w:rPr>
              <w:t xml:space="preserve">Active</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Roadmap 2026</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Meet Pro</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Enterprise video conferencing</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6B7280"/>
                <w:sz w:val="20"/>
                <w:szCs w:val="20"/>
              </w:rPr>
              <w:t xml:space="preserve">Roadmap Q3 2026</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Roadmap 2027</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Docs</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Real-time collaborative editing (TipTap)</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6B7280"/>
                <w:sz w:val="20"/>
                <w:szCs w:val="20"/>
              </w:rPr>
              <w:t xml:space="preserve">Roadmap Q1 2027</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Roadmap 2027</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Analytics</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Government BI and reporting dashboards</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6B7280"/>
                <w:sz w:val="20"/>
                <w:szCs w:val="20"/>
              </w:rPr>
              <w:t xml:space="preserve">Roadmap Q3 2027</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Roadmap 2028</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ID</w:t>
            </w:r>
          </w:p>
        </w:tc>
        <w:tc>
          <w:tcPr>
            <w:tcW w:type="dxa" w:w="264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Unified identity and SSO provider</w:t>
            </w:r>
          </w:p>
        </w:tc>
        <w:tc>
          <w:tcPr>
            <w:tcW w:type="dxa" w:w="25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6B7280"/>
                <w:sz w:val="20"/>
                <w:szCs w:val="20"/>
              </w:rPr>
              <w:t xml:space="preserve">Roadmap 2028</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1.3 Future Product Ecosystem</w:t>
      </w:r>
    </w:p>
    <w:p>
      <w:pPr>
        <w:spacing w:after="80" w:before="60"/>
      </w:pPr>
      <w:r>
        <w:rPr>
          <w:rFonts w:ascii="Arial" w:cs="Arial" w:eastAsia="Arial" w:hAnsi="Arial"/>
          <w:sz w:val="22"/>
          <w:szCs w:val="22"/>
        </w:rPr>
        <w:t xml:space="preserve">Prinodia is architected as a platform, not a single product. The long-term vision is a government-first productivity suite that rivals Microsoft 365 and Google Workspace, built specifically for the public sector.</w:t>
      </w:r>
    </w:p>
    <w:p>
      <w:pPr>
        <w:pStyle w:val="ListParagraph"/>
        <w:numPr>
          <w:ilvl w:val="0"/>
          <w:numId w:val="2"/>
        </w:numPr>
        <w:spacing w:after="40" w:before="40"/>
      </w:pPr>
      <w:r>
        <w:rPr>
          <w:rFonts w:ascii="Arial" w:cs="Arial" w:eastAsia="Arial" w:hAnsi="Arial"/>
          <w:sz w:val="22"/>
          <w:szCs w:val="22"/>
        </w:rPr>
        <w:t xml:space="preserve">Prinodia Workspace — Core collaboration platform (current flagship, v1.7.0)</w:t>
      </w:r>
    </w:p>
    <w:p>
      <w:pPr>
        <w:pStyle w:val="ListParagraph"/>
        <w:numPr>
          <w:ilvl w:val="0"/>
          <w:numId w:val="2"/>
        </w:numPr>
        <w:spacing w:after="40" w:before="40"/>
      </w:pPr>
      <w:r>
        <w:rPr>
          <w:rFonts w:ascii="Arial" w:cs="Arial" w:eastAsia="Arial" w:hAnsi="Arial"/>
          <w:sz w:val="22"/>
          <w:szCs w:val="22"/>
        </w:rPr>
        <w:t xml:space="preserve">Prinodia Drive — Secure enterprise file storage (v1.7.0, integrated)</w:t>
      </w:r>
    </w:p>
    <w:p>
      <w:pPr>
        <w:pStyle w:val="ListParagraph"/>
        <w:numPr>
          <w:ilvl w:val="0"/>
          <w:numId w:val="2"/>
        </w:numPr>
        <w:spacing w:after="40" w:before="40"/>
      </w:pPr>
      <w:r>
        <w:rPr>
          <w:rFonts w:ascii="Arial" w:cs="Arial" w:eastAsia="Arial" w:hAnsi="Arial"/>
          <w:sz w:val="22"/>
          <w:szCs w:val="22"/>
        </w:rPr>
        <w:t xml:space="preserve">Prinodia Canvas — Interactive whiteboarding and design collaboration (active)</w:t>
      </w:r>
    </w:p>
    <w:p>
      <w:pPr>
        <w:pStyle w:val="ListParagraph"/>
        <w:numPr>
          <w:ilvl w:val="0"/>
          <w:numId w:val="2"/>
        </w:numPr>
        <w:spacing w:after="40" w:before="40"/>
      </w:pPr>
      <w:r>
        <w:rPr>
          <w:rFonts w:ascii="Arial" w:cs="Arial" w:eastAsia="Arial" w:hAnsi="Arial"/>
          <w:sz w:val="22"/>
          <w:szCs w:val="22"/>
        </w:rPr>
        <w:t xml:space="preserve">Prinodia Meet Pro — HD video conferencing with recording and transcription</w:t>
      </w:r>
    </w:p>
    <w:p>
      <w:pPr>
        <w:pStyle w:val="ListParagraph"/>
        <w:numPr>
          <w:ilvl w:val="0"/>
          <w:numId w:val="2"/>
        </w:numPr>
        <w:spacing w:after="40" w:before="40"/>
      </w:pPr>
      <w:r>
        <w:rPr>
          <w:rFonts w:ascii="Arial" w:cs="Arial" w:eastAsia="Arial" w:hAnsi="Arial"/>
          <w:sz w:val="22"/>
          <w:szCs w:val="22"/>
        </w:rPr>
        <w:t xml:space="preserve">Prinodia Docs — Real-time collaborative document editing</w:t>
      </w:r>
    </w:p>
    <w:p>
      <w:pPr>
        <w:pStyle w:val="ListParagraph"/>
        <w:numPr>
          <w:ilvl w:val="0"/>
          <w:numId w:val="2"/>
        </w:numPr>
        <w:spacing w:after="40" w:before="40"/>
      </w:pPr>
      <w:r>
        <w:rPr>
          <w:rFonts w:ascii="Arial" w:cs="Arial" w:eastAsia="Arial" w:hAnsi="Arial"/>
          <w:sz w:val="22"/>
          <w:szCs w:val="22"/>
        </w:rPr>
        <w:t xml:space="preserve">Prinodia Forms — Data collection, surveys, and approval workflows</w:t>
      </w:r>
    </w:p>
    <w:p>
      <w:pPr>
        <w:pStyle w:val="ListParagraph"/>
        <w:numPr>
          <w:ilvl w:val="0"/>
          <w:numId w:val="2"/>
        </w:numPr>
        <w:spacing w:after="40" w:before="40"/>
      </w:pPr>
      <w:r>
        <w:rPr>
          <w:rFonts w:ascii="Arial" w:cs="Arial" w:eastAsia="Arial" w:hAnsi="Arial"/>
          <w:sz w:val="22"/>
          <w:szCs w:val="22"/>
        </w:rPr>
        <w:t xml:space="preserve">Prinodia Analytics — Organizational intelligence and reporting dashboards</w:t>
      </w:r>
    </w:p>
    <w:p>
      <w:pPr>
        <w:pStyle w:val="ListParagraph"/>
        <w:numPr>
          <w:ilvl w:val="0"/>
          <w:numId w:val="2"/>
        </w:numPr>
        <w:spacing w:after="40" w:before="40"/>
      </w:pPr>
      <w:r>
        <w:rPr>
          <w:rFonts w:ascii="Arial" w:cs="Arial" w:eastAsia="Arial" w:hAnsi="Arial"/>
          <w:sz w:val="22"/>
          <w:szCs w:val="22"/>
        </w:rPr>
        <w:t xml:space="preserve">Prinodia HRMS — Human resource and workforce management suite</w:t>
      </w:r>
    </w:p>
    <w:p>
      <w:pPr>
        <w:pStyle w:val="ListParagraph"/>
        <w:numPr>
          <w:ilvl w:val="0"/>
          <w:numId w:val="2"/>
        </w:numPr>
        <w:spacing w:after="40" w:before="40"/>
      </w:pPr>
      <w:r>
        <w:rPr>
          <w:rFonts w:ascii="Arial" w:cs="Arial" w:eastAsia="Arial" w:hAnsi="Arial"/>
          <w:sz w:val="22"/>
          <w:szCs w:val="22"/>
        </w:rPr>
        <w:t xml:space="preserve">Prinodia Procurement — Tender and procurement workflow management</w:t>
      </w:r>
    </w:p>
    <w:p>
      <w:pPr>
        <w:pStyle w:val="ListParagraph"/>
        <w:numPr>
          <w:ilvl w:val="0"/>
          <w:numId w:val="2"/>
        </w:numPr>
        <w:spacing w:after="40" w:before="40"/>
      </w:pPr>
      <w:r>
        <w:rPr>
          <w:rFonts w:ascii="Arial" w:cs="Arial" w:eastAsia="Arial" w:hAnsi="Arial"/>
          <w:sz w:val="22"/>
          <w:szCs w:val="22"/>
        </w:rPr>
        <w:t xml:space="preserve">Prinodia ID — Government-grade SSO and identity federation</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2. Domain Strategy</w:t>
      </w:r>
    </w:p>
    <w:p>
      <w:pPr>
        <w:spacing w:after="80" w:before="60"/>
      </w:pPr>
      <w:r>
        <w:rPr>
          <w:rFonts w:ascii="Arial" w:cs="Arial" w:eastAsia="Arial" w:hAnsi="Arial"/>
          <w:sz w:val="22"/>
          <w:szCs w:val="22"/>
        </w:rPr>
        <w:t xml:space="preserve">Prinodia maintains a hierarchical domain architecture anchored at prinodia.com, with purpose-specific subdomains for each function. All domains are SSL-secured, CDN-delivered via Cloudflare, and governed by a unified DNS management policy.</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2.1 Primary Domains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Domain</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Type</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Primary</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Main marketing website, product homepage, company hub and primary acquisition channel</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prinodiabusinessgroup.com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Corporate</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Corporate identity site for investors, press, board members, and strategic partners</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2.2 Product &amp; Service Subdomains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Subdomain</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Audience</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admin.prinodia.com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 Users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Main application shell — authenticated workspace panel; tenant routing hub</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portal.prinodia.com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Customers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Customer self-service portal — billing, subscriptions, invoices, API keys, user management</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support.prinodia.com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Users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Help desk, ticket submission, knowledge base, chatbot, live escalation</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docs.prinodia.com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Admins &amp; Devs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Technical documentation, admin guides, API reference, integration tutorials</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developers.prinodia.com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Developers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Developer portal — SDKs, webhooks, integration guides, OAuth app registration</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api.prinodia.com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Public REST API gateway for external integrations and automation</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auth.prinodia.com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Users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Centralized authentication service — login, SSO, MFA, password reset, session management</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download.prinodia.com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Users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Desktop apps (Windows, Mac, Linux), mobile apps (iOS, Android), browser extensions</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status.prinodia.com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Users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Real-time system health, uptime metrics, incident history, SLA transparency reports</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demo.prinodia.com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Prospects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Interactive demo environment, guided product tours, sandbox workspaces for trials</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2.3 Tenant Subdomains</w:t>
      </w:r>
    </w:p>
    <w:p>
      <w:pPr>
        <w:spacing w:after="80" w:before="60"/>
      </w:pPr>
      <w:r>
        <w:rPr>
          <w:rFonts w:ascii="Arial" w:cs="Arial" w:eastAsia="Arial" w:hAnsi="Arial"/>
          <w:sz w:val="22"/>
          <w:szCs w:val="22"/>
        </w:rPr>
        <w:t xml:space="preserve">Each customer organization receives a dedicated subdomain, providing workspace isolation, custom branding capability, and a professional tenant identity. Subdomain assignment is automated during organization provisioning.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Pattern</w:t>
            </w:r>
          </w:p>
        </w:tc>
        <w:tc>
          <w:tcPr>
            <w:tcW w:type="dxa" w:w="6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{slug}.prinodia.com</w:t>
            </w:r>
          </w:p>
        </w:tc>
        <w:tc>
          <w:tcPr>
            <w:tcW w:type="dxa" w:w="6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Standard tenant workspace — e.g., drc-gov.prinodia.com, minfinance.prinodia.com. Slug is auto-generated from org name and validated for uniqueness.</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{slug}.admin.prinodia.com</w:t>
            </w:r>
          </w:p>
        </w:tc>
        <w:tc>
          <w:tcPr>
            <w:tcW w:type="dxa" w:w="6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Tenant-specific admin panel with custom theming and org-level settings</w:t>
            </w:r>
          </w:p>
        </w:tc>
      </w:tr>
      <w:tr>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6B7280"/>
                <w:sz w:val="20"/>
                <w:szCs w:val="20"/>
              </w:rPr>
              <w:t xml:space="preserve">Custom domains (Enterprise+)</w:t>
            </w:r>
          </w:p>
        </w:tc>
        <w:tc>
          <w:tcPr>
            <w:tcW w:type="dxa" w:w="6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workspace.gov.cd or internal.minfin.gov — provisioned via reverse proxy with Let's Encrypt / Cloudflare SSL termination</w:t>
            </w:r>
          </w:p>
        </w:tc>
      </w:tr>
    </w:tbl>
    <w:p>
      <w:pPr>
        <w:spacing w:after="0" w:before="80"/>
      </w:pPr>
      <w:r>
        <w:t xml:space="preserve"/>
      </w:r>
    </w:p>
    <w:p>
      <w:pPr>
        <w:pBdr>
          <w:left w:val="single" w:color="2E75B6" w:sz="12" w:space="8"/>
        </w:pBdr>
        <w:spacing w:after="80" w:before="80"/>
        <w:ind w:left="360"/>
      </w:pPr>
      <w:r>
        <w:rPr>
          <w:rFonts w:ascii="Arial" w:cs="Arial" w:eastAsia="Arial" w:hAnsi="Arial"/>
          <w:i/>
          <w:iCs/>
          <w:color w:val="6B7280"/>
          <w:sz w:val="20"/>
          <w:szCs w:val="20"/>
        </w:rPr>
        <w:t xml:space="preserve">Naming convention: 'Ministry of Finance DRC' is slugified to minfinance-drc and assigned minfinance-drc.prinodia.com. Slugs are immutable after assignment; display names can be changed freely.</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3. Multi-Tenant SaaS Architecture</w:t>
      </w:r>
    </w:p>
    <w:p>
      <w:pPr>
        <w:spacing w:after="80" w:before="60"/>
      </w:pPr>
      <w:r>
        <w:rPr>
          <w:rFonts w:ascii="Arial" w:cs="Arial" w:eastAsia="Arial" w:hAnsi="Arial"/>
          <w:sz w:val="22"/>
          <w:szCs w:val="22"/>
        </w:rPr>
        <w:t xml:space="preserve">Prinodia Workspace uses a shared-infrastructure, logically-isolated multi-tenancy model. All tenants share the same application codebase and database cluster, with row-level isolation enforced at the application layer. This maximizes operational efficiency while maintaining strong security boundaries.</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3.1 Architecture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PRINODIA CLOUD  —  Multi-Tenant Platform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00"/>
              <w:left w:type="dxa" w:w="200"/>
              <w:bottom w:type="dxa" w:w="100"/>
              <w:right w:type="dxa" w:w="200"/>
            </w:tcMar>
          </w:tcPr>
          <w:p>
            <w:pPr>
              <w:spacing w:after="60"/>
              <w:jc w:val="center"/>
            </w:pPr>
            <w:r>
              <w:rPr>
                <w:rFonts w:ascii="Arial" w:cs="Arial" w:eastAsia="Arial" w:hAnsi="Arial"/>
                <w:b/>
                <w:bCs/>
                <w:color w:val="1E3A5F"/>
                <w:sz w:val="22"/>
                <w:szCs w:val="22"/>
              </w:rPr>
              <w:t xml:space="preserve">CDN / Load Balancer / WAF</w:t>
            </w:r>
          </w:p>
          <w:p>
            <w:pPr>
              <w:jc w:val="center"/>
            </w:pPr>
            <w:r>
              <w:rPr>
                <w:rFonts w:ascii="Arial" w:cs="Arial" w:eastAsia="Arial" w:hAnsi="Arial"/>
                <w:color w:val="6B7280"/>
                <w:sz w:val="18"/>
                <w:szCs w:val="18"/>
              </w:rPr>
              <w:t xml:space="preserve">Cloudflare  |  Nginx  |  Application Gateway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40"/>
        <w:gridCol w:w="3060"/>
        <w:gridCol w:w="240"/>
        <w:gridCol w:w="2760"/>
      </w:tblGrid>
      <w:tr>
        <w:tc>
          <w:tcPr>
            <w:tcW w:type="dxa" w:w="3060"/>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pPr>
              <w:jc w:val="center"/>
            </w:pPr>
            <w:r>
              <w:rPr>
                <w:rFonts w:ascii="Arial" w:cs="Arial" w:eastAsia="Arial" w:hAnsi="Arial"/>
                <w:b/>
                <w:bCs/>
                <w:color w:val="1E3A5F"/>
                <w:sz w:val="22"/>
                <w:szCs w:val="22"/>
              </w:rPr>
              <w:t xml:space="preserve">Tenant A</w:t>
            </w:r>
          </w:p>
          <w:p>
            <w:pPr>
              <w:jc w:val="center"/>
            </w:pPr>
            <w:r>
              <w:rPr>
                <w:rFonts w:ascii="Arial" w:cs="Arial" w:eastAsia="Arial" w:hAnsi="Arial"/>
                <w:color w:val="2E75B6"/>
                <w:sz w:val="18"/>
                <w:szCs w:val="18"/>
              </w:rPr>
              <w:t xml:space="preserve">gov.prinodia.com</w:t>
            </w:r>
          </w:p>
          <w:p>
            <w:pPr>
              <w:jc w:val="center"/>
            </w:pPr>
            <w:r>
              <w:rPr>
                <w:rFonts w:ascii="Arial" w:cs="Arial" w:eastAsia="Arial" w:hAnsi="Arial"/>
                <w:color w:val="6B7280"/>
                <w:sz w:val="18"/>
                <w:szCs w:val="18"/>
              </w:rPr>
              <w:t xml:space="preserve">orgId: govt-001</w:t>
            </w:r>
          </w:p>
        </w:tc>
        <w:tc>
          <w:tcPr>
            <w:tcW w:type="dxa" w:w="240"/>
            <w:tcBorders>
              <w:top w:val="single" w:color="FFFFFF" w:sz="1"/>
              <w:left w:val="single" w:color="FFFFFF" w:sz="1"/>
              <w:bottom w:val="single" w:color="FFFFFF" w:sz="1"/>
              <w:right w:val="single" w:color="FFFFFF" w:sz="1"/>
            </w:tcBorders>
          </w:tcPr>
          <w:p>
            <w:r>
              <w:t xml:space="preserve"> </w:t>
            </w:r>
          </w:p>
        </w:tc>
        <w:tc>
          <w:tcPr>
            <w:tcW w:type="dxa" w:w="3060"/>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pPr>
              <w:jc w:val="center"/>
            </w:pPr>
            <w:r>
              <w:rPr>
                <w:rFonts w:ascii="Arial" w:cs="Arial" w:eastAsia="Arial" w:hAnsi="Arial"/>
                <w:b/>
                <w:bCs/>
                <w:color w:val="1E3A5F"/>
                <w:sz w:val="22"/>
                <w:szCs w:val="22"/>
              </w:rPr>
              <w:t xml:space="preserve">Tenant B</w:t>
            </w:r>
          </w:p>
          <w:p>
            <w:pPr>
              <w:jc w:val="center"/>
            </w:pPr>
            <w:r>
              <w:rPr>
                <w:rFonts w:ascii="Arial" w:cs="Arial" w:eastAsia="Arial" w:hAnsi="Arial"/>
                <w:color w:val="2E75B6"/>
                <w:sz w:val="18"/>
                <w:szCs w:val="18"/>
              </w:rPr>
              <w:t xml:space="preserve">minfin.prinodia.com</w:t>
            </w:r>
          </w:p>
          <w:p>
            <w:pPr>
              <w:jc w:val="center"/>
            </w:pPr>
            <w:r>
              <w:rPr>
                <w:rFonts w:ascii="Arial" w:cs="Arial" w:eastAsia="Arial" w:hAnsi="Arial"/>
                <w:color w:val="6B7280"/>
                <w:sz w:val="18"/>
                <w:szCs w:val="18"/>
              </w:rPr>
              <w:t xml:space="preserve">orgId: minfin-002</w:t>
            </w:r>
          </w:p>
        </w:tc>
        <w:tc>
          <w:tcPr>
            <w:tcW w:type="dxa" w:w="240"/>
            <w:tcBorders>
              <w:top w:val="single" w:color="FFFFFF" w:sz="1"/>
              <w:left w:val="single" w:color="FFFFFF" w:sz="1"/>
              <w:bottom w:val="single" w:color="FFFFFF" w:sz="1"/>
              <w:right w:val="single" w:color="FFFFFF" w:sz="1"/>
            </w:tcBorders>
          </w:tcPr>
          <w:p>
            <w:r>
              <w:t xml:space="preserve"> </w:t>
            </w:r>
          </w:p>
        </w:tc>
        <w:tc>
          <w:tcPr>
            <w:tcW w:type="dxa" w:w="2760"/>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pPr>
              <w:jc w:val="center"/>
            </w:pPr>
            <w:r>
              <w:rPr>
                <w:rFonts w:ascii="Arial" w:cs="Arial" w:eastAsia="Arial" w:hAnsi="Arial"/>
                <w:b/>
                <w:bCs/>
                <w:color w:val="1E3A5F"/>
                <w:sz w:val="22"/>
                <w:szCs w:val="22"/>
              </w:rPr>
              <w:t xml:space="preserve">Tenant N</w:t>
            </w:r>
          </w:p>
          <w:p>
            <w:pPr>
              <w:jc w:val="center"/>
            </w:pPr>
            <w:r>
              <w:rPr>
                <w:rFonts w:ascii="Arial" w:cs="Arial" w:eastAsia="Arial" w:hAnsi="Arial"/>
                <w:color w:val="2E75B6"/>
                <w:sz w:val="18"/>
                <w:szCs w:val="18"/>
              </w:rPr>
              <w:t xml:space="preserve">{slug}.prinodia.com</w:t>
            </w:r>
          </w:p>
          <w:p>
            <w:pPr>
              <w:jc w:val="center"/>
            </w:pPr>
            <w:r>
              <w:rPr>
                <w:rFonts w:ascii="Arial" w:cs="Arial" w:eastAsia="Arial" w:hAnsi="Arial"/>
                <w:color w:val="6B7280"/>
                <w:sz w:val="18"/>
                <w:szCs w:val="18"/>
              </w:rPr>
              <w:t xml:space="preserve">orgId: org-N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20"/>
              <w:left w:type="dxa" w:w="200"/>
              <w:bottom w:type="dxa" w:w="120"/>
              <w:right w:type="dxa" w:w="200"/>
            </w:tcMar>
          </w:tcPr>
          <w:p>
            <w:pPr>
              <w:spacing w:after="80"/>
              <w:jc w:val="center"/>
            </w:pPr>
            <w:r>
              <w:rPr>
                <w:rFonts w:ascii="Arial" w:cs="Arial" w:eastAsia="Arial" w:hAnsi="Arial"/>
                <w:b/>
                <w:bCs/>
                <w:color w:val="1E3A5F"/>
                <w:sz w:val="22"/>
                <w:szCs w:val="22"/>
              </w:rPr>
              <w:t xml:space="preserve">Shared Infrastructure Layer</w:t>
            </w:r>
          </w:p>
          <w:p>
            <w:pPr>
              <w:jc w:val="center"/>
            </w:pPr>
            <w:r>
              <w:rPr>
                <w:rFonts w:ascii="Arial" w:cs="Arial" w:eastAsia="Arial" w:hAnsi="Arial"/>
                <w:color w:val="2E75B6"/>
                <w:sz w:val="18"/>
                <w:szCs w:val="18"/>
              </w:rPr>
              <w:t xml:space="preserve">NestJS API  |  PostgreSQL 17 (Row-Level Security)  |  Redis Cache  |  Object Storage  |  WebSocket Gateway  |  Message Queue</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3.2 Tenant Isolation Model</w:t>
      </w:r>
    </w:p>
    <w:p>
      <w:pPr>
        <w:spacing w:after="80" w:before="60"/>
      </w:pPr>
      <w:r>
        <w:rPr>
          <w:rFonts w:ascii="Arial" w:cs="Arial" w:eastAsia="Arial" w:hAnsi="Arial"/>
          <w:sz w:val="22"/>
          <w:szCs w:val="22"/>
        </w:rPr>
        <w:t xml:space="preserve">Prinodia uses a hybrid isolation approach combining logical database segregation with scoped application-layer queries. Data never crosses tenant boundaries while maintaining a single operational footprint.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Layer</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Isolation Mechanism</w:t>
            </w:r>
          </w:p>
        </w:tc>
        <w:tc>
          <w:tcPr>
            <w:tcW w:type="dxa" w:w="38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Implementation</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Database</w:t>
            </w:r>
          </w:p>
        </w:tc>
        <w:tc>
          <w:tcPr>
            <w:tcW w:type="dxa" w:w="32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organizationId-scoped queries on every entity</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models include organizationId FK; Prisma services enforce tenantId in WHERE clauses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Network</w:t>
            </w:r>
          </w:p>
        </w:tc>
        <w:tc>
          <w:tcPr>
            <w:tcW w:type="dxa" w:w="32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Subdomain routing with tenant context extraction</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NestJS middleware extracts tenantId from Host header or JWT claim on every request</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Storage</w:t>
            </w:r>
          </w:p>
        </w:tc>
        <w:tc>
          <w:tcPr>
            <w:tcW w:type="dxa" w:w="32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Tenant-prefixed object storage paths</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Drive keys: {orgId}/{year}/{month}/{itemId}/v{n}/{hex}.ext</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API</w:t>
            </w:r>
          </w:p>
        </w:tc>
        <w:tc>
          <w:tcPr>
            <w:tcW w:type="dxa" w:w="32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JWT scoping and permission enforcement</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JWT payload carries organizationId, role, and permissions — validated on every request</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Realtime</w:t>
            </w:r>
          </w:p>
        </w:tc>
        <w:tc>
          <w:tcPr>
            <w:tcW w:type="dxa" w:w="32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Org-scoped WebSocket rooms</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Room pattern: {module}:{organizationId} — e.g., drive:org-1, canvas:org-1</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Cache</w:t>
            </w:r>
          </w:p>
        </w:tc>
        <w:tc>
          <w:tcPr>
            <w:tcW w:type="dxa" w:w="32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Namespaced Redis keys</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cache keys prefixed with tenantId to prevent cross-tenant cache hits</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3.3 Organization Provisioning</w:t>
      </w:r>
    </w:p>
    <w:p>
      <w:pPr>
        <w:spacing w:after="80" w:before="60"/>
      </w:pPr>
      <w:r>
        <w:rPr>
          <w:rFonts w:ascii="Arial" w:cs="Arial" w:eastAsia="Arial" w:hAnsi="Arial"/>
          <w:sz w:val="22"/>
          <w:szCs w:val="22"/>
        </w:rPr>
        <w:t xml:space="preserve">New organizations are provisioned through an automated atomic workflow. If any step fails, the entire provisioning is rolled back, leaving no partial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Action</w:t>
            </w:r>
          </w:p>
        </w:tc>
        <w:tc>
          <w:tcPr>
            <w:tcW w:type="dxa" w:w="5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Detail</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1</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Domain Validation</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Verify workspaceSlug uniqueness; reserve subdomain {slug}.prinodia.com in DNS registry</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2</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Organization Record</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Create Organization entity with plan, status PENDING_VERIFICATION, and provisioned timestamp</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3</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Workspace Setup</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Initialize default workspace structure, root folder hierarchy, and default channels</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4</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Owner Account</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Create or link first admin user; assign MINISTRY_ADMIN role with full workspace permissions</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5</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Seed Data</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Create default channels (#general, #announcements), system categories, and welcome message</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6</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Storage Quota</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Initialize DriveStorageQuota record based on license tier (e.g., 10 GB for Business)</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7</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Email Verification</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Send verification email to owner; activate organization status on confirmation click</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8</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DNS Provisioning</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Register subdomain via Cloudflare API; set TTL to 60s for rapid propagation</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9</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Onboarding Email</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Send welcome sequence with setup wizard link, documentation URL, and support contact</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10</w:t>
            </w:r>
          </w:p>
        </w:tc>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Monitoring</w:t>
            </w:r>
          </w:p>
        </w:tc>
        <w:tc>
          <w:tcPr>
            <w:tcW w:type="dxa" w:w="5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Register new tenant in health monitoring, billing system, and analytics pipeline</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3.4 Custom Branding</w:t>
      </w:r>
    </w:p>
    <w:p>
      <w:pPr>
        <w:spacing w:after="80" w:before="60"/>
      </w:pPr>
      <w:r>
        <w:rPr>
          <w:rFonts w:ascii="Arial" w:cs="Arial" w:eastAsia="Arial" w:hAnsi="Arial"/>
          <w:sz w:val="22"/>
          <w:szCs w:val="22"/>
        </w:rPr>
        <w:t xml:space="preserve">Each tenant can customize their workspace appearance within the boundaries set by their license tier.</w:t>
      </w:r>
    </w:p>
    <w:p>
      <w:pPr>
        <w:pStyle w:val="ListParagraph"/>
        <w:numPr>
          <w:ilvl w:val="0"/>
          <w:numId w:val="2"/>
        </w:numPr>
        <w:spacing w:after="40" w:before="40"/>
      </w:pPr>
      <w:r>
        <w:rPr>
          <w:rFonts w:ascii="Arial" w:cs="Arial" w:eastAsia="Arial" w:hAnsi="Arial"/>
          <w:sz w:val="22"/>
          <w:szCs w:val="22"/>
        </w:rPr>
        <w:t xml:space="preserve">Logo upload (PNG/SVG, max 1 MB) — displayed in sidebar, emails, and export headers</w:t>
      </w:r>
    </w:p>
    <w:p>
      <w:pPr>
        <w:pStyle w:val="ListParagraph"/>
        <w:numPr>
          <w:ilvl w:val="0"/>
          <w:numId w:val="2"/>
        </w:numPr>
        <w:spacing w:after="40" w:before="40"/>
      </w:pPr>
      <w:r>
        <w:rPr>
          <w:rFonts w:ascii="Arial" w:cs="Arial" w:eastAsia="Arial" w:hAnsi="Arial"/>
          <w:sz w:val="22"/>
          <w:szCs w:val="22"/>
        </w:rPr>
        <w:t xml:space="preserve">Primary brand color — applied to sidebar, buttons, and accent elements</w:t>
      </w:r>
    </w:p>
    <w:p>
      <w:pPr>
        <w:pStyle w:val="ListParagraph"/>
        <w:numPr>
          <w:ilvl w:val="0"/>
          <w:numId w:val="2"/>
        </w:numPr>
        <w:spacing w:after="40" w:before="40"/>
      </w:pPr>
      <w:r>
        <w:rPr>
          <w:rFonts w:ascii="Arial" w:cs="Arial" w:eastAsia="Arial" w:hAnsi="Arial"/>
          <w:sz w:val="22"/>
          <w:szCs w:val="22"/>
        </w:rPr>
        <w:t xml:space="preserve">Organization display name — shown in browser tab title and navigation bar</w:t>
      </w:r>
    </w:p>
    <w:p>
      <w:pPr>
        <w:pStyle w:val="ListParagraph"/>
        <w:numPr>
          <w:ilvl w:val="0"/>
          <w:numId w:val="2"/>
        </w:numPr>
        <w:spacing w:after="40" w:before="40"/>
      </w:pPr>
      <w:r>
        <w:rPr>
          <w:rFonts w:ascii="Arial" w:cs="Arial" w:eastAsia="Arial" w:hAnsi="Arial"/>
          <w:sz w:val="22"/>
          <w:szCs w:val="22"/>
        </w:rPr>
        <w:t xml:space="preserve">Custom email sender name — e.g., 'DRC Ministry Workspace &lt;noreply@prinodia.com&gt;'</w:t>
      </w:r>
    </w:p>
    <w:p>
      <w:pPr>
        <w:pStyle w:val="ListParagraph"/>
        <w:numPr>
          <w:ilvl w:val="0"/>
          <w:numId w:val="2"/>
        </w:numPr>
        <w:spacing w:after="40" w:before="40"/>
      </w:pPr>
      <w:r>
        <w:rPr>
          <w:rFonts w:ascii="Arial" w:cs="Arial" w:eastAsia="Arial" w:hAnsi="Arial"/>
          <w:sz w:val="22"/>
          <w:szCs w:val="22"/>
        </w:rPr>
        <w:t xml:space="preserve">White-label mode (Enterprise+) — removes all Prinodia branding from the UI</w:t>
      </w:r>
    </w:p>
    <w:p>
      <w:pPr>
        <w:pStyle w:val="ListParagraph"/>
        <w:numPr>
          <w:ilvl w:val="0"/>
          <w:numId w:val="2"/>
        </w:numPr>
        <w:spacing w:after="40" w:before="40"/>
      </w:pPr>
      <w:r>
        <w:rPr>
          <w:rFonts w:ascii="Arial" w:cs="Arial" w:eastAsia="Arial" w:hAnsi="Arial"/>
          <w:sz w:val="22"/>
          <w:szCs w:val="22"/>
        </w:rPr>
        <w:t xml:space="preserve">Custom domain (Enterprise+) — workspace.gov.cd via reverse proxy and SSL termination</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4. Licensing System</w:t>
      </w:r>
    </w:p>
    <w:p>
      <w:pPr>
        <w:spacing w:after="80" w:before="60"/>
      </w:pPr>
      <w:r>
        <w:rPr>
          <w:rFonts w:ascii="Arial" w:cs="Arial" w:eastAsia="Arial" w:hAnsi="Arial"/>
          <w:sz w:val="22"/>
          <w:szCs w:val="22"/>
        </w:rPr>
        <w:t xml:space="preserve">Prinodia Workspace uses a vertically segmented licensing model with tiers tailored to each market segment. All licenses are seat-based with optional module add-ons. Annual billing is standard; monthly billing is available at a 20% premium.</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4.1 License Tiers — Feature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020"/>
        <w:gridCol w:w="1020"/>
        <w:gridCol w:w="1020"/>
        <w:gridCol w:w="1020"/>
        <w:gridCol w:w="1020"/>
        <w:gridCol w:w="1020"/>
        <w:gridCol w:w="560"/>
        <w:gridCol w:w="1000"/>
      </w:tblGrid>
      <w:tr>
        <w:trPr>
          <w:tblHeader/>
        </w:trPr>
        <w:tc>
          <w:tcPr>
            <w:tcW w:type="dxa" w:w="1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Feature</w:t>
            </w:r>
          </w:p>
        </w:tc>
        <w:tc>
          <w:tcPr>
            <w:tcW w:type="dxa" w:w="10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Starter</w:t>
            </w:r>
          </w:p>
        </w:tc>
        <w:tc>
          <w:tcPr>
            <w:tcW w:type="dxa" w:w="10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Business</w:t>
            </w:r>
          </w:p>
        </w:tc>
        <w:tc>
          <w:tcPr>
            <w:tcW w:type="dxa" w:w="10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Enterprise</w:t>
            </w:r>
          </w:p>
        </w:tc>
        <w:tc>
          <w:tcPr>
            <w:tcW w:type="dxa" w:w="10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Govt</w:t>
            </w:r>
          </w:p>
        </w:tc>
        <w:tc>
          <w:tcPr>
            <w:tcW w:type="dxa" w:w="10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Education</w:t>
            </w:r>
          </w:p>
        </w:tc>
        <w:tc>
          <w:tcPr>
            <w:tcW w:type="dxa" w:w="10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Healthcare</w:t>
            </w:r>
          </w:p>
        </w:tc>
        <w:tc>
          <w:tcPr>
            <w:tcW w:type="dxa" w:w="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NGO</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Church</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Max Users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10</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100</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500</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50</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30</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Storage/User</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5 GB</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20 GB</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10 GB</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50 GB</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10 GB</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5 GB</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Custom Branding</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Logo only</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Full+Domain</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Partial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Partial</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SSO / SAML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Yes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Yes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Yes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Yes</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MFA</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 OTP</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TOTP</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All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All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TOTP</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All</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 OTP</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 OTP</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API Access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Full</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Limited</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6B7280"/>
                <w:sz w:val="20"/>
                <w:szCs w:val="20"/>
              </w:rPr>
              <w:t xml:space="preserve">—</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Audit Logs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30 days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90 days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90 days</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Unlimited</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30 days</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30 days</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SLA</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99.5%</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99.9%</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99.95%</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99.99%</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99.9%</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99.99%</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99.5%</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99.5%</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Support</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Community</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Priority</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Dedicated</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Priority</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Email</w:t>
            </w:r>
          </w:p>
        </w:tc>
      </w:tr>
      <w:tr>
        <w:tc>
          <w:tcPr>
            <w:tcW w:type="dxa" w:w="16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Price/Seat/Mo</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$0</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$8</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$20</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Custom</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$4</w:t>
            </w:r>
          </w:p>
        </w:tc>
        <w:tc>
          <w:tcPr>
            <w:tcW w:type="dxa" w:w="102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$15</w:t>
            </w:r>
          </w:p>
        </w:tc>
        <w:tc>
          <w:tcPr>
            <w:tcW w:type="dxa" w:w="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$2</w:t>
            </w:r>
          </w:p>
        </w:tc>
        <w:tc>
          <w:tcPr>
            <w:tcW w:type="dxa" w:w="1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$1</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4.2 Module Licensing</w:t>
      </w:r>
    </w:p>
    <w:p>
      <w:pPr>
        <w:spacing w:after="80" w:before="60"/>
      </w:pPr>
      <w:r>
        <w:rPr>
          <w:rFonts w:ascii="Arial" w:cs="Arial" w:eastAsia="Arial" w:hAnsi="Arial"/>
          <w:sz w:val="22"/>
          <w:szCs w:val="22"/>
        </w:rPr>
        <w:t xml:space="preserve">Core modules are included in all plans. Advanced modules can be licensed individually as add-ons, allowing organizations to expand their footprint as adoption grows.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80"/>
        <w:gridCol w:w="348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Module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Included In</w:t>
            </w:r>
          </w:p>
        </w:tc>
        <w:tc>
          <w:tcPr>
            <w:tcW w:type="dxa" w:w="16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Add-on Price</w:t>
            </w:r>
          </w:p>
        </w:tc>
        <w:tc>
          <w:tcPr>
            <w:tcW w:type="dxa" w:w="34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Workspace Core</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All plans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N/A</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Dashboard, users, roles, notifications, org management</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Chat</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All plans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N/A</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Channels, direct messages, threads, emoji reactions, file sharing</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Drive</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All plans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N/A</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File storage, folder management, versioning, recycle bin (v1.7.0)</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Calendar</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All plans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N/A</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Events, scheduling, meeting invitations, recurring events</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Canvas</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Business+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N/A (incl.)</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Collaborative whiteboarding, diagrams, design tools</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Meet</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Business+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$3/seat/mo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HD video conferencing, recording, transcription, waiting room</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Docs</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$5/seat/mo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Real-time document collaboration (TipTap-powered)</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Prinodia Workflow</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Business+</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$3/seat/mo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Approvals, forms, automated processes, e-signatures</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Advanced Analytics</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$6/seat/mo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BI dashboards, org metrics, module usage, churn indicators</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Legal Hold</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$2/seat/mo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Compliance retention, discovery, eDiscovery export</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Retention Policies</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$2/seat/mo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Automated data lifecycle management and classification</w:t>
            </w:r>
          </w:p>
        </w:tc>
      </w:tr>
      <w:tr>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Executive Suite</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w:t>
            </w:r>
          </w:p>
        </w:tc>
        <w:tc>
          <w:tcPr>
            <w:tcW w:type="dxa" w:w="16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1A1A1A"/>
                <w:sz w:val="20"/>
                <w:szCs w:val="20"/>
              </w:rPr>
              <w:t xml:space="preserve">$8/seat/mo</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VIP profiles, secure executive communication, priority delivery</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4.3 Trial Organizations</w:t>
      </w:r>
    </w:p>
    <w:p>
      <w:pPr>
        <w:spacing w:after="80" w:before="60"/>
      </w:pPr>
      <w:r>
        <w:rPr>
          <w:rFonts w:ascii="Arial" w:cs="Arial" w:eastAsia="Arial" w:hAnsi="Arial"/>
          <w:sz w:val="22"/>
          <w:szCs w:val="22"/>
        </w:rPr>
        <w:t xml:space="preserve">All new organizations begin with a 14-day free trial of the Business plan. No credit card is required. Trial workspaces are fully functional with these restrictions.</w:t>
      </w:r>
    </w:p>
    <w:p>
      <w:pPr>
        <w:pStyle w:val="ListParagraph"/>
        <w:numPr>
          <w:ilvl w:val="0"/>
          <w:numId w:val="2"/>
        </w:numPr>
        <w:spacing w:after="40" w:before="40"/>
      </w:pPr>
      <w:r>
        <w:rPr>
          <w:rFonts w:ascii="Arial" w:cs="Arial" w:eastAsia="Arial" w:hAnsi="Arial"/>
          <w:sz w:val="22"/>
          <w:szCs w:val="22"/>
        </w:rPr>
        <w:t xml:space="preserve">Maximum 5 users during the trial period</w:t>
      </w:r>
    </w:p>
    <w:p>
      <w:pPr>
        <w:pStyle w:val="ListParagraph"/>
        <w:numPr>
          <w:ilvl w:val="0"/>
          <w:numId w:val="2"/>
        </w:numPr>
        <w:spacing w:after="40" w:before="40"/>
      </w:pPr>
      <w:r>
        <w:rPr>
          <w:rFonts w:ascii="Arial" w:cs="Arial" w:eastAsia="Arial" w:hAnsi="Arial"/>
          <w:sz w:val="22"/>
          <w:szCs w:val="22"/>
        </w:rPr>
        <w:t xml:space="preserve">Storage limited to 5 GB total across the organization</w:t>
      </w:r>
    </w:p>
    <w:p>
      <w:pPr>
        <w:pStyle w:val="ListParagraph"/>
        <w:numPr>
          <w:ilvl w:val="0"/>
          <w:numId w:val="2"/>
        </w:numPr>
        <w:spacing w:after="40" w:before="40"/>
      </w:pPr>
      <w:r>
        <w:rPr>
          <w:rFonts w:ascii="Arial" w:cs="Arial" w:eastAsia="Arial" w:hAnsi="Arial"/>
          <w:sz w:val="22"/>
          <w:szCs w:val="22"/>
        </w:rPr>
        <w:t xml:space="preserve">Watermark applied to Drive exports and Meet recordings</w:t>
      </w:r>
    </w:p>
    <w:p>
      <w:pPr>
        <w:pStyle w:val="ListParagraph"/>
        <w:numPr>
          <w:ilvl w:val="0"/>
          <w:numId w:val="2"/>
        </w:numPr>
        <w:spacing w:after="40" w:before="40"/>
      </w:pPr>
      <w:r>
        <w:rPr>
          <w:rFonts w:ascii="Arial" w:cs="Arial" w:eastAsia="Arial" w:hAnsi="Arial"/>
          <w:sz w:val="22"/>
          <w:szCs w:val="22"/>
        </w:rPr>
        <w:t xml:space="preserve">API rate limits reduced to 100 requests per minute</w:t>
      </w:r>
    </w:p>
    <w:p>
      <w:pPr>
        <w:pStyle w:val="ListParagraph"/>
        <w:numPr>
          <w:ilvl w:val="0"/>
          <w:numId w:val="2"/>
        </w:numPr>
        <w:spacing w:after="40" w:before="40"/>
      </w:pPr>
      <w:r>
        <w:rPr>
          <w:rFonts w:ascii="Arial" w:cs="Arial" w:eastAsia="Arial" w:hAnsi="Arial"/>
          <w:sz w:val="22"/>
          <w:szCs w:val="22"/>
        </w:rPr>
        <w:t xml:space="preserve">No SLA commitments during trial</w:t>
      </w:r>
    </w:p>
    <w:p>
      <w:pPr>
        <w:pStyle w:val="ListParagraph"/>
        <w:numPr>
          <w:ilvl w:val="0"/>
          <w:numId w:val="2"/>
        </w:numPr>
        <w:spacing w:after="40" w:before="40"/>
      </w:pPr>
      <w:r>
        <w:rPr>
          <w:rFonts w:ascii="Arial" w:cs="Arial" w:eastAsia="Arial" w:hAnsi="Arial"/>
          <w:sz w:val="22"/>
          <w:szCs w:val="22"/>
        </w:rPr>
        <w:t xml:space="preserve">Trial can be extended once (7 additional days) via support request</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4.4 Subscription Lifecycle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80"/>
        <w:gridCol w:w="448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Stage</w:t>
            </w:r>
          </w:p>
        </w:tc>
        <w:tc>
          <w:tcPr>
            <w:tcW w:type="dxa" w:w="30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Trigger</w:t>
            </w:r>
          </w:p>
        </w:tc>
        <w:tc>
          <w:tcPr>
            <w:tcW w:type="dxa" w:w="44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System Action</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Trial Start</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Organization registers</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Provision workspace, send welcome email, start 14-day countdown</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Trial Warning</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Day 11 of trial</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Send trial expiry warning email with upgrade CTA</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Trial Expiry</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Day 14, no upgrade</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 locked — read-only access, no new content creation</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Grace Period</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Days 1–7 post-expiry</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Daily reminder emails; workspace data fully preserved</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Suspension</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Day 7 post-expiry</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 suspended; all logins blocked; admin notified</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Cancellation</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Day 30 post-expiry</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Data export offered; workspace scheduled for deletion in 60 days</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Renewal</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Payment processed</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 reactivated immediately; all features and data restored</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Upgrade</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Admin upgrades plan</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New limits applied immediately; prorated billing invoice issued</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Downgrade</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Admin downgrades plan</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Effective at next billing cycle; overage data flagged for review</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Data Export</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User-initiated</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Full data export ZIP generated and emailed; link valid 7 days</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Deletion</w:t>
            </w:r>
          </w:p>
        </w:tc>
        <w:tc>
          <w:tcPr>
            <w:tcW w:type="dxa" w:w="3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Requested or non-payment</w:t>
            </w:r>
          </w:p>
        </w:tc>
        <w:tc>
          <w:tcPr>
            <w:tcW w:type="dxa" w:w="4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Soft delete at 30 days; hard delete at 90 days — irreversible</w:t>
            </w:r>
          </w:p>
        </w:tc>
      </w:tr>
    </w:tbl>
    <w:p>
      <w:pPr>
        <w:pStyle w:val="Heading1"/>
        <w:pageBreakBefore/>
        <w:pBdr>
          <w:bottom w:val="single" w:color="2E75B6" w:sz="4" w:space="4"/>
        </w:pBdr>
        <w:spacing w:after="200" w:before="360"/>
      </w:pPr>
      <w:r>
        <w:rPr>
          <w:rFonts w:ascii="Arial" w:cs="Arial" w:eastAsia="Arial" w:hAnsi="Arial"/>
          <w:b/>
          <w:bCs/>
          <w:color w:val="1E3A5F"/>
          <w:sz w:val="36"/>
          <w:szCs w:val="36"/>
        </w:rPr>
        <w:t xml:space="preserve">5. Customer Portal</w:t>
      </w:r>
    </w:p>
    <w:p>
      <w:pPr>
        <w:spacing w:after="80" w:before="60"/>
      </w:pPr>
      <w:r>
        <w:rPr>
          <w:rFonts w:ascii="Arial" w:cs="Arial" w:eastAsia="Arial" w:hAnsi="Arial"/>
          <w:sz w:val="22"/>
          <w:szCs w:val="22"/>
        </w:rPr>
        <w:t xml:space="preserve">The Customer Portal (portal.prinodia.com) is a self-service hub for organization administrators to manage their account, subscription, billing, and team without requiring support intervention. It is the primary post-sale touchpoint.</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5.1 Portal Modules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Module</w:t>
            </w:r>
          </w:p>
        </w:tc>
        <w:tc>
          <w:tcPr>
            <w:tcW w:type="dxa" w:w="7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Features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Account Overview</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Organization profile, plan summary, usage statistics, storage meters, active user count, next billing date, health score</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Billing &amp; Payments</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Current plan, payment method management (cards, wire transfer), billing address, tax information, automated receipts to finance email</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Subscription Management</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Plan upgrade/downgrade, seat management, module add-ons, trial conversion, promo code redemption, volume discount requests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Invoice History</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Downloadable PDF invoices, payment status, recurring schedule, refund tracking, accounting export (CSV for QuickBooks / Sage)</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License Management</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Seat assignment, user license allocation, module activation per user, license pool management, SCIM sync status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User Management</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Invite users, assign roles, deactivate accounts, bulk CSV import, SCIM provisioning for Enterprise, password policy enforcement</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Downloads</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Desktop apps (Windows, Mac, Linux), mobile apps (iOS, Android), offline installer packages, version history and changelog</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API Keys</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Generate and revoke API keys, set key permissions and rate limits, view usage logs per key, OAuth app registration and management</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Support Tickets</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Submit tickets with attachments, track resolution status, ticket history, escalation to phone support for Enterprise</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Data &amp; Privacy</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Export all organization data, deletion requests, audit log downloads, GDPR consent management, data processing agreements</w:t>
            </w:r>
          </w:p>
        </w:tc>
      </w:tr>
      <w:tr>
        <w:tc>
          <w:tcPr>
            <w:tcW w:type="dxa" w:w="22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Notifications</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Configure billing alerts, SLA breach notifications, security incident digests, product update emails per role</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5.2 Portal Access Roles</w:t>
      </w:r>
    </w:p>
    <w:p>
      <w:pPr>
        <w:spacing w:after="80" w:before="60"/>
      </w:pPr>
      <w:r>
        <w:rPr>
          <w:rFonts w:ascii="Arial" w:cs="Arial" w:eastAsia="Arial" w:hAnsi="Arial"/>
          <w:sz w:val="22"/>
          <w:szCs w:val="22"/>
        </w:rPr>
        <w:t xml:space="preserve">Portal access is tiered by organization role. Financial data is restricted to billing administrators only.</w:t>
      </w:r>
    </w:p>
    <w:p>
      <w:pPr>
        <w:pStyle w:val="ListParagraph"/>
        <w:numPr>
          <w:ilvl w:val="0"/>
          <w:numId w:val="2"/>
        </w:numPr>
        <w:spacing w:after="40" w:before="40"/>
      </w:pPr>
      <w:r>
        <w:rPr>
          <w:rFonts w:ascii="Arial" w:cs="Arial" w:eastAsia="Arial" w:hAnsi="Arial"/>
          <w:sz w:val="22"/>
          <w:szCs w:val="22"/>
        </w:rPr>
        <w:t xml:space="preserve">Billing Admin — Full access to all portal modules including payment methods and invoices</w:t>
      </w:r>
    </w:p>
    <w:p>
      <w:pPr>
        <w:pStyle w:val="ListParagraph"/>
        <w:numPr>
          <w:ilvl w:val="0"/>
          <w:numId w:val="2"/>
        </w:numPr>
        <w:spacing w:after="40" w:before="40"/>
      </w:pPr>
      <w:r>
        <w:rPr>
          <w:rFonts w:ascii="Arial" w:cs="Arial" w:eastAsia="Arial" w:hAnsi="Arial"/>
          <w:sz w:val="22"/>
          <w:szCs w:val="22"/>
        </w:rPr>
        <w:t xml:space="preserve">Organization Admin — All modules except payment method changes and financial exports</w:t>
      </w:r>
    </w:p>
    <w:p>
      <w:pPr>
        <w:pStyle w:val="ListParagraph"/>
        <w:numPr>
          <w:ilvl w:val="0"/>
          <w:numId w:val="2"/>
        </w:numPr>
        <w:spacing w:after="40" w:before="40"/>
      </w:pPr>
      <w:r>
        <w:rPr>
          <w:rFonts w:ascii="Arial" w:cs="Arial" w:eastAsia="Arial" w:hAnsi="Arial"/>
          <w:sz w:val="22"/>
          <w:szCs w:val="22"/>
        </w:rPr>
        <w:t xml:space="preserve">IT Admin — API keys, user management, downloads, data export, SCIM configuration</w:t>
      </w:r>
    </w:p>
    <w:p>
      <w:pPr>
        <w:pStyle w:val="ListParagraph"/>
        <w:numPr>
          <w:ilvl w:val="0"/>
          <w:numId w:val="2"/>
        </w:numPr>
        <w:spacing w:after="40" w:before="40"/>
      </w:pPr>
      <w:r>
        <w:rPr>
          <w:rFonts w:ascii="Arial" w:cs="Arial" w:eastAsia="Arial" w:hAnsi="Arial"/>
          <w:sz w:val="22"/>
          <w:szCs w:val="22"/>
        </w:rPr>
        <w:t xml:space="preserve">Read-Only — Account overview and invoice history only; cannot make changes</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6. Internal Admin Console</w:t>
      </w:r>
    </w:p>
    <w:p>
      <w:pPr>
        <w:spacing w:after="80" w:before="60"/>
      </w:pPr>
      <w:r>
        <w:rPr>
          <w:rFonts w:ascii="Arial" w:cs="Arial" w:eastAsia="Arial" w:hAnsi="Arial"/>
          <w:sz w:val="22"/>
          <w:szCs w:val="22"/>
        </w:rPr>
        <w:t xml:space="preserve">The Internal Admin Console (admin.internal.prinodia.com) is a Prinodia-staff-only platform providing full operational control over all tenants, billing, infrastructure, and support. Access requires hardware MFA and VPN or IP allowlisting.</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6.1 Console Modules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Module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Access Level</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Capabilities</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Organization Management</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Support,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Search and view all orgs, activation and suspension, plan overrides, org merges, contact history</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Tenant Provisioning</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Admin, DevOps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Manual org creation, subdomain assignment, feature flag seeding, data migration between orgs</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Feature Flags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Product,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Global and per-tenant feature toggles, A/B test configuration, gradual percentage rollout</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License Management</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Sales,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Override plan limits, apply custom pricing, set custom Enterprise terms, grant extensions</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Billing Administration</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Finance,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View all invoices, process refunds, adjust billing cycles, apply credits, manage disputes</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Customer Support</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Support Staff</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Impersonate users (fully audited), reset passwords, unlock accounts, view active sessions</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Health Monitoring</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DevOps,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 metrics dashboard, per-service health, error rates, queue depths, SLA tracking</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Audit Logs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Compliance,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Cross-tenant audit trail, legal hold triggers, compliance export, SIEM integration feed</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Analytics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Product, Leadership</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Tenant growth, feature adoption, DAU/MAU, churn risk indicators, module usage heatmaps</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Backup Management</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DevOps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Backup status per tenant, restore operations, point-in-time recovery controls and testing</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Abuse &amp; Security</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Security, Admin</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Threat detection alerts, IP blocking, account lockout management, vulnerability triage</w:t>
            </w:r>
          </w:p>
        </w:tc>
      </w:tr>
      <w:tr>
        <w:tc>
          <w:tcPr>
            <w:tcW w:type="dxa" w:w="24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Deployment Console</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DevOps</w:t>
            </w:r>
          </w:p>
        </w:tc>
        <w:tc>
          <w:tcPr>
            <w:tcW w:type="dxa" w:w="49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Deployment pipeline status, canary rollout controls, rollback triggers, maintenance mode</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6.2 Security Requirements for Console Access</w:t>
      </w:r>
    </w:p>
    <w:p>
      <w:pPr>
        <w:pStyle w:val="ListParagraph"/>
        <w:numPr>
          <w:ilvl w:val="0"/>
          <w:numId w:val="2"/>
        </w:numPr>
        <w:spacing w:after="40" w:before="40"/>
      </w:pPr>
      <w:r>
        <w:rPr>
          <w:rFonts w:ascii="Arial" w:cs="Arial" w:eastAsia="Arial" w:hAnsi="Arial"/>
          <w:sz w:val="22"/>
          <w:szCs w:val="22"/>
        </w:rPr>
        <w:t xml:space="preserve">Hardware MFA required for all internal console access (FIDO2/YubiKey minimum)</w:t>
      </w:r>
    </w:p>
    <w:p>
      <w:pPr>
        <w:pStyle w:val="ListParagraph"/>
        <w:numPr>
          <w:ilvl w:val="0"/>
          <w:numId w:val="2"/>
        </w:numPr>
        <w:spacing w:after="40" w:before="40"/>
      </w:pPr>
      <w:r>
        <w:rPr>
          <w:rFonts w:ascii="Arial" w:cs="Arial" w:eastAsia="Arial" w:hAnsi="Arial"/>
          <w:sz w:val="22"/>
          <w:szCs w:val="22"/>
        </w:rPr>
        <w:t xml:space="preserve">VPN or IP allowlist enforcement — access restricted to corporate network at all times</w:t>
      </w:r>
    </w:p>
    <w:p>
      <w:pPr>
        <w:pStyle w:val="ListParagraph"/>
        <w:numPr>
          <w:ilvl w:val="0"/>
          <w:numId w:val="2"/>
        </w:numPr>
        <w:spacing w:after="40" w:before="40"/>
      </w:pPr>
      <w:r>
        <w:rPr>
          <w:rFonts w:ascii="Arial" w:cs="Arial" w:eastAsia="Arial" w:hAnsi="Arial"/>
          <w:sz w:val="22"/>
          <w:szCs w:val="22"/>
        </w:rPr>
        <w:t xml:space="preserve">Every action logged to an immutable audit trail with actor ID, timestamp, and change delta</w:t>
      </w:r>
    </w:p>
    <w:p>
      <w:pPr>
        <w:pStyle w:val="ListParagraph"/>
        <w:numPr>
          <w:ilvl w:val="0"/>
          <w:numId w:val="2"/>
        </w:numPr>
        <w:spacing w:after="40" w:before="40"/>
      </w:pPr>
      <w:r>
        <w:rPr>
          <w:rFonts w:ascii="Arial" w:cs="Arial" w:eastAsia="Arial" w:hAnsi="Arial"/>
          <w:sz w:val="22"/>
          <w:szCs w:val="22"/>
        </w:rPr>
        <w:t xml:space="preserve">Impersonation sessions are time-limited (30 minutes) and fully recorded with consent flag</w:t>
      </w:r>
    </w:p>
    <w:p>
      <w:pPr>
        <w:pStyle w:val="ListParagraph"/>
        <w:numPr>
          <w:ilvl w:val="0"/>
          <w:numId w:val="2"/>
        </w:numPr>
        <w:spacing w:after="40" w:before="40"/>
      </w:pPr>
      <w:r>
        <w:rPr>
          <w:rFonts w:ascii="Arial" w:cs="Arial" w:eastAsia="Arial" w:hAnsi="Arial"/>
          <w:sz w:val="22"/>
          <w:szCs w:val="22"/>
        </w:rPr>
        <w:t xml:space="preserve">Four-eyes principle enforced for destructive actions (data deletion, org suspension, refunds)</w:t>
      </w:r>
    </w:p>
    <w:p>
      <w:pPr>
        <w:pStyle w:val="ListParagraph"/>
        <w:numPr>
          <w:ilvl w:val="0"/>
          <w:numId w:val="2"/>
        </w:numPr>
        <w:spacing w:after="40" w:before="40"/>
      </w:pPr>
      <w:r>
        <w:rPr>
          <w:rFonts w:ascii="Arial" w:cs="Arial" w:eastAsia="Arial" w:hAnsi="Arial"/>
          <w:sz w:val="22"/>
          <w:szCs w:val="22"/>
        </w:rPr>
        <w:t xml:space="preserve">Session timeout: 15 minutes inactivity for billing and financial modules</w:t>
      </w:r>
    </w:p>
    <w:p>
      <w:pPr>
        <w:pStyle w:val="ListParagraph"/>
        <w:numPr>
          <w:ilvl w:val="0"/>
          <w:numId w:val="2"/>
        </w:numPr>
        <w:spacing w:after="40" w:before="40"/>
      </w:pPr>
      <w:r>
        <w:rPr>
          <w:rFonts w:ascii="Arial" w:cs="Arial" w:eastAsia="Arial" w:hAnsi="Arial"/>
          <w:sz w:val="22"/>
          <w:szCs w:val="22"/>
        </w:rPr>
        <w:t xml:space="preserve">Quarterly access reviews — inactive internal accounts deprovisioned automatically</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7. Website Architecture</w:t>
      </w:r>
    </w:p>
    <w:p>
      <w:pPr>
        <w:spacing w:after="80" w:before="60"/>
      </w:pPr>
      <w:r>
        <w:rPr>
          <w:rFonts w:ascii="Arial" w:cs="Arial" w:eastAsia="Arial" w:hAnsi="Arial"/>
          <w:sz w:val="22"/>
          <w:szCs w:val="22"/>
        </w:rPr>
        <w:t xml:space="preserve">The Prinodia marketing website (prinodia.com) serves as the primary acquisition channel, education hub, and brand showcase. It is built as a statically-rendered site (Next.js App Router) deployed on Vercel with global CDN distribution.</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7.1 Site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Section</w:t>
            </w:r>
          </w:p>
        </w:tc>
        <w:tc>
          <w:tcPr>
            <w:tcW w:type="dxa" w:w="3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Pages</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Marketing</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Home, About, Mission, Team, Press, Investors</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Brand awareness, trust building, primary lead generation</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Product</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 Overview, All Features, Module pages, Roadmap, Changelog</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Feature education, demo requests, conversion from awareness</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Industry</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Government, Healthcare, Education, NGO, Enterprise, Church</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Vertical-specific messaging, social proof, use case stories</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Pricing</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Pricing plans, Compare plans, ROI calculator, Enterprise inquiry, FAQ</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Conversion, plan selection, pricing objection handling</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Documentation</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Getting started, Admin guides, API reference, Integrations, Tutorials</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Customer success, self-serve support, onboarding acceleration</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Downloads</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Desktop apps, Mobile apps, Browser extension, Version history</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Product distribution, version management, desktop adoption</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Request Demo</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Demo request form, Calendar booking (Calendly), Demo environments</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Sales pipeline initiation, qualified lead capture</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Contact Sales</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Enterprise contact form, Partner inquiry, Custom quote, Phone option</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Enterprise conversion, partner pipeline, outbound support</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Blog</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Product updates, Industry insights, Case studies, How-to tutorials</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SEO traffic, thought leadership, education, trust building</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Careers</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Open roles by department, Culture page, Benefits, Life at Prinodia</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Talent acquisition, employer branding, pipeline building</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Legal</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Terms of Service, Privacy Policy, Cookie Policy, DPA, SLA, Security</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Compliance, customer trust, regulatory and legal requirements</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Status</w:t>
            </w:r>
          </w:p>
        </w:tc>
        <w:tc>
          <w:tcPr>
            <w:tcW w:type="dxa" w:w="35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Redirect to status.prinodia.com</w:t>
            </w:r>
          </w:p>
        </w:tc>
        <w:tc>
          <w:tcPr>
            <w:tcW w:type="dxa" w:w="3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Real-time operational transparency; public accountability</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7.2 Technical Stack</w:t>
      </w:r>
    </w:p>
    <w:p>
      <w:pPr>
        <w:pStyle w:val="ListParagraph"/>
        <w:numPr>
          <w:ilvl w:val="0"/>
          <w:numId w:val="2"/>
        </w:numPr>
        <w:spacing w:after="40" w:before="40"/>
      </w:pPr>
      <w:r>
        <w:rPr>
          <w:rFonts w:ascii="Arial" w:cs="Arial" w:eastAsia="Arial" w:hAnsi="Arial"/>
          <w:sz w:val="22"/>
          <w:szCs w:val="22"/>
        </w:rPr>
        <w:t xml:space="preserve">Framework: Next.js 15 (App Router) with static generation for all marketing pages</w:t>
      </w:r>
    </w:p>
    <w:p>
      <w:pPr>
        <w:pStyle w:val="ListParagraph"/>
        <w:numPr>
          <w:ilvl w:val="0"/>
          <w:numId w:val="2"/>
        </w:numPr>
        <w:spacing w:after="40" w:before="40"/>
      </w:pPr>
      <w:r>
        <w:rPr>
          <w:rFonts w:ascii="Arial" w:cs="Arial" w:eastAsia="Arial" w:hAnsi="Arial"/>
          <w:sz w:val="22"/>
          <w:szCs w:val="22"/>
        </w:rPr>
        <w:t xml:space="preserve">CMS: Contentful or Sanity.io for blog, case studies, team profiles, and job listings</w:t>
      </w:r>
    </w:p>
    <w:p>
      <w:pPr>
        <w:pStyle w:val="ListParagraph"/>
        <w:numPr>
          <w:ilvl w:val="0"/>
          <w:numId w:val="2"/>
        </w:numPr>
        <w:spacing w:after="40" w:before="40"/>
      </w:pPr>
      <w:r>
        <w:rPr>
          <w:rFonts w:ascii="Arial" w:cs="Arial" w:eastAsia="Arial" w:hAnsi="Arial"/>
          <w:sz w:val="22"/>
          <w:szCs w:val="22"/>
        </w:rPr>
        <w:t xml:space="preserve">Deployment: Vercel with preview deployments per pull request; global edge network</w:t>
      </w:r>
    </w:p>
    <w:p>
      <w:pPr>
        <w:pStyle w:val="ListParagraph"/>
        <w:numPr>
          <w:ilvl w:val="0"/>
          <w:numId w:val="2"/>
        </w:numPr>
        <w:spacing w:after="40" w:before="40"/>
      </w:pPr>
      <w:r>
        <w:rPr>
          <w:rFonts w:ascii="Arial" w:cs="Arial" w:eastAsia="Arial" w:hAnsi="Arial"/>
          <w:sz w:val="22"/>
          <w:szCs w:val="22"/>
        </w:rPr>
        <w:t xml:space="preserve">Analytics: Plausible (privacy-first) + Google Analytics 4 for conversion funnel tracking</w:t>
      </w:r>
    </w:p>
    <w:p>
      <w:pPr>
        <w:pStyle w:val="ListParagraph"/>
        <w:numPr>
          <w:ilvl w:val="0"/>
          <w:numId w:val="2"/>
        </w:numPr>
        <w:spacing w:after="40" w:before="40"/>
      </w:pPr>
      <w:r>
        <w:rPr>
          <w:rFonts w:ascii="Arial" w:cs="Arial" w:eastAsia="Arial" w:hAnsi="Arial"/>
          <w:sz w:val="22"/>
          <w:szCs w:val="22"/>
        </w:rPr>
        <w:t xml:space="preserve">SEO: Schema.org structured data, sitemap.xml, robots.txt, per-page Open Graph meta tags</w:t>
      </w:r>
    </w:p>
    <w:p>
      <w:pPr>
        <w:pStyle w:val="ListParagraph"/>
        <w:numPr>
          <w:ilvl w:val="0"/>
          <w:numId w:val="2"/>
        </w:numPr>
        <w:spacing w:after="40" w:before="40"/>
      </w:pPr>
      <w:r>
        <w:rPr>
          <w:rFonts w:ascii="Arial" w:cs="Arial" w:eastAsia="Arial" w:hAnsi="Arial"/>
          <w:sz w:val="22"/>
          <w:szCs w:val="22"/>
        </w:rPr>
        <w:t xml:space="preserve">Forms: React Hook Form with server-side validation; leads piped to CRM (HubSpot or Pipedrive)</w:t>
      </w:r>
    </w:p>
    <w:p>
      <w:pPr>
        <w:pStyle w:val="ListParagraph"/>
        <w:numPr>
          <w:ilvl w:val="0"/>
          <w:numId w:val="2"/>
        </w:numPr>
        <w:spacing w:after="40" w:before="40"/>
      </w:pPr>
      <w:r>
        <w:rPr>
          <w:rFonts w:ascii="Arial" w:cs="Arial" w:eastAsia="Arial" w:hAnsi="Arial"/>
          <w:sz w:val="22"/>
          <w:szCs w:val="22"/>
        </w:rPr>
        <w:t xml:space="preserve">i18n: French (fr) primary, English (en) secondary — matching the workspace application</w:t>
      </w:r>
    </w:p>
    <w:p>
      <w:pPr>
        <w:pStyle w:val="ListParagraph"/>
        <w:numPr>
          <w:ilvl w:val="0"/>
          <w:numId w:val="2"/>
        </w:numPr>
        <w:spacing w:after="40" w:before="40"/>
      </w:pPr>
      <w:r>
        <w:rPr>
          <w:rFonts w:ascii="Arial" w:cs="Arial" w:eastAsia="Arial" w:hAnsi="Arial"/>
          <w:sz w:val="22"/>
          <w:szCs w:val="22"/>
        </w:rPr>
        <w:t xml:space="preserve">Performance target: Core Web Vitals all green; LCP under 2.5s on a simulated 4G connection</w:t>
      </w:r>
    </w:p>
    <w:p>
      <w:pPr>
        <w:pStyle w:val="ListParagraph"/>
        <w:numPr>
          <w:ilvl w:val="0"/>
          <w:numId w:val="2"/>
        </w:numPr>
        <w:spacing w:after="40" w:before="40"/>
      </w:pPr>
      <w:r>
        <w:rPr>
          <w:rFonts w:ascii="Arial" w:cs="Arial" w:eastAsia="Arial" w:hAnsi="Arial"/>
          <w:sz w:val="22"/>
          <w:szCs w:val="22"/>
        </w:rPr>
        <w:t xml:space="preserve">Security: Content Security Policy headers, HSTS preloading, no mixed content</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8. Email Architecture</w:t>
      </w:r>
    </w:p>
    <w:p>
      <w:pPr>
        <w:spacing w:after="80" w:before="60"/>
      </w:pPr>
      <w:r>
        <w:rPr>
          <w:rFonts w:ascii="Arial" w:cs="Arial" w:eastAsia="Arial" w:hAnsi="Arial"/>
          <w:sz w:val="22"/>
          <w:szCs w:val="22"/>
        </w:rPr>
        <w:t xml:space="preserve">Prinodia maintains a structured email address taxonomy ensuring professional brand presentation, secure operations, and clear routing for every type of communication. All addresses use the @prinodia.com domain with SPF, DKIM, and DMARC enforced.</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8.1 System &amp; Transactional Emails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Email Address</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Category</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noreply@prinodia.com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 automated system notifications — workspace events, alerts, file shares, mentions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hello@prinodia.com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Welcome emails, onboarding sequences, trial activation messages, getting-started guides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verify@prinodia.com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Auth</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Email verification codes, 2FA OTP delivery, account confirmation and security links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billing@prinodia.com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Transactional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Invoices, payment receipts, subscription changes, trial expiry, failed payment notices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alerts@prinodia.com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 health alerts, security incident notifications, SLA breach alerts, downtime notices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security@prinodia.com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Security</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Security incident disclosure, suspicious activity alerts, breach notifications to users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invites@prinodia.com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Workspace invitations, team invitation emails, guest access links, partner invitations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reports@prinodia.com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Scheduled analytics reports, audit log exports, weekly usage digests, admin summaries</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8.2 Customer-Facing Functional Emails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Email Address</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Category</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support@prinodia.com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Support</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Primary customer support inbox — technical issues, account help, bug reports, how-to questions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sales@prinodia.com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Sales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Sales inquiries, pricing questions, demo scheduling, inbound opportunity qualification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enterprise@prinodia.com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Sales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Dedicated Enterprise and Government account inquiries; large deal routing</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partners@prinodia.com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Partnerships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Integration partner inquiries, reseller applications, white-label API partnerships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press@prinodia.com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Comms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Media inquiries, press releases, journalist requests, analyst briefings, PR coordination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legal@prinodia.com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Legal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Legal notices, subpoenas, IP claims, contractual disputes, DPA requests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privacy@prinodia.com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Compliance</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Data subject access requests (DSAR), right to erasure, consent withdrawal, GDPR inquiries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compliance@prinodia.com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Compliance</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Regulatory inquiries, audit requests, ISO/SOC certification questions, pen test coordination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abuse@prinodia.com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Trust &amp; Safety</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Abuse reports, content policy violations, spam complaints, unauthorized access reports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dpo@prinodia.com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Legal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Data Protection Officer contact for regulatory bodies and supervisory authorities</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8.3 Internal Team Emails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Email Address</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Category</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team@prinodia.com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Internal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All-staff announcements, cross-team broadcasts, company-wide news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engineering@prinodia.com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Internal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Engineering team list, technical announcements, incident response coordination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product@prinodia.com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Internal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Product team communications, roadmap announcements, feature request triage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hr@prinodia.com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Internal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Human resources, recruitment, employee matters, benefits administration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finance@prinodia.com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Internal</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Financial operations, vendor payments, expense management, investor reporting</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careers@prinodia.com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Recruitment</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Job applications, internship inquiries, recruiter outreach</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ceo@prinodia.com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Executive</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CEO direct line for strategic partnerships, board matters, key customer relationships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2E75B6"/>
                <w:sz w:val="20"/>
                <w:szCs w:val="20"/>
              </w:rPr>
              <w:t xml:space="preserve">cto@prinodia.com</w:t>
            </w:r>
          </w:p>
        </w:tc>
        <w:tc>
          <w:tcPr>
            <w:tcW w:type="dxa" w:w="18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Executive</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CTO direct line for technical partnerships, security researchers, architecture advisory</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8.4 Email Infrastructure Best Practices</w:t>
      </w:r>
    </w:p>
    <w:p>
      <w:pPr>
        <w:pStyle w:val="ListParagraph"/>
        <w:numPr>
          <w:ilvl w:val="0"/>
          <w:numId w:val="2"/>
        </w:numPr>
        <w:spacing w:after="40" w:before="40"/>
      </w:pPr>
      <w:r>
        <w:rPr>
          <w:rFonts w:ascii="Arial" w:cs="Arial" w:eastAsia="Arial" w:hAnsi="Arial"/>
          <w:sz w:val="22"/>
          <w:szCs w:val="22"/>
        </w:rPr>
        <w:t xml:space="preserve">Provider: Resend or SendGrid for transactional emails; Mailchimp for marketing/nurture sequences</w:t>
      </w:r>
    </w:p>
    <w:p>
      <w:pPr>
        <w:pStyle w:val="ListParagraph"/>
        <w:numPr>
          <w:ilvl w:val="0"/>
          <w:numId w:val="2"/>
        </w:numPr>
        <w:spacing w:after="40" w:before="40"/>
      </w:pPr>
      <w:r>
        <w:rPr>
          <w:rFonts w:ascii="Arial" w:cs="Arial" w:eastAsia="Arial" w:hAnsi="Arial"/>
          <w:sz w:val="22"/>
          <w:szCs w:val="22"/>
        </w:rPr>
        <w:t xml:space="preserve">DNS: SPF (v=spf1 include:sendgrid.net -all), DKIM (2048-bit key), DMARC (p=reject long-term)</w:t>
      </w:r>
    </w:p>
    <w:p>
      <w:pPr>
        <w:pStyle w:val="ListParagraph"/>
        <w:numPr>
          <w:ilvl w:val="0"/>
          <w:numId w:val="2"/>
        </w:numPr>
        <w:spacing w:after="40" w:before="40"/>
      </w:pPr>
      <w:r>
        <w:rPr>
          <w:rFonts w:ascii="Arial" w:cs="Arial" w:eastAsia="Arial" w:hAnsi="Arial"/>
          <w:sz w:val="22"/>
          <w:szCs w:val="22"/>
        </w:rPr>
        <w:t xml:space="preserve">DMARC rollout: Start at p=none (monitoring), move to p=quarantine (30 days), then p=reject</w:t>
      </w:r>
    </w:p>
    <w:p>
      <w:pPr>
        <w:pStyle w:val="ListParagraph"/>
        <w:numPr>
          <w:ilvl w:val="0"/>
          <w:numId w:val="2"/>
        </w:numPr>
        <w:spacing w:after="40" w:before="40"/>
      </w:pPr>
      <w:r>
        <w:rPr>
          <w:rFonts w:ascii="Arial" w:cs="Arial" w:eastAsia="Arial" w:hAnsi="Arial"/>
          <w:sz w:val="22"/>
          <w:szCs w:val="22"/>
        </w:rPr>
        <w:t xml:space="preserve">Archiving: All transactional and customer emails archived for 7 years for compliance</w:t>
      </w:r>
    </w:p>
    <w:p>
      <w:pPr>
        <w:pStyle w:val="ListParagraph"/>
        <w:numPr>
          <w:ilvl w:val="0"/>
          <w:numId w:val="2"/>
        </w:numPr>
        <w:spacing w:after="40" w:before="40"/>
      </w:pPr>
      <w:r>
        <w:rPr>
          <w:rFonts w:ascii="Arial" w:cs="Arial" w:eastAsia="Arial" w:hAnsi="Arial"/>
          <w:sz w:val="22"/>
          <w:szCs w:val="22"/>
        </w:rPr>
        <w:t xml:space="preserve">Unsubscribe: List-Unsubscribe header on all marketing emails; one-click unsubscribe mandatory</w:t>
      </w:r>
    </w:p>
    <w:p>
      <w:pPr>
        <w:pStyle w:val="ListParagraph"/>
        <w:numPr>
          <w:ilvl w:val="0"/>
          <w:numId w:val="2"/>
        </w:numPr>
        <w:spacing w:after="40" w:before="40"/>
      </w:pPr>
      <w:r>
        <w:rPr>
          <w:rFonts w:ascii="Arial" w:cs="Arial" w:eastAsia="Arial" w:hAnsi="Arial"/>
          <w:sz w:val="22"/>
          <w:szCs w:val="22"/>
        </w:rPr>
        <w:t xml:space="preserve">Bounce handling: Hard bounces auto-blacklisted; soft bounces retried 3 times over 24 hours</w:t>
      </w:r>
    </w:p>
    <w:p>
      <w:pPr>
        <w:pStyle w:val="ListParagraph"/>
        <w:numPr>
          <w:ilvl w:val="0"/>
          <w:numId w:val="2"/>
        </w:numPr>
        <w:spacing w:after="40" w:before="40"/>
      </w:pPr>
      <w:r>
        <w:rPr>
          <w:rFonts w:ascii="Arial" w:cs="Arial" w:eastAsia="Arial" w:hAnsi="Arial"/>
          <w:sz w:val="22"/>
          <w:szCs w:val="22"/>
        </w:rPr>
        <w:t xml:space="preserve">Anti-phishing: BIMI (Brand Indicators for Message Identification) configured with Prinodia logo once DMARC p=reject is live</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9. Authentication Flow</w:t>
      </w:r>
    </w:p>
    <w:p>
      <w:pPr>
        <w:spacing w:after="80" w:before="60"/>
      </w:pPr>
      <w:r>
        <w:rPr>
          <w:rFonts w:ascii="Arial" w:cs="Arial" w:eastAsia="Arial" w:hAnsi="Arial"/>
          <w:sz w:val="22"/>
          <w:szCs w:val="22"/>
        </w:rPr>
        <w:t xml:space="preserve">Authentication in Prinodia Workspace is handled by a centralized auth service at auth.prinodia.com. It issues RS256-signed JWTs with 15-minute expiry plus 7-day refresh tokens. All authentication state is tracked in server-side sessions for security and auditability.</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9.1 Login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Step</w:t>
            </w:r>
          </w:p>
        </w:tc>
        <w:tc>
          <w:tcPr>
            <w:tcW w:type="dxa" w:w="6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Detail</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1</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Entry point</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User visits auth.prinodia.com/login or is redirected from {tenant}.prinodia.com — tenant context preserved in URL params</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2</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Identifier entry</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User enters email, username, matricule number, or employee number — system supports multi-identifier lookup</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3</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Account lookup</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System resolves the user record across all identifier types; returns masked email for confirmation before password prompt</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4</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Password verification</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bcrypt hash comparison; rate-limited to 5 attempts per 15 minutes per IP; progressive backoff applied</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5</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MFA challenge</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If MFA enabled: present TOTP, SMS OTP, or Email OTP prompt based on user configuration and tier</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6</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MFA verification</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Validate OTP; backup code usage tracked — each code is one-time-use only</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7</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Session creation</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Create UserSession record with device fingerprint, IP address, user agent, and session expiry</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8</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JWT issuance</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Issue RS256-signed access token (15 min) and refresh token (7 days); both include organizationId claim</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9</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Workspace routing</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Redirect user to their primary workspace or the workspace selection screen if they belong to multiple orgs</w:t>
            </w:r>
          </w:p>
        </w:tc>
      </w:tr>
      <w:tr>
        <w:tc>
          <w:tcPr>
            <w:tcW w:type="dxa" w:w="6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center"/>
            </w:pPr>
            <w:r>
              <w:rPr>
                <w:rFonts w:ascii="Arial" w:cs="Arial" w:eastAsia="Arial" w:hAnsi="Arial"/>
                <w:b/>
                <w:bCs/>
                <w:color w:val="1A1A1A"/>
                <w:sz w:val="20"/>
                <w:szCs w:val="20"/>
              </w:rPr>
              <w:t xml:space="preserve">10</w:t>
            </w:r>
          </w:p>
        </w:tc>
        <w:tc>
          <w:tcPr>
            <w:tcW w:type="dxa" w:w="2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Audit log</w:t>
            </w:r>
          </w:p>
        </w:tc>
        <w:tc>
          <w:tcPr>
            <w:tcW w:type="dxa" w:w="6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Record login event: actor ID, IP, device, method, success or failure status, timestamp</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9.2 Workspace Discovery</w:t>
      </w:r>
    </w:p>
    <w:p>
      <w:pPr>
        <w:spacing w:after="80" w:before="60"/>
      </w:pPr>
      <w:r>
        <w:rPr>
          <w:rFonts w:ascii="Arial" w:cs="Arial" w:eastAsia="Arial" w:hAnsi="Arial"/>
          <w:sz w:val="22"/>
          <w:szCs w:val="22"/>
        </w:rPr>
        <w:t xml:space="preserve">Users belonging to multiple organizations are shown a workspace selector after successful authentication. A single account can access multiple tenant workspaces with different roles in each.</w:t>
      </w:r>
    </w:p>
    <w:p>
      <w:pPr>
        <w:pStyle w:val="ListParagraph"/>
        <w:numPr>
          <w:ilvl w:val="0"/>
          <w:numId w:val="2"/>
        </w:numPr>
        <w:spacing w:after="40" w:before="40"/>
      </w:pPr>
      <w:r>
        <w:rPr>
          <w:rFonts w:ascii="Arial" w:cs="Arial" w:eastAsia="Arial" w:hAnsi="Arial"/>
          <w:sz w:val="22"/>
          <w:szCs w:val="22"/>
        </w:rPr>
        <w:t xml:space="preserve">POST /v1/auth/workspaces — returns all organizations the authenticated user belongs to</w:t>
      </w:r>
    </w:p>
    <w:p>
      <w:pPr>
        <w:pStyle w:val="ListParagraph"/>
        <w:numPr>
          <w:ilvl w:val="0"/>
          <w:numId w:val="2"/>
        </w:numPr>
        <w:spacing w:after="40" w:before="40"/>
      </w:pPr>
      <w:r>
        <w:rPr>
          <w:rFonts w:ascii="Arial" w:cs="Arial" w:eastAsia="Arial" w:hAnsi="Arial"/>
          <w:sz w:val="22"/>
          <w:szCs w:val="22"/>
        </w:rPr>
        <w:t xml:space="preserve">Each workspace card shows: org name, logo, role, last active timestamp, and unread count</w:t>
      </w:r>
    </w:p>
    <w:p>
      <w:pPr>
        <w:pStyle w:val="ListParagraph"/>
        <w:numPr>
          <w:ilvl w:val="0"/>
          <w:numId w:val="2"/>
        </w:numPr>
        <w:spacing w:after="40" w:before="40"/>
      </w:pPr>
      <w:r>
        <w:rPr>
          <w:rFonts w:ascii="Arial" w:cs="Arial" w:eastAsia="Arial" w:hAnsi="Arial"/>
          <w:sz w:val="22"/>
          <w:szCs w:val="22"/>
        </w:rPr>
        <w:t xml:space="preserve">Direct access: {slug}.prinodia.com auto-selects the matching tenant without the discovery screen</w:t>
      </w:r>
    </w:p>
    <w:p>
      <w:pPr>
        <w:pStyle w:val="ListParagraph"/>
        <w:numPr>
          <w:ilvl w:val="0"/>
          <w:numId w:val="2"/>
        </w:numPr>
        <w:spacing w:after="40" w:before="40"/>
      </w:pPr>
      <w:r>
        <w:rPr>
          <w:rFonts w:ascii="Arial" w:cs="Arial" w:eastAsia="Arial" w:hAnsi="Arial"/>
          <w:sz w:val="22"/>
          <w:szCs w:val="22"/>
        </w:rPr>
        <w:t xml:space="preserve">SSO-initiated: IdP-initiated SAML assertion maps the assertion's audience to a specific workspace</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9.3 Single Sign-On (SSO)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Protocol</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Available On</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Configuration</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SAML 2.0</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 Government</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SP-initiated and IdP-initiated; ACS URL and Entity ID provisioned per tenant</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OpenID Connect</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 Government</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Authorization code flow; discovery at auth.prinodia.com/.well-known/openid-configuration</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Microsoft Entra ID</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Business+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Pre-built Azure AD OIDC integration; security group sync and conditional access</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Google Workspace</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Business+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Google OIDC integration; domain restriction enforced; directory sync available</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Okta</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Enterprise+</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SAML and OIDC; SCIM 2.0 provisioning; Okta Verify MFA passthrough</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Custom IdP</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2E75B6"/>
                <w:sz w:val="20"/>
                <w:szCs w:val="20"/>
              </w:rPr>
              <w:t xml:space="preserve">Custom Enterprise</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Bring-your-own SAML 2.0 IdP; custom attribute mapping and claim transformation</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9.4 MFA Methods</w:t>
      </w:r>
    </w:p>
    <w:p>
      <w:pPr>
        <w:pStyle w:val="ListParagraph"/>
        <w:numPr>
          <w:ilvl w:val="0"/>
          <w:numId w:val="2"/>
        </w:numPr>
        <w:spacing w:after="40" w:before="40"/>
      </w:pPr>
      <w:r>
        <w:rPr>
          <w:rFonts w:ascii="Arial" w:cs="Arial" w:eastAsia="Arial" w:hAnsi="Arial"/>
          <w:sz w:val="22"/>
          <w:szCs w:val="22"/>
        </w:rPr>
        <w:t xml:space="preserve">TOTP (Time-based One-Time Password) — Google Authenticator, Authy, 1Password, Bitwarden</w:t>
      </w:r>
    </w:p>
    <w:p>
      <w:pPr>
        <w:pStyle w:val="ListParagraph"/>
        <w:numPr>
          <w:ilvl w:val="0"/>
          <w:numId w:val="2"/>
        </w:numPr>
        <w:spacing w:after="40" w:before="40"/>
      </w:pPr>
      <w:r>
        <w:rPr>
          <w:rFonts w:ascii="Arial" w:cs="Arial" w:eastAsia="Arial" w:hAnsi="Arial"/>
          <w:sz w:val="22"/>
          <w:szCs w:val="22"/>
        </w:rPr>
        <w:t xml:space="preserve">Email OTP — 6-digit code to verified email (5-minute expiry, single use)</w:t>
      </w:r>
    </w:p>
    <w:p>
      <w:pPr>
        <w:pStyle w:val="ListParagraph"/>
        <w:numPr>
          <w:ilvl w:val="0"/>
          <w:numId w:val="2"/>
        </w:numPr>
        <w:spacing w:after="40" w:before="40"/>
      </w:pPr>
      <w:r>
        <w:rPr>
          <w:rFonts w:ascii="Arial" w:cs="Arial" w:eastAsia="Arial" w:hAnsi="Arial"/>
          <w:sz w:val="22"/>
          <w:szCs w:val="22"/>
        </w:rPr>
        <w:t xml:space="preserve">SMS OTP — Available on Enterprise plans; carrier charges may apply</w:t>
      </w:r>
    </w:p>
    <w:p>
      <w:pPr>
        <w:pStyle w:val="ListParagraph"/>
        <w:numPr>
          <w:ilvl w:val="0"/>
          <w:numId w:val="2"/>
        </w:numPr>
        <w:spacing w:after="40" w:before="40"/>
      </w:pPr>
      <w:r>
        <w:rPr>
          <w:rFonts w:ascii="Arial" w:cs="Arial" w:eastAsia="Arial" w:hAnsi="Arial"/>
          <w:sz w:val="22"/>
          <w:szCs w:val="22"/>
        </w:rPr>
        <w:t xml:space="preserve">Hardware Security Keys — FIDO2/WebAuthn (YubiKey, Titan Key) — Enterprise+ only</w:t>
      </w:r>
    </w:p>
    <w:p>
      <w:pPr>
        <w:pStyle w:val="ListParagraph"/>
        <w:numPr>
          <w:ilvl w:val="0"/>
          <w:numId w:val="2"/>
        </w:numPr>
        <w:spacing w:after="40" w:before="40"/>
      </w:pPr>
      <w:r>
        <w:rPr>
          <w:rFonts w:ascii="Arial" w:cs="Arial" w:eastAsia="Arial" w:hAnsi="Arial"/>
          <w:sz w:val="22"/>
          <w:szCs w:val="22"/>
        </w:rPr>
        <w:t xml:space="preserve">Backup codes — 10 one-time codes generated at MFA enrollment; printable PDF for offline storage</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9.5 Password Reset Flow</w:t>
      </w:r>
    </w:p>
    <w:p>
      <w:pPr>
        <w:pStyle w:val="ListParagraph"/>
        <w:numPr>
          <w:ilvl w:val="0"/>
          <w:numId w:val="2"/>
        </w:numPr>
        <w:spacing w:after="40" w:before="40"/>
      </w:pPr>
      <w:r>
        <w:rPr>
          <w:rFonts w:ascii="Arial" w:cs="Arial" w:eastAsia="Arial" w:hAnsi="Arial"/>
          <w:sz w:val="22"/>
          <w:szCs w:val="22"/>
        </w:rPr>
        <w:t xml:space="preserve">Step 1: User requests reset at auth.prinodia.com/reset — enters email, username, or matricule</w:t>
      </w:r>
    </w:p>
    <w:p>
      <w:pPr>
        <w:pStyle w:val="ListParagraph"/>
        <w:numPr>
          <w:ilvl w:val="0"/>
          <w:numId w:val="2"/>
        </w:numPr>
        <w:spacing w:after="40" w:before="40"/>
      </w:pPr>
      <w:r>
        <w:rPr>
          <w:rFonts w:ascii="Arial" w:cs="Arial" w:eastAsia="Arial" w:hAnsi="Arial"/>
          <w:sz w:val="22"/>
          <w:szCs w:val="22"/>
        </w:rPr>
        <w:t xml:space="preserve">Step 2: System sends signed reset link to verified email (valid 30 minutes, single-use token)</w:t>
      </w:r>
    </w:p>
    <w:p>
      <w:pPr>
        <w:pStyle w:val="ListParagraph"/>
        <w:numPr>
          <w:ilvl w:val="0"/>
          <w:numId w:val="2"/>
        </w:numPr>
        <w:spacing w:after="40" w:before="40"/>
      </w:pPr>
      <w:r>
        <w:rPr>
          <w:rFonts w:ascii="Arial" w:cs="Arial" w:eastAsia="Arial" w:hAnsi="Arial"/>
          <w:sz w:val="22"/>
          <w:szCs w:val="22"/>
        </w:rPr>
        <w:t xml:space="preserve">Step 3: User sets new password — minimum 12 characters, complexity requirements enforced</w:t>
      </w:r>
    </w:p>
    <w:p>
      <w:pPr>
        <w:pStyle w:val="ListParagraph"/>
        <w:numPr>
          <w:ilvl w:val="0"/>
          <w:numId w:val="2"/>
        </w:numPr>
        <w:spacing w:after="40" w:before="40"/>
      </w:pPr>
      <w:r>
        <w:rPr>
          <w:rFonts w:ascii="Arial" w:cs="Arial" w:eastAsia="Arial" w:hAnsi="Arial"/>
          <w:sz w:val="22"/>
          <w:szCs w:val="22"/>
        </w:rPr>
        <w:t xml:space="preserve">Step 4: All existing sessions immediately invalidated on successful password change</w:t>
      </w:r>
    </w:p>
    <w:p>
      <w:pPr>
        <w:pStyle w:val="ListParagraph"/>
        <w:numPr>
          <w:ilvl w:val="0"/>
          <w:numId w:val="2"/>
        </w:numPr>
        <w:spacing w:after="40" w:before="40"/>
      </w:pPr>
      <w:r>
        <w:rPr>
          <w:rFonts w:ascii="Arial" w:cs="Arial" w:eastAsia="Arial" w:hAnsi="Arial"/>
          <w:sz w:val="22"/>
          <w:szCs w:val="22"/>
        </w:rPr>
        <w:t xml:space="preserve">Step 5: Security notification email sent to the account's verified address confirming the change</w:t>
      </w:r>
    </w:p>
    <w:p>
      <w:pPr>
        <w:pStyle w:val="ListParagraph"/>
        <w:numPr>
          <w:ilvl w:val="0"/>
          <w:numId w:val="2"/>
        </w:numPr>
        <w:spacing w:after="40" w:before="40"/>
      </w:pPr>
      <w:r>
        <w:rPr>
          <w:rFonts w:ascii="Arial" w:cs="Arial" w:eastAsia="Arial" w:hAnsi="Arial"/>
          <w:sz w:val="22"/>
          <w:szCs w:val="22"/>
        </w:rPr>
        <w:t xml:space="preserve">Admin override: Admins can trigger a password reset link from the internal admin console</w:t>
      </w:r>
    </w:p>
    <w:p>
      <w:pPr>
        <w:pStyle w:val="ListParagraph"/>
        <w:numPr>
          <w:ilvl w:val="0"/>
          <w:numId w:val="2"/>
        </w:numPr>
        <w:spacing w:after="40" w:before="40"/>
      </w:pPr>
      <w:r>
        <w:rPr>
          <w:rFonts w:ascii="Arial" w:cs="Arial" w:eastAsia="Arial" w:hAnsi="Arial"/>
          <w:sz w:val="22"/>
          <w:szCs w:val="22"/>
        </w:rPr>
        <w:t xml:space="preserve">Account lockout: 10 failed attempts within 1 hour triggers a 24-hour lockout with admin alert</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10. Customer Journey</w:t>
      </w:r>
    </w:p>
    <w:p>
      <w:pPr>
        <w:spacing w:after="80" w:before="60"/>
      </w:pPr>
      <w:r>
        <w:rPr>
          <w:rFonts w:ascii="Arial" w:cs="Arial" w:eastAsia="Arial" w:hAnsi="Arial"/>
          <w:sz w:val="22"/>
          <w:szCs w:val="22"/>
        </w:rPr>
        <w:t xml:space="preserve">The Prinodia customer journey spans eight stages from initial awareness to active advocacy. Each stage has defined touchpoints, success metrics, and automated engagement triggers to drive the customer from discovery to long-term retention.</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10.1 Full Journey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600"/>
        <w:gridCol w:w="2080"/>
        <w:gridCol w:w="4200"/>
      </w:tblGrid>
      <w:tr>
        <w:trPr>
          <w:tblHeader/>
        </w:trPr>
        <w:tc>
          <w:tcPr>
            <w:tcW w:type="dxa" w:w="14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Stage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Channel</w:t>
            </w:r>
          </w:p>
        </w:tc>
        <w:tc>
          <w:tcPr>
            <w:tcW w:type="dxa" w:w="20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Goal</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Automated Actions</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1. Awareness</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SEO, press, events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Generate qualified traffic</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Retargeting pixels; UTM tracking; content recommendations personalized by source</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2. Consideration</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Product pages, blog, demos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Educate on value proposition</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Lead magnet download triggers 7-email nurture sequence over 21 days</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3. Trial</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Signup, onboarding wizard</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Activate — reach aha moment</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Day 1: welcome + checklist; Day 3: invite team nudge; Day 7: usage summary</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4. Conversion</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In-app prompts, sales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Convert trial to paid plan</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High usage triggers upgrade prompt; sales alert for orgs with 5+ trial users</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5. Adoption</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In-app tips, webinars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Drive module adoption breadth</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Monthly product digest; feature adoption scoring; low-activity churn risk alert</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6. Retention</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QBRs, NPS, renewals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Renew; prevent churn</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60/30/7-day renewal sequence; NPS survey at day 90; CSM alert if health &lt; 70</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7. Expansion</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Seat prompts, upsell</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Grow revenue per account</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Seat limit warning at 80% capacity; module usage report with upgrade CTA</w:t>
            </w:r>
          </w:p>
        </w:tc>
      </w:tr>
      <w:tr>
        <w:tc>
          <w:tcPr>
            <w:tcW w:type="dxa" w:w="148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8. Advocacy</w:t>
            </w:r>
          </w:p>
        </w:tc>
        <w:tc>
          <w:tcPr>
            <w:tcW w:type="dxa" w:w="16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Case studies, referral</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Generate referrals and proof</w:t>
            </w:r>
          </w:p>
        </w:tc>
        <w:tc>
          <w:tcPr>
            <w:tcW w:type="dxa" w:w="4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High-NPS invite to case study; referral link with 2-month credit incentive</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10.2 Key Metrics by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Stage</w:t>
            </w:r>
          </w:p>
        </w:tc>
        <w:tc>
          <w:tcPr>
            <w:tcW w:type="dxa" w:w="34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Primary KPI</w:t>
            </w:r>
          </w:p>
        </w:tc>
        <w:tc>
          <w:tcPr>
            <w:tcW w:type="dxa" w:w="38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Target Benchmark</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Awareness</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Organic traffic, branded search volume</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20% MoM traffic growth; 500 branded searches/month by month 6</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Consideration</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Demo requests, lead magnet downloads</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5% visitor-to-lead; 200 demo requests/month by year 1</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Trial</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Trial activation rate, aha moment rate</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80% activation; 60% invite a teammate within 3 days</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Conversion</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Trial-to-paid conversion rate</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25% trial-to-paid within 30 days; 40% for sales-assisted trials</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Adoption</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Feature adoption breadth, DAU/MAU ratio</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3+ active modules per org; DAU/MAU above 60%</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Retention</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Net Revenue Retention (NRR), monthly churn</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NRR above 110%; monthly churn below 2%; annual churn below 5%</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Expansion</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Seats per account growth, upsell revenue</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20% of accounts expand within 12 months; ACV grows 15% YoY</w:t>
            </w:r>
          </w:p>
        </w:tc>
      </w:tr>
      <w:tr>
        <w:tc>
          <w:tcPr>
            <w:tcW w:type="dxa" w:w="20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Advocacy</w:t>
            </w:r>
          </w:p>
        </w:tc>
        <w:tc>
          <w:tcPr>
            <w:tcW w:type="dxa" w:w="34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NPS score, referral rate</w:t>
            </w:r>
          </w:p>
        </w:tc>
        <w:tc>
          <w:tcPr>
            <w:tcW w:type="dxa" w:w="388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NPS above 50; 10% of new trials from referral sources by year 2</w:t>
            </w:r>
          </w:p>
        </w:tc>
      </w:tr>
    </w:tbl>
    <w:p>
      <w:pPr>
        <w:spacing w:after="0" w:before="120"/>
      </w:pPr>
      <w:r>
        <w:t xml:space="preserve"/>
      </w:r>
    </w:p>
    <w:p>
      <w:pPr>
        <w:pBdr>
          <w:left w:val="single" w:color="2E75B6" w:sz="12" w:space="8"/>
        </w:pBdr>
        <w:spacing w:after="80" w:before="80"/>
        <w:ind w:left="360"/>
      </w:pPr>
      <w:r>
        <w:rPr>
          <w:rFonts w:ascii="Arial" w:cs="Arial" w:eastAsia="Arial" w:hAnsi="Arial"/>
          <w:i/>
          <w:iCs/>
          <w:color w:val="6B7280"/>
          <w:sz w:val="20"/>
          <w:szCs w:val="20"/>
        </w:rPr>
        <w:t xml:space="preserve">The critical conversion point in the Prinodia journey is the Trial to Conversion stage. Data from comparable B2B SaaS platforms shows that organizations which invite 3 or more teammates within the first 72 hours have a 4x higher trial-to-paid conversion rate. All onboarding automation should prioritize this single moment.</w:t>
      </w:r>
    </w:p>
    <w:p>
      <w:pPr>
        <w:pStyle w:val="Heading1"/>
        <w:pageBreakBefore/>
        <w:pBdr>
          <w:bottom w:val="single" w:color="2E75B6" w:sz="4" w:space="4"/>
        </w:pBdr>
        <w:spacing w:after="200" w:before="360"/>
      </w:pPr>
      <w:r>
        <w:rPr>
          <w:rFonts w:ascii="Arial" w:cs="Arial" w:eastAsia="Arial" w:hAnsi="Arial"/>
          <w:b/>
          <w:bCs/>
          <w:color w:val="1E3A5F"/>
          <w:sz w:val="36"/>
          <w:szCs w:val="36"/>
        </w:rPr>
        <w:t xml:space="preserve">11. Future Scaling Strategy</w:t>
      </w:r>
    </w:p>
    <w:p>
      <w:pPr>
        <w:spacing w:after="80" w:before="60"/>
      </w:pPr>
      <w:r>
        <w:rPr>
          <w:rFonts w:ascii="Arial" w:cs="Arial" w:eastAsia="Arial" w:hAnsi="Arial"/>
          <w:sz w:val="22"/>
          <w:szCs w:val="22"/>
        </w:rPr>
        <w:t xml:space="preserve">Prinodia is architected to support tens of thousands of organizations while maintaining strict isolation, high performance, and operational efficiency. The scaling strategy combines horizontal application scaling, database sharding, geographic distribution, and AI-powered operations.</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11.1 Infrastructure Scaling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Scale Target</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Architecture Pattern</w:t>
            </w:r>
          </w:p>
        </w:tc>
        <w:tc>
          <w:tcPr>
            <w:tcW w:type="dxa" w:w="5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Key Changes Required</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0–100 orgs</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Single-region monolith + managed DB</w:t>
            </w:r>
          </w:p>
        </w:tc>
        <w:tc>
          <w:tcPr>
            <w:tcW w:type="dxa" w:w="5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Current architecture (v1.7.0) — minimal ops overhead, fast iteration velocity</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100–1,000 orgs</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Multi-instance API, read replicas, Redis cluster</w:t>
            </w:r>
          </w:p>
        </w:tc>
        <w:tc>
          <w:tcPr>
            <w:tcW w:type="dxa" w:w="5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Load balancer, PgBouncer connection pooling, Redis cluster, CDN cache warming</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1K–10K orgs</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Horizontal autoscaling, DB sharding by org range</w:t>
            </w:r>
          </w:p>
        </w:tc>
        <w:tc>
          <w:tcPr>
            <w:tcW w:type="dxa" w:w="5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Kubernetes (EKS/GKE), database sharding, regional object storage, Datadog monitoring</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10K–100K orgs</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Multi-region active-active, global routing</w:t>
            </w:r>
          </w:p>
        </w:tc>
        <w:tc>
          <w:tcPr>
            <w:tcW w:type="dxa" w:w="5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Multi-region Postgres (CockroachDB or Neon), Anycast DNS, cross-region replication</w:t>
            </w:r>
          </w:p>
        </w:tc>
      </w:tr>
      <w:tr>
        <w:tc>
          <w:tcPr>
            <w:tcW w:type="dxa" w:w="1800"/>
            <w:tcBorders>
              <w:top w:val="single" w:color="D1D5DB" w:sz="1"/>
              <w:left w:val="single" w:color="D1D5DB" w:sz="1"/>
              <w:bottom w:val="single" w:color="D1D5DB" w:sz="1"/>
              <w:right w:val="single" w:color="D1D5DB" w:sz="1"/>
            </w:tcBorders>
            <w:shd w:fill="EEF4FB" w:val="clear"/>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100K+ orgs</w:t>
            </w:r>
          </w:p>
        </w:tc>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Full microservices, dedicated regional clusters</w:t>
            </w:r>
          </w:p>
        </w:tc>
        <w:tc>
          <w:tcPr>
            <w:tcW w:type="dxa" w:w="51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Service mesh (Istio), per-service databases, edge computing, AI capacity planning</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11.2 Database Scaling Roadmap</w:t>
      </w:r>
    </w:p>
    <w:p>
      <w:pPr>
        <w:pStyle w:val="ListParagraph"/>
        <w:numPr>
          <w:ilvl w:val="0"/>
          <w:numId w:val="2"/>
        </w:numPr>
        <w:spacing w:after="40" w:before="40"/>
      </w:pPr>
      <w:r>
        <w:rPr>
          <w:rFonts w:ascii="Arial" w:cs="Arial" w:eastAsia="Arial" w:hAnsi="Arial"/>
          <w:sz w:val="22"/>
          <w:szCs w:val="22"/>
        </w:rPr>
        <w:t xml:space="preserve">Phase 1 (current): Single PostgreSQL 17 cluster with PgBouncer connection pooling</w:t>
      </w:r>
    </w:p>
    <w:p>
      <w:pPr>
        <w:pStyle w:val="ListParagraph"/>
        <w:numPr>
          <w:ilvl w:val="0"/>
          <w:numId w:val="2"/>
        </w:numPr>
        <w:spacing w:after="40" w:before="40"/>
      </w:pPr>
      <w:r>
        <w:rPr>
          <w:rFonts w:ascii="Arial" w:cs="Arial" w:eastAsia="Arial" w:hAnsi="Arial"/>
          <w:sz w:val="22"/>
          <w:szCs w:val="22"/>
        </w:rPr>
        <w:t xml:space="preserve">Phase 2: Read replicas for reporting queries; TimescaleDB for time-series analytics</w:t>
      </w:r>
    </w:p>
    <w:p>
      <w:pPr>
        <w:pStyle w:val="ListParagraph"/>
        <w:numPr>
          <w:ilvl w:val="0"/>
          <w:numId w:val="2"/>
        </w:numPr>
        <w:spacing w:after="40" w:before="40"/>
      </w:pPr>
      <w:r>
        <w:rPr>
          <w:rFonts w:ascii="Arial" w:cs="Arial" w:eastAsia="Arial" w:hAnsi="Arial"/>
          <w:sz w:val="22"/>
          <w:szCs w:val="22"/>
        </w:rPr>
        <w:t xml:space="preserve">Phase 3: Horizontal sharding by organizationId hash — all tenant data co-located per shard</w:t>
      </w:r>
    </w:p>
    <w:p>
      <w:pPr>
        <w:pStyle w:val="ListParagraph"/>
        <w:numPr>
          <w:ilvl w:val="0"/>
          <w:numId w:val="2"/>
        </w:numPr>
        <w:spacing w:after="40" w:before="40"/>
      </w:pPr>
      <w:r>
        <w:rPr>
          <w:rFonts w:ascii="Arial" w:cs="Arial" w:eastAsia="Arial" w:hAnsi="Arial"/>
          <w:sz w:val="22"/>
          <w:szCs w:val="22"/>
        </w:rPr>
        <w:t xml:space="preserve">Phase 4: Tenant-aware query router maps orgId to shard — transparent to application layer</w:t>
      </w:r>
    </w:p>
    <w:p>
      <w:pPr>
        <w:pStyle w:val="ListParagraph"/>
        <w:numPr>
          <w:ilvl w:val="0"/>
          <w:numId w:val="2"/>
        </w:numPr>
        <w:spacing w:after="40" w:before="40"/>
      </w:pPr>
      <w:r>
        <w:rPr>
          <w:rFonts w:ascii="Arial" w:cs="Arial" w:eastAsia="Arial" w:hAnsi="Arial"/>
          <w:sz w:val="22"/>
          <w:szCs w:val="22"/>
        </w:rPr>
        <w:t xml:space="preserve">Phase 5: CockroachDB or Neon serverless Postgres for globally distributed, active-active writes</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11.3 Multi-Region Data Residency</w:t>
      </w:r>
    </w:p>
    <w:p>
      <w:pPr>
        <w:spacing w:after="80" w:before="60"/>
      </w:pPr>
      <w:r>
        <w:rPr>
          <w:rFonts w:ascii="Arial" w:cs="Arial" w:eastAsia="Arial" w:hAnsi="Arial"/>
          <w:sz w:val="22"/>
          <w:szCs w:val="22"/>
        </w:rPr>
        <w:t xml:space="preserve">Geographic distribution is critical for government customers with data sovereignty requirements. Prinodia's multi-region model isolates tenant data within specified geographic boundaries.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Region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Target Markets</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spacing w:after="40" w:before="40"/>
              <w:jc w:val="left"/>
            </w:pPr>
            <w:r>
              <w:rPr>
                <w:rFonts w:ascii="Arial" w:cs="Arial" w:eastAsia="Arial" w:hAnsi="Arial"/>
                <w:b/>
                <w:bCs/>
                <w:color w:val="FFFFFF"/>
                <w:sz w:val="20"/>
                <w:szCs w:val="20"/>
              </w:rPr>
              <w:t xml:space="preserve">Compliance Framework</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Africa (af-south-1)</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DRC, Sub-Saharan Africa</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GDPR alignment; COMESA digital trade; national data sovereignty laws</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Europe (eu-west-1)</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EU government customers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GDPR Articles 44-46; EU institutional framework; NIS2 directive</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Middle East (me-south-1)</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MENA governments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UAE PDPL; Saudi NCA regulations; Qatar PDPPL; Bahrain PDPL</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Americas (us-east-1)</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NGOs, international orgs</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FedRAMP-aligned; SOC 2 Type II; CCPA; US federal sector requirements</w:t>
            </w:r>
          </w:p>
        </w:tc>
      </w:tr>
      <w:tr>
        <w:tc>
          <w:tcPr>
            <w:tcW w:type="dxa" w:w="24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bCs/>
                <w:color w:val="1A1A1A"/>
                <w:sz w:val="20"/>
                <w:szCs w:val="20"/>
              </w:rPr>
              <w:t xml:space="preserve">Asia Pacific (ap-se-1)</w:t>
            </w:r>
          </w:p>
        </w:tc>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ASEAN government</w:t>
            </w:r>
          </w:p>
        </w:tc>
        <w:tc>
          <w:tcPr>
            <w:tcW w:type="dxa" w:w="4760"/>
            <w:tcBorders>
              <w:top w:val="single" w:color="D1D5DB" w:sz="1"/>
              <w:left w:val="single" w:color="D1D5DB" w:sz="1"/>
              <w:bottom w:val="single" w:color="D1D5DB" w:sz="1"/>
              <w:right w:val="single" w:color="D1D5DB" w:sz="1"/>
            </w:tcBorders>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1A1A1A"/>
                <w:sz w:val="20"/>
                <w:szCs w:val="20"/>
              </w:rPr>
              <w:t xml:space="preserve">PDPA Thailand; India DPDP Act; Singapore PDPA; Malaysia PDPA</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11.4 Security at Scale</w:t>
      </w:r>
    </w:p>
    <w:p>
      <w:pPr>
        <w:pStyle w:val="ListParagraph"/>
        <w:numPr>
          <w:ilvl w:val="0"/>
          <w:numId w:val="2"/>
        </w:numPr>
        <w:spacing w:after="40" w:before="40"/>
      </w:pPr>
      <w:r>
        <w:rPr>
          <w:rFonts w:ascii="Arial" w:cs="Arial" w:eastAsia="Arial" w:hAnsi="Arial"/>
          <w:sz w:val="22"/>
          <w:szCs w:val="22"/>
        </w:rPr>
        <w:t xml:space="preserve">Zero-trust network architecture — no implicit trust; every request authenticated and authorized regardless of network origin</w:t>
      </w:r>
    </w:p>
    <w:p>
      <w:pPr>
        <w:pStyle w:val="ListParagraph"/>
        <w:numPr>
          <w:ilvl w:val="0"/>
          <w:numId w:val="2"/>
        </w:numPr>
        <w:spacing w:after="40" w:before="40"/>
      </w:pPr>
      <w:r>
        <w:rPr>
          <w:rFonts w:ascii="Arial" w:cs="Arial" w:eastAsia="Arial" w:hAnsi="Arial"/>
          <w:sz w:val="22"/>
          <w:szCs w:val="22"/>
        </w:rPr>
        <w:t xml:space="preserve">mTLS between all internal services at scale (service mesh in Phase 3+)</w:t>
      </w:r>
    </w:p>
    <w:p>
      <w:pPr>
        <w:pStyle w:val="ListParagraph"/>
        <w:numPr>
          <w:ilvl w:val="0"/>
          <w:numId w:val="2"/>
        </w:numPr>
        <w:spacing w:after="40" w:before="40"/>
      </w:pPr>
      <w:r>
        <w:rPr>
          <w:rFonts w:ascii="Arial" w:cs="Arial" w:eastAsia="Arial" w:hAnsi="Arial"/>
          <w:sz w:val="22"/>
          <w:szCs w:val="22"/>
        </w:rPr>
        <w:t xml:space="preserve">Automated vulnerability scanning integrated into CI/CD pipeline (Snyk for dependencies, Trivy for containers)</w:t>
      </w:r>
    </w:p>
    <w:p>
      <w:pPr>
        <w:pStyle w:val="ListParagraph"/>
        <w:numPr>
          <w:ilvl w:val="0"/>
          <w:numId w:val="2"/>
        </w:numPr>
        <w:spacing w:after="40" w:before="40"/>
      </w:pPr>
      <w:r>
        <w:rPr>
          <w:rFonts w:ascii="Arial" w:cs="Arial" w:eastAsia="Arial" w:hAnsi="Arial"/>
          <w:sz w:val="22"/>
          <w:szCs w:val="22"/>
        </w:rPr>
        <w:t xml:space="preserve">Penetration testing: quarterly external pen tests; continuous automated DAST scanning</w:t>
      </w:r>
    </w:p>
    <w:p>
      <w:pPr>
        <w:pStyle w:val="ListParagraph"/>
        <w:numPr>
          <w:ilvl w:val="0"/>
          <w:numId w:val="2"/>
        </w:numPr>
        <w:spacing w:after="40" w:before="40"/>
      </w:pPr>
      <w:r>
        <w:rPr>
          <w:rFonts w:ascii="Arial" w:cs="Arial" w:eastAsia="Arial" w:hAnsi="Arial"/>
          <w:sz w:val="22"/>
          <w:szCs w:val="22"/>
        </w:rPr>
        <w:t xml:space="preserve">Bug bounty program (HackerOne) launched once the public API surface stabilizes at v2.0</w:t>
      </w:r>
    </w:p>
    <w:p>
      <w:pPr>
        <w:pStyle w:val="ListParagraph"/>
        <w:numPr>
          <w:ilvl w:val="0"/>
          <w:numId w:val="2"/>
        </w:numPr>
        <w:spacing w:after="40" w:before="40"/>
      </w:pPr>
      <w:r>
        <w:rPr>
          <w:rFonts w:ascii="Arial" w:cs="Arial" w:eastAsia="Arial" w:hAnsi="Arial"/>
          <w:sz w:val="22"/>
          <w:szCs w:val="22"/>
        </w:rPr>
        <w:t xml:space="preserve">SOC 2 Type II certification targeted for first major enterprise government deployment</w:t>
      </w:r>
    </w:p>
    <w:p>
      <w:pPr>
        <w:pStyle w:val="ListParagraph"/>
        <w:numPr>
          <w:ilvl w:val="0"/>
          <w:numId w:val="2"/>
        </w:numPr>
        <w:spacing w:after="40" w:before="40"/>
      </w:pPr>
      <w:r>
        <w:rPr>
          <w:rFonts w:ascii="Arial" w:cs="Arial" w:eastAsia="Arial" w:hAnsi="Arial"/>
          <w:sz w:val="22"/>
          <w:szCs w:val="22"/>
        </w:rPr>
        <w:t xml:space="preserve">ISO 27001 certification roadmap for EU and Middle East government market requirements</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11.5 Operational Excellence</w:t>
      </w:r>
    </w:p>
    <w:p>
      <w:pPr>
        <w:pStyle w:val="ListParagraph"/>
        <w:numPr>
          <w:ilvl w:val="0"/>
          <w:numId w:val="2"/>
        </w:numPr>
        <w:spacing w:after="40" w:before="40"/>
      </w:pPr>
      <w:r>
        <w:rPr>
          <w:rFonts w:ascii="Arial" w:cs="Arial" w:eastAsia="Arial" w:hAnsi="Arial"/>
          <w:sz w:val="22"/>
          <w:szCs w:val="22"/>
        </w:rPr>
        <w:t xml:space="preserve">Infrastructure as Code (Terraform or Pulumi) — zero manual cloud provisioning at any scale</w:t>
      </w:r>
    </w:p>
    <w:p>
      <w:pPr>
        <w:pStyle w:val="ListParagraph"/>
        <w:numPr>
          <w:ilvl w:val="0"/>
          <w:numId w:val="2"/>
        </w:numPr>
        <w:spacing w:after="40" w:before="40"/>
      </w:pPr>
      <w:r>
        <w:rPr>
          <w:rFonts w:ascii="Arial" w:cs="Arial" w:eastAsia="Arial" w:hAnsi="Arial"/>
          <w:sz w:val="22"/>
          <w:szCs w:val="22"/>
        </w:rPr>
        <w:t xml:space="preserve">GitOps deployment model — all infrastructure changes via merge requests with approval gates and automated rollback</w:t>
      </w:r>
    </w:p>
    <w:p>
      <w:pPr>
        <w:pStyle w:val="ListParagraph"/>
        <w:numPr>
          <w:ilvl w:val="0"/>
          <w:numId w:val="2"/>
        </w:numPr>
        <w:spacing w:after="40" w:before="40"/>
      </w:pPr>
      <w:r>
        <w:rPr>
          <w:rFonts w:ascii="Arial" w:cs="Arial" w:eastAsia="Arial" w:hAnsi="Arial"/>
          <w:sz w:val="22"/>
          <w:szCs w:val="22"/>
        </w:rPr>
        <w:t xml:space="preserve">Chaos engineering practice — weekly automated failure injection to validate platform resilience</w:t>
      </w:r>
    </w:p>
    <w:p>
      <w:pPr>
        <w:pStyle w:val="ListParagraph"/>
        <w:numPr>
          <w:ilvl w:val="0"/>
          <w:numId w:val="2"/>
        </w:numPr>
        <w:spacing w:after="40" w:before="40"/>
      </w:pPr>
      <w:r>
        <w:rPr>
          <w:rFonts w:ascii="Arial" w:cs="Arial" w:eastAsia="Arial" w:hAnsi="Arial"/>
          <w:sz w:val="22"/>
          <w:szCs w:val="22"/>
        </w:rPr>
        <w:t xml:space="preserve">On-call rotation with P0/P1/P2/P3 incident severity framework and escalation runbooks</w:t>
      </w:r>
    </w:p>
    <w:p>
      <w:pPr>
        <w:pStyle w:val="ListParagraph"/>
        <w:numPr>
          <w:ilvl w:val="0"/>
          <w:numId w:val="2"/>
        </w:numPr>
        <w:spacing w:after="40" w:before="40"/>
      </w:pPr>
      <w:r>
        <w:rPr>
          <w:rFonts w:ascii="Arial" w:cs="Arial" w:eastAsia="Arial" w:hAnsi="Arial"/>
          <w:sz w:val="22"/>
          <w:szCs w:val="22"/>
        </w:rPr>
        <w:t xml:space="preserve">Error budget policy — feature development paused if monthly error budget falls below 20% remaining</w:t>
      </w:r>
    </w:p>
    <w:p>
      <w:pPr>
        <w:pStyle w:val="ListParagraph"/>
        <w:numPr>
          <w:ilvl w:val="0"/>
          <w:numId w:val="2"/>
        </w:numPr>
        <w:spacing w:after="40" w:before="40"/>
      </w:pPr>
      <w:r>
        <w:rPr>
          <w:rFonts w:ascii="Arial" w:cs="Arial" w:eastAsia="Arial" w:hAnsi="Arial"/>
          <w:sz w:val="22"/>
          <w:szCs w:val="22"/>
        </w:rPr>
        <w:t xml:space="preserve">AIOps at scale — anomaly detection, predictive autoscaling, capacity forecasting using historical tenant growth data</w:t>
      </w:r>
    </w:p>
    <w:p>
      <w:pPr>
        <w:spacing w:after="0" w:before="120"/>
      </w:pPr>
      <w:r>
        <w:t xml:space="preserve"/>
      </w:r>
    </w:p>
    <w:p>
      <w:pPr>
        <w:pStyle w:val="Heading2"/>
        <w:spacing w:after="120" w:before="240"/>
      </w:pPr>
      <w:r>
        <w:rPr>
          <w:rFonts w:ascii="Arial" w:cs="Arial" w:eastAsia="Arial" w:hAnsi="Arial"/>
          <w:b/>
          <w:bCs/>
          <w:color w:val="2E75B6"/>
          <w:sz w:val="28"/>
          <w:szCs w:val="28"/>
        </w:rPr>
        <w:t xml:space="preserve">11.6 Platform Extensibility</w:t>
      </w:r>
    </w:p>
    <w:p>
      <w:pPr>
        <w:spacing w:after="80" w:before="60"/>
      </w:pPr>
      <w:r>
        <w:rPr>
          <w:rFonts w:ascii="Arial" w:cs="Arial" w:eastAsia="Arial" w:hAnsi="Arial"/>
          <w:sz w:val="22"/>
          <w:szCs w:val="22"/>
        </w:rPr>
        <w:t xml:space="preserve">To support thousands of organizations sustainably, Prinodia will evolve from a closed SaaS to an open, extensible platform enabling partners and customers to build on top of the core.</w:t>
      </w:r>
    </w:p>
    <w:p>
      <w:pPr>
        <w:pStyle w:val="ListParagraph"/>
        <w:numPr>
          <w:ilvl w:val="0"/>
          <w:numId w:val="2"/>
        </w:numPr>
        <w:spacing w:after="40" w:before="40"/>
      </w:pPr>
      <w:r>
        <w:rPr>
          <w:rFonts w:ascii="Arial" w:cs="Arial" w:eastAsia="Arial" w:hAnsi="Arial"/>
          <w:sz w:val="22"/>
          <w:szCs w:val="22"/>
        </w:rPr>
        <w:t xml:space="preserve">Public API (api.prinodia.com) — versioned REST API with OpenAPI 3.1 specification and auto-generated SDKs</w:t>
      </w:r>
    </w:p>
    <w:p>
      <w:pPr>
        <w:pStyle w:val="ListParagraph"/>
        <w:numPr>
          <w:ilvl w:val="0"/>
          <w:numId w:val="2"/>
        </w:numPr>
        <w:spacing w:after="40" w:before="40"/>
      </w:pPr>
      <w:r>
        <w:rPr>
          <w:rFonts w:ascii="Arial" w:cs="Arial" w:eastAsia="Arial" w:hAnsi="Arial"/>
          <w:sz w:val="22"/>
          <w:szCs w:val="22"/>
        </w:rPr>
        <w:t xml:space="preserve">Webhook system — configurable webhooks per workspace for real-time integration and automation</w:t>
      </w:r>
    </w:p>
    <w:p>
      <w:pPr>
        <w:pStyle w:val="ListParagraph"/>
        <w:numPr>
          <w:ilvl w:val="0"/>
          <w:numId w:val="2"/>
        </w:numPr>
        <w:spacing w:after="40" w:before="40"/>
      </w:pPr>
      <w:r>
        <w:rPr>
          <w:rFonts w:ascii="Arial" w:cs="Arial" w:eastAsia="Arial" w:hAnsi="Arial"/>
          <w:sz w:val="22"/>
          <w:szCs w:val="22"/>
        </w:rPr>
        <w:t xml:space="preserve">OAuth 2.0 app marketplace — third-party integrations and Prinodia-verified app catalog</w:t>
      </w:r>
    </w:p>
    <w:p>
      <w:pPr>
        <w:pStyle w:val="ListParagraph"/>
        <w:numPr>
          <w:ilvl w:val="0"/>
          <w:numId w:val="2"/>
        </w:numPr>
        <w:spacing w:after="40" w:before="40"/>
      </w:pPr>
      <w:r>
        <w:rPr>
          <w:rFonts w:ascii="Arial" w:cs="Arial" w:eastAsia="Arial" w:hAnsi="Arial"/>
          <w:sz w:val="22"/>
          <w:szCs w:val="22"/>
        </w:rPr>
        <w:t xml:space="preserve">Plugin system — sandboxed, tenant-installable mini-apps and workflow automations (post-v2.0)</w:t>
      </w:r>
    </w:p>
    <w:p>
      <w:pPr>
        <w:pStyle w:val="ListParagraph"/>
        <w:numPr>
          <w:ilvl w:val="0"/>
          <w:numId w:val="2"/>
        </w:numPr>
        <w:spacing w:after="40" w:before="40"/>
      </w:pPr>
      <w:r>
        <w:rPr>
          <w:rFonts w:ascii="Arial" w:cs="Arial" w:eastAsia="Arial" w:hAnsi="Arial"/>
          <w:sz w:val="22"/>
          <w:szCs w:val="22"/>
        </w:rPr>
        <w:t xml:space="preserve">White-label API — partners build branded productivity products on Prinodia infrastructure</w:t>
      </w:r>
    </w:p>
    <w:p>
      <w:pPr>
        <w:pStyle w:val="ListParagraph"/>
        <w:numPr>
          <w:ilvl w:val="0"/>
          <w:numId w:val="2"/>
        </w:numPr>
        <w:spacing w:after="40" w:before="40"/>
      </w:pPr>
      <w:r>
        <w:rPr>
          <w:rFonts w:ascii="Arial" w:cs="Arial" w:eastAsia="Arial" w:hAnsi="Arial"/>
          <w:sz w:val="22"/>
          <w:szCs w:val="22"/>
        </w:rPr>
        <w:t xml:space="preserve">Government integration connectors — pre-built adapters for SIGTAS, BDES, national ID systems, and G2G portals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B7280"/>
        <w:sz w:val="16"/>
        <w:szCs w:val="16"/>
      </w:rPr>
      <w:t xml:space="preserve">© 2026 Prinodia Business Group  |  prinodia.com</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B7280"/>
        <w:sz w:val="16"/>
        <w:szCs w:val="16"/>
      </w:rPr>
      <w:t xml:space="preserve">Prinodia Workspace  |  Business Platform &amp; SaaS Architecture</w:t>
    </w:r>
    <w:r>
      <w:rPr>
        <w:rFonts w:ascii="Arial" w:cs="Arial" w:eastAsia="Arial" w:hAnsi="Arial"/>
        <w:sz w:val="16"/>
        <w:szCs w:val="16"/>
      </w:rPr>
      <w:t xml:space="preserve">	</w:t>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2026-06-28T03:02:49.305Z</dcterms:created>
  <dcterms:modified xsi:type="dcterms:W3CDTF">2026-06-28T03:02:49.305Z</dcterms:modified>
</cp:coreProperties>
</file>

<file path=docProps/custom.xml><?xml version="1.0" encoding="utf-8"?>
<Properties xmlns="http://schemas.openxmlformats.org/officeDocument/2006/custom-properties" xmlns:vt="http://schemas.openxmlformats.org/officeDocument/2006/docPropsVTypes"/>
</file>