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407D" w14:textId="77777777" w:rsidR="0044072C" w:rsidRDefault="0044072C">
      <w:pPr>
        <w:spacing w:after="0" w:line="480" w:lineRule="auto"/>
      </w:pPr>
    </w:p>
    <w:p w14:paraId="42AED9BF" w14:textId="77777777" w:rsidR="0044072C" w:rsidRDefault="0044072C">
      <w:pPr>
        <w:spacing w:after="0" w:line="480" w:lineRule="auto"/>
      </w:pPr>
    </w:p>
    <w:p w14:paraId="48E44229" w14:textId="77777777" w:rsidR="0044072C" w:rsidRDefault="0044072C">
      <w:pPr>
        <w:spacing w:after="0" w:line="480" w:lineRule="auto"/>
      </w:pPr>
    </w:p>
    <w:p w14:paraId="77CB0D8F" w14:textId="77777777" w:rsidR="0044072C" w:rsidRDefault="0044072C">
      <w:pPr>
        <w:spacing w:after="0" w:line="480" w:lineRule="auto"/>
      </w:pPr>
    </w:p>
    <w:p w14:paraId="43D43204" w14:textId="77777777" w:rsidR="0044072C" w:rsidRDefault="0044072C">
      <w:pPr>
        <w:spacing w:after="0" w:line="480" w:lineRule="auto"/>
      </w:pPr>
    </w:p>
    <w:p w14:paraId="3E8FA217" w14:textId="77777777" w:rsidR="0044072C" w:rsidRDefault="0044072C">
      <w:pPr>
        <w:spacing w:after="0" w:line="480" w:lineRule="auto"/>
      </w:pPr>
    </w:p>
    <w:p w14:paraId="274A0FA5" w14:textId="77777777" w:rsidR="0044072C" w:rsidRDefault="00000000">
      <w:pPr>
        <w:spacing w:after="0" w:line="480" w:lineRule="auto"/>
        <w:jc w:val="center"/>
      </w:pPr>
      <w:r>
        <w:rPr>
          <w:b/>
        </w:rPr>
        <w:t>Module 7: Final Project Design Decisions</w:t>
      </w:r>
    </w:p>
    <w:p w14:paraId="5F46E4C3" w14:textId="77777777" w:rsidR="0044072C" w:rsidRDefault="00000000">
      <w:pPr>
        <w:spacing w:after="0" w:line="480" w:lineRule="auto"/>
        <w:jc w:val="center"/>
      </w:pPr>
      <w:r>
        <w:t>Prince Larkins</w:t>
      </w:r>
    </w:p>
    <w:p w14:paraId="3DC2F30B" w14:textId="77777777" w:rsidR="0044072C" w:rsidRDefault="00000000">
      <w:pPr>
        <w:spacing w:after="0" w:line="480" w:lineRule="auto"/>
        <w:jc w:val="center"/>
      </w:pPr>
      <w:r>
        <w:t>Southern New Hampshire University</w:t>
      </w:r>
    </w:p>
    <w:p w14:paraId="7AF2BD8A" w14:textId="77777777" w:rsidR="0044072C" w:rsidRDefault="00000000">
      <w:pPr>
        <w:spacing w:after="0" w:line="480" w:lineRule="auto"/>
        <w:jc w:val="center"/>
      </w:pPr>
      <w:r>
        <w:t>CS-330-13961-M01 Comp Graphic and Visualization</w:t>
      </w:r>
    </w:p>
    <w:p w14:paraId="4D5E6173" w14:textId="77777777" w:rsidR="0044072C" w:rsidRDefault="00000000">
      <w:pPr>
        <w:spacing w:after="0" w:line="480" w:lineRule="auto"/>
        <w:jc w:val="center"/>
      </w:pPr>
      <w:r>
        <w:t>Brian Battersby</w:t>
      </w:r>
    </w:p>
    <w:p w14:paraId="38CD5E9B" w14:textId="55AA2903" w:rsidR="0044072C" w:rsidRDefault="00000000">
      <w:pPr>
        <w:spacing w:after="0" w:line="480" w:lineRule="auto"/>
        <w:jc w:val="center"/>
      </w:pPr>
      <w:r>
        <w:t>August 1</w:t>
      </w:r>
      <w:r w:rsidR="0061475C">
        <w:t>6</w:t>
      </w:r>
      <w:r w:rsidR="0061475C" w:rsidRPr="0061475C">
        <w:rPr>
          <w:vertAlign w:val="superscript"/>
        </w:rPr>
        <w:t>th</w:t>
      </w:r>
      <w:r>
        <w:t>, 2026</w:t>
      </w:r>
    </w:p>
    <w:p w14:paraId="39B33461" w14:textId="77777777" w:rsidR="0044072C" w:rsidRDefault="00000000">
      <w:r>
        <w:br w:type="page"/>
      </w:r>
    </w:p>
    <w:p w14:paraId="2AED3F70" w14:textId="77777777" w:rsidR="0044072C" w:rsidRDefault="00000000">
      <w:pPr>
        <w:spacing w:after="0" w:line="480" w:lineRule="auto"/>
        <w:jc w:val="center"/>
      </w:pPr>
      <w:r>
        <w:rPr>
          <w:b/>
        </w:rPr>
        <w:lastRenderedPageBreak/>
        <w:t>Module 7: Final Project Design Decisions</w:t>
      </w:r>
    </w:p>
    <w:p w14:paraId="6AA76920" w14:textId="77777777" w:rsidR="0044072C" w:rsidRDefault="00000000">
      <w:pPr>
        <w:spacing w:after="0" w:line="480" w:lineRule="auto"/>
        <w:ind w:firstLine="720"/>
      </w:pPr>
      <w:r>
        <w:t>For my final project, I recreated a focused electronics workstation scene based on the smaller area from my original reference photo. The final scene includes four main objects: a blue ESD mat, a black tool box, a wristwatch, and a .50-cal-style bullet bottle opener. I chose this group because the objects are close together on the desk and can be represented with the low-polygon shapes provided in the course content. The course materials list the available basic shapes as box, cone, cylinder, plane, prism, pyramid, sphere, tapered cylinder, and torus, so I planned the scene around those shapes instead of trying to build custom geometry from raw vertices (Southern New Hampshire University [SNHU], 2026a).</w:t>
      </w:r>
    </w:p>
    <w:p w14:paraId="3378EEBB" w14:textId="77777777" w:rsidR="0044072C" w:rsidRDefault="00000000">
      <w:pPr>
        <w:spacing w:after="0" w:line="480" w:lineRule="auto"/>
        <w:ind w:firstLine="720"/>
      </w:pPr>
      <w:r>
        <w:t>The ESD mat was modeled as a very thin box on top of the black tabletop, with a blue texture so it stands out from the table. The tool box was created mostly with box primitives for the body, lid, handle, and latch details. The watch became the most complex object in the scene. I used flattened boxes for the strap, cylinders for the face and strap holes, a torus for the raised rim, and small boxes for the lugs and hands. The bullet bottle opener was simplified into a connected bullet form using a cylinder, tapered cylinder, and cone. This allowed the scene to meet the four-object requirement while staying realistic for the course timeline.</w:t>
      </w:r>
    </w:p>
    <w:p w14:paraId="416B4A4F" w14:textId="77777777" w:rsidR="0044072C" w:rsidRDefault="00000000">
      <w:pPr>
        <w:spacing w:after="0" w:line="480" w:lineRule="auto"/>
        <w:ind w:firstLine="720"/>
      </w:pPr>
      <w:r>
        <w:t>Texture and material choices were used to make the objects easier to identify. The mat, desktop, toolbox, watch strap, dial, gold rim, silver parts, and bullet all use separate texture or material settings. The texture tutorial explains that textures are mapped onto shapes through two-dimensional texture coordinates, and I followed that idea by assigning the correct texture before drawing each object or part (SNHU, 2026b). I also used a texture overlay on the watch face so the dial had more visual detail without adding unnecessary geometry.</w:t>
      </w:r>
    </w:p>
    <w:p w14:paraId="4C0E9263" w14:textId="77777777" w:rsidR="0044072C" w:rsidRDefault="00000000">
      <w:pPr>
        <w:spacing w:after="0" w:line="480" w:lineRule="auto"/>
        <w:ind w:firstLine="720"/>
      </w:pPr>
      <w:r>
        <w:lastRenderedPageBreak/>
        <w:t>I adjusted the lighting based on feedback from Milestone Five. The earlier version of the scene was too dim, and large parts of the plane were difficult to see. For the final version, I used a broad directional fill light and multiple point lights so the table, mat, watch, toolbox, and bullet are visible from the starting camera angle. One point light uses a warmer color, which satisfies the colored-light requirement and adds highlights to the gold watch case and bullet. The lighting setup uses ambient, diffuse, and specular components, which are part of the Phong lighting approach discussed in the course lighting material (SNHU, 2026c).</w:t>
      </w:r>
    </w:p>
    <w:p w14:paraId="6612CA10" w14:textId="77777777" w:rsidR="0044072C" w:rsidRDefault="00000000">
      <w:pPr>
        <w:spacing w:after="0" w:line="480" w:lineRule="auto"/>
        <w:ind w:firstLine="720"/>
      </w:pPr>
      <w:r>
        <w:t>The navigation controls were kept from the previous milestones and refined for the final scene. The WASD keys move the camera forward, backward, left, and right. The Q and E keys move the camera vertically. The mouse changes the camera orientation, and the scroll wheel changes movement speed. The P key switches back to perspective view, while the O key switches to orthographic view. This connects to the OpenGL projection concept where perspective projection shows depth while orthographic projection gives a flatter, parallel-style view (Chua, 2012).</w:t>
      </w:r>
    </w:p>
    <w:p w14:paraId="79DEA971" w14:textId="77777777" w:rsidR="0044072C" w:rsidRDefault="00000000">
      <w:pPr>
        <w:spacing w:after="0" w:line="480" w:lineRule="auto"/>
        <w:ind w:firstLine="720"/>
      </w:pPr>
      <w:r>
        <w:t>I organized the program by separating repeated tasks into custom helper functions. LoadSceneTextures() loads and tags the texture files, DefineObjectMaterials() sets material properties, SetupSceneLights() defines the light sources, and SetTransformations() applies the scale, rotation, and position values before drawing each mesh. I also created separate rendering functions for the added objects, including RenderESDMat(), RenderToolbox(), and RenderBulletOpener(). This makes the code easier to read because each object has its own section. Overall, the final project uses simple OpenGL primitives, texture mapping, lighting, and camera controls to recreate the selected workstation objects in a clear and functional 3D scene.</w:t>
      </w:r>
    </w:p>
    <w:p w14:paraId="6E1747E3" w14:textId="77777777" w:rsidR="0044072C" w:rsidRDefault="00000000">
      <w:r>
        <w:br w:type="page"/>
      </w:r>
    </w:p>
    <w:p w14:paraId="0E2DC8C7" w14:textId="77777777" w:rsidR="0044072C" w:rsidRDefault="00000000">
      <w:pPr>
        <w:spacing w:after="0" w:line="480" w:lineRule="auto"/>
        <w:jc w:val="center"/>
      </w:pPr>
      <w:r>
        <w:rPr>
          <w:b/>
        </w:rPr>
        <w:lastRenderedPageBreak/>
        <w:t>References</w:t>
      </w:r>
    </w:p>
    <w:p w14:paraId="0D7C30C5" w14:textId="77777777" w:rsidR="0044072C" w:rsidRDefault="00000000">
      <w:pPr>
        <w:spacing w:after="0" w:line="480" w:lineRule="auto"/>
        <w:ind w:left="720" w:hanging="720"/>
      </w:pPr>
      <w:r>
        <w:t>Chua, H. H. (2012). 3D graphics with OpenGL: Basic theory. Nanyang Technological University. https://www3.ntu.edu.sg/home/ehchua/programming/opengl/CG_BasicsTheory.html</w:t>
      </w:r>
    </w:p>
    <w:p w14:paraId="7067AB10" w14:textId="77777777" w:rsidR="0044072C" w:rsidRDefault="00000000">
      <w:pPr>
        <w:spacing w:after="0" w:line="480" w:lineRule="auto"/>
        <w:ind w:left="720" w:hanging="720"/>
      </w:pPr>
      <w:r>
        <w:t>Southern New Hampshire University. (2026a). CS 330 working with the provided content.</w:t>
      </w:r>
    </w:p>
    <w:p w14:paraId="541A792D" w14:textId="77777777" w:rsidR="0044072C" w:rsidRDefault="00000000">
      <w:pPr>
        <w:spacing w:after="0" w:line="480" w:lineRule="auto"/>
        <w:ind w:left="720" w:hanging="720"/>
      </w:pPr>
      <w:r>
        <w:t>Southern New Hampshire University. (2026b). Applying textures to 3D shapes.</w:t>
      </w:r>
    </w:p>
    <w:p w14:paraId="16A790A3" w14:textId="77777777" w:rsidR="0044072C" w:rsidRDefault="00000000">
      <w:pPr>
        <w:spacing w:after="0" w:line="480" w:lineRule="auto"/>
        <w:ind w:left="720" w:hanging="720"/>
      </w:pPr>
      <w:r>
        <w:t>Southern New Hampshire University. (2026c). Applying lighting to a 3D scene.</w:t>
      </w:r>
    </w:p>
    <w:sectPr w:rsidR="0044072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4F94" w14:textId="77777777" w:rsidR="00DD3C7E" w:rsidRDefault="00DD3C7E">
      <w:pPr>
        <w:spacing w:after="0" w:line="240" w:lineRule="auto"/>
      </w:pPr>
      <w:r>
        <w:separator/>
      </w:r>
    </w:p>
  </w:endnote>
  <w:endnote w:type="continuationSeparator" w:id="0">
    <w:p w14:paraId="02FD9CE5" w14:textId="77777777" w:rsidR="00DD3C7E" w:rsidRDefault="00DD3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0280" w14:textId="77777777" w:rsidR="00DD3C7E" w:rsidRDefault="00DD3C7E">
      <w:pPr>
        <w:spacing w:after="0" w:line="240" w:lineRule="auto"/>
      </w:pPr>
      <w:r>
        <w:separator/>
      </w:r>
    </w:p>
  </w:footnote>
  <w:footnote w:type="continuationSeparator" w:id="0">
    <w:p w14:paraId="25BE8C48" w14:textId="77777777" w:rsidR="00DD3C7E" w:rsidRDefault="00DD3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C1CE" w14:textId="77777777" w:rsidR="0044072C" w:rsidRDefault="00000000">
    <w:pPr>
      <w:pStyle w:val="Header"/>
      <w:jc w:val="right"/>
    </w:pPr>
    <w:r>
      <w:fldChar w:fldCharType="begin"/>
    </w:r>
    <w:r>
      <w:instrText>PAGE</w:instrText>
    </w:r>
    <w:r w:rsidR="0061475C">
      <w:fldChar w:fldCharType="separate"/>
    </w:r>
    <w:r w:rsidR="0061475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244087">
    <w:abstractNumId w:val="8"/>
  </w:num>
  <w:num w:numId="2" w16cid:durableId="1893808972">
    <w:abstractNumId w:val="6"/>
  </w:num>
  <w:num w:numId="3" w16cid:durableId="1804883407">
    <w:abstractNumId w:val="5"/>
  </w:num>
  <w:num w:numId="4" w16cid:durableId="2030374852">
    <w:abstractNumId w:val="4"/>
  </w:num>
  <w:num w:numId="5" w16cid:durableId="1898709420">
    <w:abstractNumId w:val="7"/>
  </w:num>
  <w:num w:numId="6" w16cid:durableId="448596258">
    <w:abstractNumId w:val="3"/>
  </w:num>
  <w:num w:numId="7" w16cid:durableId="771820638">
    <w:abstractNumId w:val="2"/>
  </w:num>
  <w:num w:numId="8" w16cid:durableId="1810053681">
    <w:abstractNumId w:val="1"/>
  </w:num>
  <w:num w:numId="9" w16cid:durableId="191693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72C"/>
    <w:rsid w:val="0061475C"/>
    <w:rsid w:val="009F2E17"/>
    <w:rsid w:val="00AA1D8D"/>
    <w:rsid w:val="00B47730"/>
    <w:rsid w:val="00CB0664"/>
    <w:rsid w:val="00DD3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4B140"/>
  <w14:defaultImageDpi w14:val="300"/>
  <w15:docId w15:val="{3A657CAF-AC9C-49E1-8BEA-0EA9BCFB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L</cp:lastModifiedBy>
  <cp:revision>3</cp:revision>
  <dcterms:created xsi:type="dcterms:W3CDTF">2013-12-23T23:15:00Z</dcterms:created>
  <dcterms:modified xsi:type="dcterms:W3CDTF">2026-08-16T01:10:00Z</dcterms:modified>
  <cp:category/>
</cp:coreProperties>
</file>