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C1E4" w14:textId="18C4C40E" w:rsidR="00E97191" w:rsidRDefault="00E97191">
      <w:r>
        <w:t>“The parts we can’t tell, we carry them well, but that doesn’t mean they’re not heavy.”</w:t>
      </w:r>
    </w:p>
    <w:sectPr w:rsidR="00E97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91"/>
    <w:rsid w:val="00E9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7EF0"/>
  <w15:chartTrackingRefBased/>
  <w15:docId w15:val="{9449F0E9-ABF4-40BF-8129-EA5FA65C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Kathlyn Corrales</dc:creator>
  <cp:keywords/>
  <dc:description/>
  <cp:lastModifiedBy>Dianne Kathlyn Corrales</cp:lastModifiedBy>
  <cp:revision>1</cp:revision>
  <dcterms:created xsi:type="dcterms:W3CDTF">2024-03-21T14:50:00Z</dcterms:created>
  <dcterms:modified xsi:type="dcterms:W3CDTF">2024-03-21T14:50:00Z</dcterms:modified>
</cp:coreProperties>
</file>