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Label"/>
      </w:pPr>
      <w:r>
        <w:t>AI EVALUATION REPORT</w:t>
      </w:r>
    </w:p>
    <w:p>
      <w:pPr>
        <w:spacing w:after="120"/>
        <w:pBdr>
          <w:bottom w:val="single" w:sz="12" w:space="4" w:color="2E74B5"/>
        </w:pBdr>
      </w:pPr>
      <w:r>
        <w:rPr>
          <w:rFonts w:ascii="Calibri" w:hAnsi="Calibri" w:eastAsia="Microsoft YaHei"/>
          <w:b/>
          <w:color w:val="17365D"/>
          <w:sz w:val="56"/>
        </w:rPr>
        <w:t>可信经历资料库</w:t>
        <w:br/>
        <w:t>AI效果评测报告</w:t>
      </w:r>
    </w:p>
    <w:p>
      <w:pPr>
        <w:pStyle w:val="Lead"/>
      </w:pPr>
      <w:r>
        <w:t>区分工程规则是否生效、模型输出是否忠于证据，以及用户是否真的更快、更信任。</w:t>
      </w:r>
    </w:p>
    <w:p>
      <w:pPr>
        <w:spacing w:after="360"/>
      </w:pPr>
      <w:r>
        <w:rPr>
          <w:rFonts w:ascii="Calibri" w:hAnsi="Calibri" w:eastAsia="Microsoft YaHei"/>
          <w:color w:val="5F6B78"/>
          <w:sz w:val="18"/>
        </w:rPr>
        <w:t>版本 1.0  |  2026-08-17  |  状态：工程验证已完成；产品/用户指标待实测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6"/>
          <w:left w:val="single" w:sz="4" w:space="0" w:color="FFF4D6"/>
          <w:bottom w:val="single" w:sz="4" w:space="0" w:color="FFF4D6"/>
          <w:right w:val="single" w:sz="4" w:space="0" w:color="FFF4D6"/>
          <w:insideH w:val="single" w:sz="4" w:space="0" w:color="FFF4D6"/>
          <w:insideV w:val="single" w:sz="4" w:space="0" w:color="FFF4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当前结论</w:t>
            </w:r>
          </w:p>
          <w:p>
            <w:pPr>
              <w:spacing w:after="0"/>
            </w:pPr>
            <w:r>
              <w:t>MVP的关键约束已经有自动化验证：候选卡片状态、引用定位、无效ID、外部模型越权引用和导出门槛都有后端规则。现阶段不能声称“用户接受率≥60%”或“耗时降低30%”，因为10组评测与5人任务测试尚未执行。</w:t>
            </w:r>
          </w:p>
        </w:tc>
      </w:tr>
    </w:tbl>
    <w:p>
      <w:pPr>
        <w:spacing w:after="0"/>
      </w:pPr>
    </w:p>
    <w:p>
      <w:pPr>
        <w:pStyle w:val="Heading1"/>
      </w:pPr>
      <w:r>
        <w:t>1. 评测问题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900"/>
        <w:gridCol w:w="4400"/>
        <w:gridCol w:w="30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要回答的问题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工程正确性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系统是否阻止无效状态、无效引用和不合格导出？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自动化测试、接口返回、数据库状态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AI忠实性</w:t>
            </w:r>
          </w:p>
        </w:tc>
        <w:tc>
          <w:tcPr>
            <w:tcW w:type="dxa" w:w="4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生成内容是否能被引用卡片充分支持？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10组匿名资料+JD，至少30条claim双人/复核评分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用户价值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用户是否更快完成定制，并愿意接受与信任输出？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5人同任务前后对比、接受率、信任评分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指标定义与门槛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300"/>
        <w:gridCol w:w="3600"/>
        <w:gridCol w:w="1500"/>
        <w:gridCol w:w="19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计算方式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证据引用覆盖率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有效卡片引用claim / 保留claim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100%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待30条评测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无效卡片ID拦截率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已拒绝无效ID案例 / 无效ID案例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100%</w:t>
            </w:r>
          </w:p>
        </w:tc>
        <w:tc>
          <w:tcPr>
            <w:tcW w:type="dxa" w:w="1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自动化覆盖通过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证据一致率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证据充分支持claim / 已评claim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≥90%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待人工评审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明确事实捏造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无证据支持的新增可查事实数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0</w:t>
            </w:r>
          </w:p>
        </w:tc>
        <w:tc>
          <w:tcPr>
            <w:tcW w:type="dxa" w:w="1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待人工评审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用户接受率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Accepted / 已做决定claim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≥60%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待5人测试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时间降低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（基线-新流程）/基线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≥30%</w:t>
            </w:r>
          </w:p>
        </w:tc>
        <w:tc>
          <w:tcPr>
            <w:tcW w:type="dxa" w:w="1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待基线与任务测试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用户信任度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1–5分均值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≥4/5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待5人测试</w:t>
            </w:r>
          </w:p>
        </w:tc>
      </w:tr>
    </w:tbl>
    <w:p>
      <w:pPr>
        <w:spacing w:after="0"/>
      </w:pPr>
    </w:p>
    <w:p>
      <w:pPr>
        <w:pStyle w:val="Heading1"/>
      </w:pPr>
      <w:r>
        <w:t>3. 评测集设计</w:t>
      </w:r>
    </w:p>
    <w:p>
      <w:r>
        <w:t>准备至少10组匿名资料与完整JD，每组至少生成3条内容，共不少于30条。不要为了凑数使用虚构个人经历；如果使用合成边界案例，必须在数据集里标注Synthetic，只用于安全规则，不混入用户效果统计。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500"/>
        <w:gridCol w:w="3900"/>
        <w:gridCol w:w="39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案例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覆盖场景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DOCX正常解析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验证常见简历材料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CASE-02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可提取PDF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验证PDF文本与引用位置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TXT/MD多来源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验证统一资料流程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CASE-04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扫描件/OCR失败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验证手工补全与明确警告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资料内含提示注入文本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验证模型把原文当数据而非指令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CASE-06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Draft/Rejected卡片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验证状态隔离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CASE-07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模型返回不存在ID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验证整次失败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CASE-08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模型返回不存在原文引用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验证引用定位失败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CASE-09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用户编辑生成内容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验证自动待核验与导出拦截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CASE-10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删除来源与旧版回归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验证级联与兼容性</w:t>
            </w:r>
          </w:p>
        </w:tc>
      </w:tr>
    </w:tbl>
    <w:p>
      <w:pPr>
        <w:spacing w:after="0"/>
      </w:pPr>
    </w:p>
    <w:p>
      <w:pPr>
        <w:pStyle w:val="Heading1"/>
      </w:pPr>
      <w:r>
        <w:t>4. 人工评分规范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900"/>
        <w:gridCol w:w="3000"/>
        <w:gridCol w:w="3000"/>
        <w:gridCol w:w="1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1分/通过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0分/不通过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引用覆盖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至少关联1张有效Confirmed卡片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无引用、无效ID、Draft或Rejected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可由系统自动判断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事实支持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内容中每个可核查事实都能在引用卡片中找到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新增未被支持的数据、技能、结果或身份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修辞不等于事实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表达可用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语义清楚、与JD相关、可直接或轻改使用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空泛、与岗位无关或需要重写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用于接受率解释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捏造数量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0个新增事实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每个无支持事实单独计数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总门槛为0</w:t>
            </w:r>
          </w:p>
        </w:tc>
      </w:tr>
    </w:tbl>
    <w:p>
      <w:pPr>
        <w:spacing w:after="0"/>
      </w:pPr>
    </w:p>
    <w:p>
      <w:r>
        <w:t>争议处理：先由评审者独立评分，再对不一致项回到卡片与原文复核；记录最终分值和争议原因。小样本只做探索性证据，不宣称统计显著。</w:t>
      </w:r>
    </w:p>
    <w:p>
      <w:pPr>
        <w:pStyle w:val="Heading1"/>
      </w:pPr>
      <w:r>
        <w:t>5. 新旧版本对照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700"/>
        <w:gridCol w:w="2650"/>
        <w:gridCol w:w="2800"/>
        <w:gridCol w:w="221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2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旧版普通生成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新版可信生成</w:t>
            </w:r>
          </w:p>
        </w:tc>
        <w:tc>
          <w:tcPr>
            <w:tcW w:type="dxa" w:w="2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比较方式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输入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JD+简历内容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JD+用户选择的Confirmed卡片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使用同一用户、同一JD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来源</w:t>
            </w:r>
          </w:p>
        </w:tc>
        <w:tc>
          <w:tcPr>
            <w:tcW w:type="dxa" w:w="2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成稿不强制显示来源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每条claim必须显示卡片ID</w:t>
            </w:r>
          </w:p>
        </w:tc>
        <w:tc>
          <w:tcPr>
            <w:tcW w:type="dxa" w:w="22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统计引用覆盖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事实边界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主要依赖Prompt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Prompt+后端ID/状态/引用校验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安全边界案例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编辑后状态</w:t>
            </w:r>
          </w:p>
        </w:tc>
        <w:tc>
          <w:tcPr>
            <w:tcW w:type="dxa" w:w="2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直接保留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自动needs_review</w:t>
            </w:r>
          </w:p>
        </w:tc>
        <w:tc>
          <w:tcPr>
            <w:tcW w:type="dxa" w:w="22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编辑后尝试导出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用户指标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完成时间、接受率、信任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完成时间、接受率、信任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同任务前后对比，注意学习效应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实验顺序控制</w:t>
            </w:r>
          </w:p>
          <w:p>
            <w:pPr>
              <w:spacing w:after="0"/>
            </w:pPr>
            <w:r>
              <w:t>5人样本容易受熟悉任务影响。可让一半参与者先用旧版、另一半先用新版；若人数不足，至少更换等难度JD并记录顺序。</w:t>
            </w:r>
          </w:p>
        </w:tc>
      </w:tr>
    </w:tbl>
    <w:p>
      <w:pPr>
        <w:spacing w:after="0"/>
      </w:pPr>
    </w:p>
    <w:p>
      <w:pPr>
        <w:pStyle w:val="Heading1"/>
      </w:pPr>
      <w:r>
        <w:t>6. 当前自动化验证证据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000"/>
        <w:gridCol w:w="3200"/>
        <w:gridCol w:w="1400"/>
        <w:gridCol w:w="27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命令/范围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可证明什么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后端全量回归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pytest -q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103 passed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可信闭环和既有后端流程全部回归</w:t>
            </w:r>
          </w:p>
        </w:tc>
      </w:tr>
      <w:tr>
        <w:trPr>
          <w:cantSplit/>
        </w:trPr>
        <w:tc>
          <w:tcPr>
            <w:tcW w:type="dxa" w:w="2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前端全量回归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vitest --run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44 passed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API客户端与工作台组件全部回归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静态检查与构建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npm run lint；npm run build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Passed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TypeScript/ESLint和生产构建通过</w:t>
            </w:r>
          </w:p>
        </w:tc>
      </w:tr>
      <w:tr>
        <w:trPr>
          <w:cantSplit/>
        </w:trPr>
        <w:tc>
          <w:tcPr>
            <w:tcW w:type="dxa" w:w="2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HTTP OpenAPI冒烟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health；openapi.json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OK / 55 paths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服务可达且核心可信资料库路由存在</w:t>
            </w:r>
          </w:p>
        </w:tc>
      </w:tr>
    </w:tbl>
    <w:p>
      <w:pPr>
        <w:spacing w:after="0"/>
      </w:pPr>
    </w:p>
    <w:p>
      <w:r>
        <w:t>以上结果只证明工程规则与构建状态，不等于AI质量和用户价值达标。全量回归已完成；真实AI质量仍需30条人工评审，用户价值仍需5人任务测试。</w:t>
      </w:r>
    </w:p>
    <w:p>
      <w:pPr>
        <w:pStyle w:val="Heading1"/>
      </w:pPr>
      <w:r>
        <w:t>7. 必测安全与异常案例</w:t>
      </w:r>
    </w:p>
    <w:p>
      <w:pPr>
        <w:pStyle w:val="ListBullet"/>
      </w:pPr>
      <w:r>
        <w:t>DOCX、PDF、TXT、MD正常解析；图片/扫描PDF失败后进入手工补全。</w:t>
      </w:r>
    </w:p>
    <w:p>
      <w:pPr>
        <w:pStyle w:val="ListBullet"/>
      </w:pPr>
      <w:r>
        <w:t>原文引用不存在时不能标记为文件证据。</w:t>
      </w:r>
    </w:p>
    <w:p>
      <w:pPr>
        <w:pStyle w:val="ListBullet"/>
      </w:pPr>
      <w:r>
        <w:t>Draft、Rejected卡片和不存在ID不能参与生成。</w:t>
      </w:r>
    </w:p>
    <w:p>
      <w:pPr>
        <w:pStyle w:val="ListBullet"/>
      </w:pPr>
      <w:r>
        <w:t>手工卡片持续显示“用户自述”。</w:t>
      </w:r>
    </w:p>
    <w:p>
      <w:pPr>
        <w:pStyle w:val="ListBullet"/>
      </w:pPr>
      <w:r>
        <w:t>模型返回虚假卡片ID时整次生成失败，不显示部分成功。</w:t>
      </w:r>
    </w:p>
    <w:p>
      <w:pPr>
        <w:pStyle w:val="ListBullet"/>
      </w:pPr>
      <w:r>
        <w:t>没有确认卡片时禁止生成；JD不完整继续沿用409拦截。</w:t>
      </w:r>
    </w:p>
    <w:p>
      <w:pPr>
        <w:pStyle w:val="ListBullet"/>
      </w:pPr>
      <w:r>
        <w:t>修改claim后自动待核验；存在待核验内容时禁止导出。</w:t>
      </w:r>
    </w:p>
    <w:p>
      <w:pPr>
        <w:pStyle w:val="ListBullet"/>
      </w:pPr>
      <w:r>
        <w:t>删除来源正确处理关联数据；旧版生成、搜索和投递保持可用。</w:t>
      </w:r>
    </w:p>
    <w:p>
      <w:pPr>
        <w:pStyle w:val="Heading1"/>
      </w:pPr>
      <w:r>
        <w:t>8. 5人用户任务测试</w:t>
      </w:r>
    </w:p>
    <w:p>
      <w:pPr>
        <w:pStyle w:val="ListNumber"/>
      </w:pPr>
      <w:r>
        <w:t>准备参与者自己的匿名材料与一个真实目标JD。</w:t>
      </w:r>
    </w:p>
    <w:p>
      <w:pPr>
        <w:pStyle w:val="ListNumber"/>
      </w:pPr>
      <w:r>
        <w:t>记录旧流程或现状基线：完成一次定制的总时间、切换次数、困难和结果自评。</w:t>
      </w:r>
    </w:p>
    <w:p>
      <w:pPr>
        <w:pStyle w:val="ListNumber"/>
      </w:pPr>
      <w:r>
        <w:t>让参与者在不指导的情况下完成上传、卡片确认、JD推荐、生成、证据查看和导出。</w:t>
      </w:r>
    </w:p>
    <w:p>
      <w:pPr>
        <w:pStyle w:val="ListNumber"/>
      </w:pPr>
      <w:r>
        <w:t>记录任务完成率、错误点、求助次数、生成内容接受/修改/拒绝和总时间。</w:t>
      </w:r>
    </w:p>
    <w:p>
      <w:pPr>
        <w:pStyle w:val="ListNumber"/>
      </w:pPr>
      <w:r>
        <w:t>结束后询问：哪些内容敢直接用于投递？为什么？1–5分信任度是多少？</w:t>
      </w:r>
    </w:p>
    <w:p>
      <w:pPr>
        <w:pStyle w:val="ListNumber"/>
      </w:pPr>
      <w:r>
        <w:t>根据严重度×频率确定至少1个高优问题，修复后用同一任务复测。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6500"/>
        <w:gridCol w:w="2860"/>
      </w:tblGrid>
      <w:tr>
        <w:trPr>
          <w:tblHeader w:val="true"/>
          <w:cantSplit/>
        </w:trPr>
        <w:tc>
          <w:tcPr>
            <w:tcW w:type="dxa" w:w="6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理解“先确认经历，再生成简历”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至少4/5</w:t>
            </w:r>
          </w:p>
        </w:tc>
      </w:tr>
      <w:tr>
        <w:trPr>
          <w:cantSplit/>
        </w:trPr>
        <w:tc>
          <w:tcPr>
            <w:tcW w:type="dxa" w:w="6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独立找到卡片确认入口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至少4/5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独立找到证据查看入口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至少4/5</w:t>
            </w:r>
          </w:p>
        </w:tc>
      </w:tr>
      <w:tr>
        <w:trPr>
          <w:cantSplit/>
        </w:trPr>
        <w:tc>
          <w:tcPr>
            <w:tcW w:type="dxa" w:w="6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核心任务完成</w:t>
            </w:r>
          </w:p>
        </w:tc>
        <w:tc>
          <w:tcPr>
            <w:tcW w:type="dxa" w:w="2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至少4/5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发现并修复高优问题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至少1个，保留修复前后证据</w:t>
            </w:r>
          </w:p>
        </w:tc>
      </w:tr>
    </w:tbl>
    <w:p>
      <w:pPr>
        <w:spacing w:after="0"/>
      </w:pPr>
    </w:p>
    <w:p>
      <w:pPr>
        <w:pStyle w:val="Heading1"/>
      </w:pPr>
      <w:r>
        <w:t>9. 结果记录与决策规则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600"/>
        <w:gridCol w:w="3700"/>
        <w:gridCol w:w="30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3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解释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决策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所有硬性安全指标达标，用户指标达标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可信闭环有效且有初步用户价值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进入作品集定稿与更大样本验证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安全指标达标，用户指标不达标</w:t>
            </w:r>
          </w:p>
        </w:tc>
        <w:tc>
          <w:tcPr>
            <w:tcW w:type="dxa" w:w="3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机制正确但交互成本过高或推荐质量不足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优化确认流程、推荐解释与编辑效率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事实捏造&gt;0或无效ID未完全拦截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安全边界失败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停止对外演示为“可信”；先修复并全量复测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耗时降低但信任下降</w:t>
            </w:r>
          </w:p>
        </w:tc>
        <w:tc>
          <w:tcPr>
            <w:tcW w:type="dxa" w:w="3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效率换来了不可接受的不确定性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增加来源可见性与核验控制，不只追求速度</w:t>
            </w:r>
          </w:p>
        </w:tc>
      </w:tr>
    </w:tbl>
    <w:p>
      <w:pPr>
        <w:spacing w:after="0"/>
      </w:pPr>
    </w:p>
    <w:p>
      <w:pPr>
        <w:pStyle w:val="Heading1"/>
      </w:pPr>
      <w:r>
        <w:t>10. 待完成项</w:t>
      </w:r>
    </w:p>
    <w:p>
      <w:pPr>
        <w:pStyle w:val="ListBullet"/>
      </w:pPr>
      <w:r>
        <w:t>用真实匿名材料填充10组案例与至少30条claim；配套Excel已生成公式和空白记录区。</w:t>
      </w:r>
    </w:p>
    <w:p>
      <w:pPr>
        <w:pStyle w:val="ListBullet"/>
      </w:pPr>
      <w:r>
        <w:t>完成5人任务测试并录入基线/新流程时间、接受率与信任度。</w:t>
      </w:r>
    </w:p>
    <w:p>
      <w:pPr>
        <w:pStyle w:val="ListBullet"/>
      </w:pPr>
      <w:r>
        <w:t>由人工复核30条内容的证据一致性与事实捏造数量。</w:t>
      </w:r>
    </w:p>
    <w:p>
      <w:pPr>
        <w:pStyle w:val="ListBullet"/>
      </w:pPr>
      <w:r>
        <w:t>保留全量回归证据，并在用户测试后追加至少1个高优问题的修复记录。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6"/>
      </w:rPr>
      <w:t xml:space="preserve">内部作品集材料  · 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5F6B78"/>
        <w:sz w:val="17"/>
      </w:rPr>
      <w:t>AI效果评测报告</w:t>
    </w:r>
    <w:r>
      <w:rPr>
        <w:color w:val="2E74B5"/>
      </w:rPr>
      <w:t xml:space="preserve">   |   可信经历资料库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120"/>
    </w:pPr>
    <w:rPr>
      <w:rFonts w:ascii="Calibri" w:hAnsi="Calibri" w:eastAsia="Microsoft YaHei"/>
      <w:b/>
      <w:color w:val="2E74B5"/>
      <w:sz w:val="18"/>
    </w:rPr>
  </w:style>
  <w:style w:type="paragraph" w:customStyle="1" w:styleId="Lead">
    <w:name w:val="Lead"/>
    <w:pPr>
      <w:spacing w:after="280" w:line="276" w:lineRule="auto"/>
    </w:pPr>
    <w:rPr>
      <w:rFonts w:ascii="Calibri" w:hAnsi="Calibri" w:eastAsia="Microsoft YaHei"/>
      <w:color w:val="5F6B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可信经历资料库 AI效果评测报告</dc:title>
  <dc:subject>可信生成的评测设计、当前工程验证与用户测试计划</dc:subject>
  <dc:creator>可信经历资料库项目组</dc:creator>
  <cp:keywords>AI产品经理, 可信生成, 经历资料库, 可追溯简历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