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Freight Rate Prediction - Approach, Validation and Results</w:t>
      </w:r>
    </w:p>
    <w:p>
      <w:pPr>
        <w:spacing w:before="0" w:after="140"/>
      </w:pPr>
      <w:r>
        <w:rPr>
          <w:i/>
          <w:iCs/>
          <w:color w:val="555555"/>
        </w:rPr>
        <w:t xml:space="preserve">Spotter - Machine Learning Engineer assessment. All numbers in this report are produced by </w:t>
      </w:r>
      <w:r>
        <w:rPr>
          <w:rFonts w:ascii="Consolas" w:cs="Consolas" w:eastAsia="Consolas" w:hAnsi="Consolas"/>
          <w:i/>
          <w:iCs/>
          <w:color w:val="333333"/>
          <w:sz w:val="19"/>
          <w:szCs w:val="19"/>
        </w:rPr>
        <w:t xml:space="preserve">python run_pipeline.py</w:t>
      </w:r>
      <w:r>
        <w:rPr>
          <w:i/>
          <w:iCs/>
          <w:color w:val="555555"/>
        </w:rPr>
        <w:t xml:space="preserve"> (full run) and can be found in </w:t>
      </w:r>
      <w:r>
        <w:rPr>
          <w:rFonts w:ascii="Consolas" w:cs="Consolas" w:eastAsia="Consolas" w:hAnsi="Consolas"/>
          <w:i/>
          <w:iCs/>
          <w:color w:val="333333"/>
          <w:sz w:val="19"/>
          <w:szCs w:val="19"/>
        </w:rPr>
        <w:t xml:space="preserve">outputs/</w:t>
      </w:r>
      <w:r>
        <w:rPr>
          <w:i/>
          <w:iCs/>
          <w:color w:val="555555"/>
        </w:rPr>
        <w:t xml:space="preserve"> and </w:t>
      </w:r>
      <w:r>
        <w:rPr>
          <w:rFonts w:ascii="Consolas" w:cs="Consolas" w:eastAsia="Consolas" w:hAnsi="Consolas"/>
          <w:i/>
          <w:iCs/>
          <w:color w:val="333333"/>
          <w:sz w:val="19"/>
          <w:szCs w:val="19"/>
        </w:rPr>
        <w:t xml:space="preserve">reports/figures/</w:t>
      </w:r>
      <w:r>
        <w:rPr>
          <w:i/>
          <w:iCs/>
          <w:color w:val="555555"/>
        </w:rPr>
        <w:t xml:space="preserve">.</w:t>
      </w:r>
    </w:p>
    <w:p>
      <w:pPr>
        <w:pStyle w:val="Heading1"/>
      </w:pPr>
      <w:r>
        <w:t xml:space="preserve">Summary</w:t>
      </w:r>
    </w:p>
    <w:p>
      <w:pPr>
        <w:pStyle w:val="ListParagraph"/>
        <w:numPr>
          <w:ilvl w:val="0"/>
          <w:numId w:val="2"/>
        </w:numPr>
        <w:spacing w:before="0" w:after="80"/>
      </w:pPr>
      <w:r>
        <w:rPr>
          <w:b/>
          <w:bCs/>
        </w:rPr>
        <w:t xml:space="preserve">Task.</w:t>
      </w:r>
      <w:r>
        <w:t xml:space="preserve"> Predict </w:t>
      </w:r>
      <w:r>
        <w:rPr>
          <w:rFonts w:ascii="Consolas" w:cs="Consolas" w:eastAsia="Consolas" w:hAnsi="Consolas"/>
          <w:color w:val="333333"/>
          <w:sz w:val="19"/>
          <w:szCs w:val="19"/>
        </w:rPr>
        <w:t xml:space="preserve">posted_rate</w:t>
      </w:r>
      <w:r>
        <w:t xml:space="preserve"> for 12,000 truck loads in Nov-Dec 2025 from 48,000 labelled loads in Jan-Oct 2025. Every load to predict lies </w:t>
      </w:r>
      <w:r>
        <w:rPr>
          <w:i/>
          <w:iCs/>
        </w:rPr>
        <w:t xml:space="preserve">after</w:t>
      </w:r>
      <w:r>
        <w:t xml:space="preserve"> every labelled load, so this is a forecast.</w:t>
      </w:r>
    </w:p>
    <w:p>
      <w:pPr>
        <w:pStyle w:val="ListParagraph"/>
        <w:numPr>
          <w:ilvl w:val="0"/>
          <w:numId w:val="2"/>
        </w:numPr>
        <w:spacing w:before="0" w:after="80"/>
      </w:pPr>
      <w:r>
        <w:rPr>
          <w:b/>
          <w:bCs/>
        </w:rPr>
        <w:t xml:space="preserve">Split and validation.</w:t>
      </w:r>
      <w:r>
        <w:t xml:space="preserve"> Time-based only: 4 rolling monthly folds (train on everything before a month, test on that month) choose every setting and the model. A Sep-Oct two-month-ahead check and a random split are reported for comparison (section 4).</w:t>
      </w:r>
    </w:p>
    <w:p>
      <w:pPr>
        <w:pStyle w:val="ListParagraph"/>
        <w:numPr>
          <w:ilvl w:val="0"/>
          <w:numId w:val="2"/>
        </w:numPr>
        <w:spacing w:before="0" w:after="80"/>
      </w:pPr>
      <w:r>
        <w:rPr>
          <w:b/>
          <w:bCs/>
        </w:rPr>
        <w:t xml:space="preserve">Data quality.</w:t>
      </w:r>
      <w:r>
        <w:t xml:space="preserve"> 677 corrupted prices (1.41%) were removed from training and scoring; sign-flipped, missing and capped weights and missing </w:t>
      </w:r>
      <w:r>
        <w:rPr>
          <w:rFonts w:ascii="Consolas" w:cs="Consolas" w:eastAsia="Consolas" w:hAnsi="Consolas"/>
          <w:color w:val="333333"/>
          <w:sz w:val="19"/>
          <w:szCs w:val="19"/>
        </w:rPr>
        <w:t xml:space="preserve">market_index</w:t>
      </w:r>
      <w:r>
        <w:t xml:space="preserve"> values were fixed; suspicious distances were checked and turned out to be genuine (section 3).</w:t>
      </w:r>
    </w:p>
    <w:p>
      <w:pPr>
        <w:pStyle w:val="ListParagraph"/>
        <w:numPr>
          <w:ilvl w:val="0"/>
          <w:numId w:val="2"/>
        </w:numPr>
        <w:spacing w:before="0" w:after="80"/>
      </w:pPr>
      <w:r>
        <w:rPr>
          <w:b/>
          <w:bCs/>
        </w:rPr>
        <w:t xml:space="preserve">Final model.</w:t>
      </w:r>
      <w:r>
        <w:t xml:space="preserve"> Ridge regression on log(price), followed by LightGBM trained on Ridge's errors (model G). The linear part carries the 2025 price trend into Nov-Dec; the trees add the non-linear effects of distance, weight and location (section 7).</w:t>
      </w:r>
    </w:p>
    <w:p>
      <w:pPr>
        <w:pStyle w:val="ListParagraph"/>
        <w:numPr>
          <w:ilvl w:val="0"/>
          <w:numId w:val="2"/>
        </w:numPr>
        <w:spacing w:before="0" w:after="80"/>
      </w:pPr>
      <w:r>
        <w:rPr>
          <w:b/>
          <w:bCs/>
        </w:rPr>
        <w:t xml:space="preserve">Result.</w:t>
      </w:r>
      <w:r>
        <w:t xml:space="preserve"> An average error of </w:t>
      </w:r>
      <w:r>
        <w:rPr>
          <w:b/>
          <w:bCs/>
        </w:rPr>
        <w:t xml:space="preserve">$31.86 per load (1.36%)</w:t>
      </w:r>
      <w:r>
        <w:t xml:space="preserve"> over the rolling folds - 66% lower than a simple baseline and 12% lower than plain LightGBM - and $32.73 (1.39%) on the two-month-ahead check.</w:t>
      </w:r>
    </w:p>
    <w:p>
      <w:pPr>
        <w:pStyle w:val="ListParagraph"/>
        <w:numPr>
          <w:ilvl w:val="0"/>
          <w:numId w:val="2"/>
        </w:numPr>
        <w:spacing w:before="0" w:after="80"/>
      </w:pPr>
      <w:r>
        <w:rPr>
          <w:b/>
          <w:bCs/>
        </w:rPr>
        <w:t xml:space="preserve">December chart.</w:t>
      </w:r>
      <w:r>
        <w:t xml:space="preserve"> The fixed Lexington -&gt; Fort Wayne load rises from $834 to $878 through December: a weekly market cycle plus the price ramp that every quarter-end month showed in training (section 8).</w:t>
      </w:r>
    </w:p>
    <w:p>
      <w:pPr>
        <w:pBdr>
          <w:bottom w:val="single" w:color="C9CED6" w:sz="6" w:space="1"/>
        </w:pBdr>
        <w:spacing w:before="60" w:after="120"/>
      </w:pPr>
    </w:p>
    <w:p>
      <w:pPr>
        <w:pStyle w:val="Heading1"/>
      </w:pPr>
      <w:r>
        <w:t xml:space="preserve">1. The task and the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20"/>
        <w:gridCol w:w="820"/>
        <w:gridCol w:w="2080"/>
        <w:gridCol w:w="3240"/>
      </w:tblGrid>
      <w:tr>
        <w:trPr>
          <w:cantSplit/>
          <w:tblHeader/>
        </w:trPr>
        <w:tc>
          <w:tcPr>
            <w:tcW w:type="dxa" w:w="3220"/>
            <w:tcBorders>
              <w:top w:val="single" w:color="C9CED6" w:sz="4"/>
              <w:left w:val="single" w:color="C9CED6" w:sz="4"/>
              <w:bottom w:val="single" w:color="C9CED6" w:sz="4"/>
              <w:right w:val="single" w:color="C9CED6" w:sz="4"/>
            </w:tcBorders>
            <w:shd w:fill="E8EEF5" w:color="auto" w:val="clear"/>
            <w:tcMar>
              <w:top w:type="dxa" w:w="50"/>
              <w:left w:type="dxa" w:w="90"/>
              <w:bottom w:type="dxa" w:w="50"/>
              <w:right w:type="dxa" w:w="90"/>
            </w:tcMar>
          </w:tcPr>
          <w:p>
            <w:pPr>
              <w:spacing w:before="0" w:after="0"/>
              <w:jc w:val="left"/>
            </w:pPr>
            <w:r>
              <w:rPr>
                <w:b/>
                <w:bCs/>
                <w:sz w:val="18"/>
                <w:szCs w:val="18"/>
              </w:rPr>
              <w:t xml:space="preserve">File</w:t>
            </w:r>
          </w:p>
        </w:tc>
        <w:tc>
          <w:tcPr>
            <w:tcW w:type="dxa" w:w="820"/>
            <w:tcBorders>
              <w:top w:val="single" w:color="C9CED6" w:sz="4"/>
              <w:left w:val="single" w:color="C9CED6" w:sz="4"/>
              <w:bottom w:val="single" w:color="C9CED6" w:sz="4"/>
              <w:right w:val="single" w:color="C9CED6" w:sz="4"/>
            </w:tcBorders>
            <w:shd w:fill="E8EEF5" w:color="auto" w:val="clear"/>
            <w:tcMar>
              <w:top w:type="dxa" w:w="50"/>
              <w:left w:type="dxa" w:w="90"/>
              <w:bottom w:type="dxa" w:w="50"/>
              <w:right w:type="dxa" w:w="90"/>
            </w:tcMar>
          </w:tcPr>
          <w:p>
            <w:pPr>
              <w:spacing w:before="0" w:after="0"/>
              <w:jc w:val="left"/>
            </w:pPr>
            <w:r>
              <w:rPr>
                <w:b/>
                <w:bCs/>
                <w:sz w:val="18"/>
                <w:szCs w:val="18"/>
              </w:rPr>
              <w:t xml:space="preserve">Rows</w:t>
            </w:r>
          </w:p>
        </w:tc>
        <w:tc>
          <w:tcPr>
            <w:tcW w:type="dxa" w:w="2080"/>
            <w:tcBorders>
              <w:top w:val="single" w:color="C9CED6" w:sz="4"/>
              <w:left w:val="single" w:color="C9CED6" w:sz="4"/>
              <w:bottom w:val="single" w:color="C9CED6" w:sz="4"/>
              <w:right w:val="single" w:color="C9CED6" w:sz="4"/>
            </w:tcBorders>
            <w:shd w:fill="E8EEF5" w:color="auto" w:val="clear"/>
            <w:tcMar>
              <w:top w:type="dxa" w:w="50"/>
              <w:left w:type="dxa" w:w="90"/>
              <w:bottom w:type="dxa" w:w="50"/>
              <w:right w:type="dxa" w:w="90"/>
            </w:tcMar>
          </w:tcPr>
          <w:p>
            <w:pPr>
              <w:spacing w:before="0" w:after="0"/>
              <w:jc w:val="left"/>
            </w:pPr>
            <w:r>
              <w:rPr>
                <w:b/>
                <w:bCs/>
                <w:sz w:val="18"/>
                <w:szCs w:val="18"/>
              </w:rPr>
              <w:t xml:space="preserve">Period</w:t>
            </w:r>
          </w:p>
        </w:tc>
        <w:tc>
          <w:tcPr>
            <w:tcW w:type="dxa" w:w="3240"/>
            <w:tcBorders>
              <w:top w:val="single" w:color="C9CED6" w:sz="4"/>
              <w:left w:val="single" w:color="C9CED6" w:sz="4"/>
              <w:bottom w:val="single" w:color="C9CED6" w:sz="4"/>
              <w:right w:val="single" w:color="C9CED6" w:sz="4"/>
            </w:tcBorders>
            <w:shd w:fill="E8EEF5" w:color="auto" w:val="clear"/>
            <w:tcMar>
              <w:top w:type="dxa" w:w="50"/>
              <w:left w:type="dxa" w:w="90"/>
              <w:bottom w:type="dxa" w:w="50"/>
              <w:right w:type="dxa" w:w="90"/>
            </w:tcMar>
          </w:tcPr>
          <w:p>
            <w:pPr>
              <w:spacing w:before="0" w:after="0"/>
              <w:jc w:val="left"/>
            </w:pPr>
            <w:r>
              <w:rPr>
                <w:b/>
                <w:bCs/>
                <w:sz w:val="18"/>
                <w:szCs w:val="18"/>
              </w:rPr>
              <w:t xml:space="preserve">Purpose</w:t>
            </w:r>
          </w:p>
        </w:tc>
      </w:tr>
      <w:tr>
        <w:trPr>
          <w:cantSplit/>
          <w:tblHeader w:val="false"/>
        </w:trPr>
        <w:tc>
          <w:tcPr>
            <w:tcW w:type="dxa" w:w="32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rFonts w:ascii="Consolas" w:cs="Consolas" w:eastAsia="Consolas" w:hAnsi="Consolas"/>
                <w:color w:val="333333"/>
                <w:sz w:val="17"/>
                <w:szCs w:val="17"/>
              </w:rPr>
              <w:t xml:space="preserve">data/train-test.csv</w:t>
            </w:r>
          </w:p>
        </w:tc>
        <w:tc>
          <w:tcPr>
            <w:tcW w:type="dxa" w:w="8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48,000</w:t>
            </w:r>
          </w:p>
        </w:tc>
        <w:tc>
          <w:tcPr>
            <w:tcW w:type="dxa" w:w="208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2025-01-01 to 2025-10-31</w:t>
            </w:r>
          </w:p>
        </w:tc>
        <w:tc>
          <w:tcPr>
            <w:tcW w:type="dxa" w:w="324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labelled development data (</w:t>
            </w:r>
            <w:r>
              <w:rPr>
                <w:rFonts w:ascii="Consolas" w:cs="Consolas" w:eastAsia="Consolas" w:hAnsi="Consolas"/>
                <w:color w:val="333333"/>
                <w:sz w:val="17"/>
                <w:szCs w:val="17"/>
              </w:rPr>
              <w:t xml:space="preserve">posted_rate</w:t>
            </w:r>
            <w:r>
              <w:rPr>
                <w:sz w:val="18"/>
                <w:szCs w:val="18"/>
              </w:rPr>
              <w:t xml:space="preserve">)</w:t>
            </w:r>
          </w:p>
        </w:tc>
      </w:tr>
      <w:tr>
        <w:trPr>
          <w:cantSplit/>
          <w:tblHeader w:val="false"/>
        </w:trPr>
        <w:tc>
          <w:tcPr>
            <w:tcW w:type="dxa" w:w="32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rFonts w:ascii="Consolas" w:cs="Consolas" w:eastAsia="Consolas" w:hAnsi="Consolas"/>
                <w:color w:val="333333"/>
                <w:sz w:val="17"/>
                <w:szCs w:val="17"/>
              </w:rPr>
              <w:t xml:space="preserve">data/validation.csv</w:t>
            </w:r>
          </w:p>
        </w:tc>
        <w:tc>
          <w:tcPr>
            <w:tcW w:type="dxa" w:w="8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12,000</w:t>
            </w:r>
          </w:p>
        </w:tc>
        <w:tc>
          <w:tcPr>
            <w:tcW w:type="dxa" w:w="208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2025-11-01 to 2025-12-31</w:t>
            </w:r>
          </w:p>
        </w:tc>
        <w:tc>
          <w:tcPr>
            <w:tcW w:type="dxa" w:w="324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loads to predict (labels held by Spotter)</w:t>
            </w:r>
          </w:p>
        </w:tc>
      </w:tr>
      <w:tr>
        <w:trPr>
          <w:cantSplit/>
          <w:tblHeader w:val="false"/>
        </w:trPr>
        <w:tc>
          <w:tcPr>
            <w:tcW w:type="dxa" w:w="32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rFonts w:ascii="Consolas" w:cs="Consolas" w:eastAsia="Consolas" w:hAnsi="Consolas"/>
                <w:color w:val="333333"/>
                <w:sz w:val="17"/>
                <w:szCs w:val="17"/>
              </w:rPr>
              <w:t xml:space="preserve">data/december-chart-inputs.csv</w:t>
            </w:r>
          </w:p>
        </w:tc>
        <w:tc>
          <w:tcPr>
            <w:tcW w:type="dxa" w:w="8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31</w:t>
            </w:r>
          </w:p>
        </w:tc>
        <w:tc>
          <w:tcPr>
            <w:tcW w:type="dxa" w:w="208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every day of Dec 2025</w:t>
            </w:r>
          </w:p>
        </w:tc>
        <w:tc>
          <w:tcPr>
            <w:tcW w:type="dxa" w:w="324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one fixed load; only the date changes</w:t>
            </w:r>
          </w:p>
        </w:tc>
      </w:tr>
    </w:tbl>
    <w:p>
      <w:pPr>
        <w:spacing w:before="0" w:after="80"/>
      </w:pPr>
    </w:p>
    <w:p>
      <w:pPr>
        <w:spacing w:before="0" w:after="140"/>
      </w:pPr>
      <w:r>
        <w:t xml:space="preserve">The validation loads are </w:t>
      </w:r>
      <w:r>
        <w:rPr>
          <w:b/>
          <w:bCs/>
        </w:rPr>
        <w:t xml:space="preserve">in the future</w:t>
      </w:r>
      <w:r>
        <w:t xml:space="preserve"> relative to all labelled data. That one fact drives the whole validation design: the model must be judged on how well it forecasts months it has never seen, not on how well it interpolates between known loads.</w:t>
      </w:r>
    </w:p>
    <w:p>
      <w:pPr>
        <w:spacing w:before="0" w:after="140"/>
      </w:pPr>
      <w:r>
        <w:t xml:space="preserve">Each load has: pickup / delivery city and coordinates, distance, equipment type (Dry Van, Reefer, Flatbed), weight, date, </w:t>
      </w:r>
      <w:r>
        <w:rPr>
          <w:rFonts w:ascii="Consolas" w:cs="Consolas" w:eastAsia="Consolas" w:hAnsi="Consolas"/>
          <w:color w:val="333333"/>
          <w:sz w:val="19"/>
          <w:szCs w:val="19"/>
        </w:rPr>
        <w:t xml:space="preserve">market_index</w:t>
      </w:r>
      <w:r>
        <w:t xml:space="preserve">, </w:t>
      </w:r>
      <w:r>
        <w:rPr>
          <w:rFonts w:ascii="Consolas" w:cs="Consolas" w:eastAsia="Consolas" w:hAnsi="Consolas"/>
          <w:color w:val="333333"/>
          <w:sz w:val="19"/>
          <w:szCs w:val="19"/>
        </w:rPr>
        <w:t xml:space="preserve">quote_signal</w:t>
      </w:r>
      <w:r>
        <w:t xml:space="preserve"> and (training only) </w:t>
      </w:r>
      <w:r>
        <w:rPr>
          <w:rFonts w:ascii="Consolas" w:cs="Consolas" w:eastAsia="Consolas" w:hAnsi="Consolas"/>
          <w:color w:val="333333"/>
          <w:sz w:val="19"/>
          <w:szCs w:val="19"/>
        </w:rPr>
        <w:t xml:space="preserve">posted_rate</w:t>
      </w:r>
      <w:r>
        <w:t xml:space="preserve">.</w:t>
      </w:r>
    </w:p>
    <w:p>
      <w:pPr>
        <w:pStyle w:val="Heading1"/>
      </w:pPr>
      <w:r>
        <w:t xml:space="preserve">2. Key findings from exploring the data</w:t>
      </w:r>
    </w:p>
    <w:p>
      <w:pPr>
        <w:tabs>
          <w:tab w:val="left" w:pos="360"/>
        </w:tabs>
        <w:spacing w:before="0" w:after="80"/>
        <w:ind w:left="360" w:hanging="300"/>
      </w:pPr>
      <w:r>
        <w:t xml:space="preserve">1.	</w:t>
      </w:r>
      <w:r>
        <w:rPr>
          <w:b/>
          <w:bCs/>
        </w:rPr>
        <w:t xml:space="preserve">Distance dominates price.</w:t>
      </w:r>
      <w:r>
        <w:t xml:space="preserve"> Price grows a little slower than distance (roughly distance^0.87): short trips cost more per mile (fixed costs). Reefer loads cost ~12% more and flatbeds ~8% more than dry vans, at every distance.</w:t>
      </w:r>
    </w:p>
    <w:p>
      <w:pPr>
        <w:tabs>
          <w:tab w:val="left" w:pos="360"/>
        </w:tabs>
        <w:spacing w:before="0" w:after="80"/>
        <w:ind w:left="360" w:hanging="300"/>
      </w:pPr>
      <w:r>
        <w:t xml:space="preserve">2.	</w:t>
      </w:r>
      <w:r>
        <w:rPr>
          <w:b/>
          <w:bCs/>
        </w:rPr>
        <w:t xml:space="preserve">Heavier loads cost more</w:t>
      </w:r>
      <w:r>
        <w:t xml:space="preserve"> - flat below ~15k lb, rising between 20k and 40k lb, flat again above ~40k lb (about a 7-8% spread overall).</w:t>
      </w:r>
    </w:p>
    <w:p>
      <w:pPr>
        <w:tabs>
          <w:tab w:val="left" w:pos="360"/>
        </w:tabs>
        <w:spacing w:before="0" w:after="80"/>
        <w:ind w:left="360" w:hanging="300"/>
      </w:pPr>
      <w:r>
        <w:t xml:space="preserve">3.	</w:t>
      </w:r>
      <w:r>
        <w:rPr>
          <w:rFonts w:ascii="Consolas" w:cs="Consolas" w:eastAsia="Consolas" w:hAnsi="Consolas"/>
          <w:b/>
          <w:bCs/>
          <w:color w:val="333333"/>
          <w:sz w:val="19"/>
          <w:szCs w:val="19"/>
        </w:rPr>
        <w:t xml:space="preserve">market_index</w:t>
      </w:r>
      <w:r>
        <w:rPr>
          <w:b/>
          <w:bCs/>
        </w:rPr>
        <w:t xml:space="preserve"> is a daily market reading with a strong weekly cycle</w:t>
      </w:r>
      <w:r>
        <w:t xml:space="preserve"> (Thursday high, Sunday low; spread within a day 0.025 vs 0.165 between days). Prices follow it only weakly: an elasticity of </w:t>
      </w:r>
      <w:r>
        <w:rPr>
          <w:b/>
          <w:bCs/>
        </w:rPr>
        <w:t xml:space="preserve">0.14</w:t>
      </w:r>
      <w:r>
        <w:t xml:space="preserve"> (a 10% higher index means ~1.4% higher price). Its weekly cycle fully explains the day-of-week pattern in prices.</w:t>
      </w:r>
    </w:p>
    <w:p>
      <w:pPr>
        <w:tabs>
          <w:tab w:val="left" w:pos="360"/>
        </w:tabs>
        <w:spacing w:before="0" w:after="80"/>
        <w:ind w:left="360" w:hanging="300"/>
      </w:pPr>
      <w:r>
        <w:t xml:space="preserve">4.	</w:t>
      </w:r>
      <w:r>
        <w:rPr>
          <w:b/>
          <w:bCs/>
        </w:rPr>
        <w:t xml:space="preserve">A calendar effect that </w:t>
      </w:r>
      <w:r>
        <w:rPr>
          <w:rFonts w:ascii="Consolas" w:cs="Consolas" w:eastAsia="Consolas" w:hAnsi="Consolas"/>
          <w:b/>
          <w:bCs/>
          <w:color w:val="333333"/>
          <w:sz w:val="19"/>
          <w:szCs w:val="19"/>
        </w:rPr>
        <w:t xml:space="preserve">market_index</w:t>
      </w:r>
      <w:r>
        <w:rPr>
          <w:b/>
          <w:bCs/>
        </w:rPr>
        <w:t xml:space="preserve"> does not explain</w:t>
      </w:r>
      <w:r>
        <w:t xml:space="preserve"> (figure below). After removing distance, equipment and market effects, prices</w:t>
      </w:r>
    </w:p>
    <w:p>
      <w:pPr>
        <w:pStyle w:val="ListParagraph"/>
        <w:numPr>
          <w:ilvl w:val="1"/>
          <w:numId w:val="2"/>
        </w:numPr>
        <w:spacing w:before="0" w:after="80"/>
      </w:pPr>
      <w:r>
        <w:t xml:space="preserve">ramp up by roughly 4% through </w:t>
      </w:r>
      <w:r>
        <w:rPr>
          <w:b/>
          <w:bCs/>
        </w:rPr>
        <w:t xml:space="preserve">every quarter-end month</w:t>
      </w:r>
      <w:r>
        <w:t xml:space="preserve"> (March, June, September) and drop back when the next quarter starts, and</w:t>
      </w:r>
    </w:p>
    <w:p>
      <w:pPr>
        <w:pStyle w:val="ListParagraph"/>
        <w:numPr>
          <w:ilvl w:val="1"/>
          <w:numId w:val="2"/>
        </w:numPr>
        <w:spacing w:before="0" w:after="80"/>
      </w:pPr>
      <w:r>
        <w:t xml:space="preserve">drift upwards over the year: October sits ~5.6% above January-February.</w:t>
      </w:r>
    </w:p>
    <w:p>
      <w:pPr>
        <w:spacing w:before="0" w:after="140"/>
        <w:ind w:left="360"/>
      </w:pPr>
      <w:r>
        <w:t xml:space="preserve">December is also a quarter-end month, so this matters directly for the December chart.</w:t>
      </w:r>
    </w:p>
    <w:p>
      <w:pPr>
        <w:keepLines/>
        <w:spacing w:before="120" w:after="160"/>
        <w:ind w:left="360"/>
        <w:jc w:val="center"/>
      </w:pPr>
      <w:r>
        <w:drawing>
          <wp:inline distT="0" distB="0" distL="0" distR="0">
            <wp:extent cx="56769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76900" cy="3448050"/>
                    </a:xfrm>
                    <a:prstGeom prst="rect">
                      <a:avLst/>
                    </a:prstGeom>
                  </pic:spPr>
                </pic:pic>
              </a:graphicData>
            </a:graphic>
          </wp:inline>
        </w:drawing>
      </w:r>
    </w:p>
    <w:p>
      <w:pPr>
        <w:tabs>
          <w:tab w:val="left" w:pos="360"/>
        </w:tabs>
        <w:spacing w:before="0" w:after="80"/>
        <w:ind w:left="360" w:hanging="300"/>
      </w:pPr>
      <w:r>
        <w:t xml:space="preserve">5.	</w:t>
      </w:r>
      <w:r>
        <w:rPr>
          <w:rFonts w:ascii="Consolas" w:cs="Consolas" w:eastAsia="Consolas" w:hAnsi="Consolas"/>
          <w:b/>
          <w:bCs/>
          <w:color w:val="333333"/>
          <w:sz w:val="19"/>
          <w:szCs w:val="19"/>
        </w:rPr>
        <w:t xml:space="preserve">quote_signal</w:t>
      </w:r>
      <w:r>
        <w:rPr>
          <w:b/>
          <w:bCs/>
        </w:rPr>
        <w:t xml:space="preserve"> changes "regime" from month to month</w:t>
      </w:r>
      <w:r>
        <w:t xml:space="preserve"> (its distribution shifts and skews), and </w:t>
      </w:r>
      <w:r>
        <w:rPr>
          <w:b/>
          <w:bCs/>
        </w:rPr>
        <w:t xml:space="preserve">November-December look exactly like August</w:t>
      </w:r>
      <w:r>
        <w:t xml:space="preserve"> (1% / 50% / 99% quantiles 1.54 / 2.05 / 2.56 vs 1.53 / 2.05 / 2.55) - the one training month where </w:t>
      </w:r>
      <w:r>
        <w:rPr>
          <w:rFonts w:ascii="Consolas" w:cs="Consolas" w:eastAsia="Consolas" w:hAnsi="Consolas"/>
          <w:color w:val="333333"/>
          <w:sz w:val="19"/>
          <w:szCs w:val="19"/>
        </w:rPr>
        <w:t xml:space="preserve">quote_signal</w:t>
      </w:r>
      <w:r>
        <w:t xml:space="preserve"> has </w:t>
      </w:r>
      <w:r>
        <w:rPr>
          <w:b/>
          <w:bCs/>
        </w:rPr>
        <w:t xml:space="preserve">no</w:t>
      </w:r>
      <w:r>
        <w:t xml:space="preserve"> relationship with price (correlation -0.008).</w:t>
      </w:r>
    </w:p>
    <w:p>
      <w:pPr>
        <w:keepLines/>
        <w:spacing w:before="120" w:after="160"/>
        <w:ind w:left="360"/>
        <w:jc w:val="center"/>
      </w:pPr>
      <w:r>
        <w:drawing>
          <wp:inline distT="0" distB="0" distL="0" distR="0">
            <wp:extent cx="56769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76900" cy="2895600"/>
                    </a:xfrm>
                    <a:prstGeom prst="rect">
                      <a:avLst/>
                    </a:prstGeom>
                  </pic:spPr>
                </pic:pic>
              </a:graphicData>
            </a:graphic>
          </wp:inline>
        </w:drawing>
      </w:r>
    </w:p>
    <w:p>
      <w:pPr>
        <w:tabs>
          <w:tab w:val="left" w:pos="360"/>
        </w:tabs>
        <w:spacing w:before="0" w:after="80"/>
        <w:ind w:left="360" w:hanging="300"/>
      </w:pPr>
      <w:r>
        <w:t xml:space="preserve">6.	</w:t>
      </w:r>
      <w:r>
        <w:rPr>
          <w:b/>
          <w:bCs/>
        </w:rPr>
        <w:t xml:space="preserve">City price levels vary smoothly across the map</w:t>
      </w:r>
      <w:r>
        <w:t xml:space="preserve"> (-3.4% for Syracuse to +2.8% for Oklahoma City), and a city's effect is the same whether it is the pickup or the delivery end (correlation 0.99). </w:t>
      </w:r>
      <w:r>
        <w:rPr>
          <w:b/>
          <w:bCs/>
        </w:rPr>
        <w:t xml:space="preserve">Eight validation cities never appear in training</w:t>
      </w:r>
      <w:r>
        <w:t xml:space="preserve"> (Allentown, Charlotte, Chicago, Jackson, Knoxville, Laredo, Norfolk, San Diego), touching 1,447 validation loads (12.1%). Because city levels follow location, a model that knows each city's coordinates can price these cities too - the map below shows the level estimated from each one's 5 nearest training cities.</w:t>
      </w:r>
    </w:p>
    <w:p>
      <w:pPr>
        <w:keepLines/>
        <w:spacing w:before="120" w:after="160"/>
        <w:ind w:left="360"/>
        <w:jc w:val="center"/>
      </w:pPr>
      <w:r>
        <w:drawing>
          <wp:inline distT="0" distB="0" distL="0" distR="0">
            <wp:extent cx="567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76900" cy="4038600"/>
                    </a:xfrm>
                    <a:prstGeom prst="rect">
                      <a:avLst/>
                    </a:prstGeom>
                  </pic:spPr>
                </pic:pic>
              </a:graphicData>
            </a:graphic>
          </wp:inline>
        </w:drawing>
      </w:r>
    </w:p>
    <w:p>
      <w:pPr>
        <w:pStyle w:val="Heading1"/>
      </w:pPr>
      <w:r>
        <w:t xml:space="preserve">3. Data-quality issues and how they were fixed</w:t>
      </w:r>
    </w:p>
    <w:p>
      <w:pPr>
        <w:spacing w:before="0" w:after="140"/>
      </w:pPr>
      <w:r>
        <w:t xml:space="preserve">Every fix is a separate function in </w:t>
      </w:r>
      <w:r>
        <w:rPr>
          <w:rFonts w:ascii="Consolas" w:cs="Consolas" w:eastAsia="Consolas" w:hAnsi="Consolas"/>
          <w:color w:val="333333"/>
          <w:sz w:val="19"/>
          <w:szCs w:val="19"/>
        </w:rPr>
        <w:t xml:space="preserve">src/data_cleaning.py</w:t>
      </w:r>
      <w:r>
        <w:t xml:space="preserve"> and logs how many rows it touched. Anything learned from data (medians, lane distances, the reference price) is learned from the training rows only and re-used for validation / December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4"/>
        <w:gridCol w:w="2294"/>
        <w:gridCol w:w="3164"/>
        <w:gridCol w:w="995"/>
        <w:gridCol w:w="1223"/>
      </w:tblGrid>
      <w:tr>
        <w:trPr>
          <w:cantSplit/>
          <w:tblHeader/>
        </w:trPr>
        <w:tc>
          <w:tcPr>
            <w:tcW w:type="dxa" w:w="1684"/>
            <w:tcBorders>
              <w:top w:val="single" w:color="C9CED6" w:sz="4"/>
              <w:left w:val="single" w:color="C9CED6" w:sz="4"/>
              <w:bottom w:val="single" w:color="C9CED6" w:sz="4"/>
              <w:right w:val="single" w:color="C9CED6" w:sz="4"/>
            </w:tcBorders>
            <w:shd w:fill="E8EEF5" w:color="auto" w:val="clear"/>
            <w:tcMar>
              <w:top w:type="dxa" w:w="50"/>
              <w:left w:type="dxa" w:w="90"/>
              <w:bottom w:type="dxa" w:w="50"/>
              <w:right w:type="dxa" w:w="90"/>
            </w:tcMar>
          </w:tcPr>
          <w:p>
            <w:pPr>
              <w:spacing w:before="0" w:after="0"/>
              <w:jc w:val="left"/>
            </w:pPr>
            <w:r>
              <w:rPr>
                <w:b/>
                <w:bCs/>
                <w:sz w:val="18"/>
                <w:szCs w:val="18"/>
              </w:rPr>
              <w:t xml:space="preserve">Issue</w:t>
            </w:r>
          </w:p>
        </w:tc>
        <w:tc>
          <w:tcPr>
            <w:tcW w:type="dxa" w:w="2294"/>
            <w:tcBorders>
              <w:top w:val="single" w:color="C9CED6" w:sz="4"/>
              <w:left w:val="single" w:color="C9CED6" w:sz="4"/>
              <w:bottom w:val="single" w:color="C9CED6" w:sz="4"/>
              <w:right w:val="single" w:color="C9CED6" w:sz="4"/>
            </w:tcBorders>
            <w:shd w:fill="E8EEF5" w:color="auto" w:val="clear"/>
            <w:tcMar>
              <w:top w:type="dxa" w:w="50"/>
              <w:left w:type="dxa" w:w="90"/>
              <w:bottom w:type="dxa" w:w="50"/>
              <w:right w:type="dxa" w:w="90"/>
            </w:tcMar>
          </w:tcPr>
          <w:p>
            <w:pPr>
              <w:spacing w:before="0" w:after="0"/>
              <w:jc w:val="left"/>
            </w:pPr>
            <w:r>
              <w:rPr>
                <w:b/>
                <w:bCs/>
                <w:sz w:val="18"/>
                <w:szCs w:val="18"/>
              </w:rPr>
              <w:t xml:space="preserve">Evidence</w:t>
            </w:r>
          </w:p>
        </w:tc>
        <w:tc>
          <w:tcPr>
            <w:tcW w:type="dxa" w:w="3164"/>
            <w:tcBorders>
              <w:top w:val="single" w:color="C9CED6" w:sz="4"/>
              <w:left w:val="single" w:color="C9CED6" w:sz="4"/>
              <w:bottom w:val="single" w:color="C9CED6" w:sz="4"/>
              <w:right w:val="single" w:color="C9CED6" w:sz="4"/>
            </w:tcBorders>
            <w:shd w:fill="E8EEF5" w:color="auto" w:val="clear"/>
            <w:tcMar>
              <w:top w:type="dxa" w:w="50"/>
              <w:left w:type="dxa" w:w="90"/>
              <w:bottom w:type="dxa" w:w="50"/>
              <w:right w:type="dxa" w:w="90"/>
            </w:tcMar>
          </w:tcPr>
          <w:p>
            <w:pPr>
              <w:spacing w:before="0" w:after="0"/>
              <w:jc w:val="left"/>
            </w:pPr>
            <w:r>
              <w:rPr>
                <w:b/>
                <w:bCs/>
                <w:sz w:val="18"/>
                <w:szCs w:val="18"/>
              </w:rPr>
              <w:t xml:space="preserve">Fix</w:t>
            </w:r>
          </w:p>
        </w:tc>
        <w:tc>
          <w:tcPr>
            <w:tcW w:type="dxa" w:w="995"/>
            <w:tcBorders>
              <w:top w:val="single" w:color="C9CED6" w:sz="4"/>
              <w:left w:val="single" w:color="C9CED6" w:sz="4"/>
              <w:bottom w:val="single" w:color="C9CED6" w:sz="4"/>
              <w:right w:val="single" w:color="C9CED6" w:sz="4"/>
            </w:tcBorders>
            <w:shd w:fill="E8EEF5" w:color="auto" w:val="clear"/>
            <w:tcMar>
              <w:top w:type="dxa" w:w="50"/>
              <w:left w:type="dxa" w:w="90"/>
              <w:bottom w:type="dxa" w:w="50"/>
              <w:right w:type="dxa" w:w="90"/>
            </w:tcMar>
          </w:tcPr>
          <w:p>
            <w:pPr>
              <w:spacing w:before="0" w:after="0"/>
              <w:jc w:val="right"/>
            </w:pPr>
            <w:r>
              <w:rPr>
                <w:b/>
                <w:bCs/>
                <w:sz w:val="18"/>
                <w:szCs w:val="18"/>
              </w:rPr>
              <w:t xml:space="preserve">Train</w:t>
            </w:r>
          </w:p>
        </w:tc>
        <w:tc>
          <w:tcPr>
            <w:tcW w:type="dxa" w:w="1223"/>
            <w:tcBorders>
              <w:top w:val="single" w:color="C9CED6" w:sz="4"/>
              <w:left w:val="single" w:color="C9CED6" w:sz="4"/>
              <w:bottom w:val="single" w:color="C9CED6" w:sz="4"/>
              <w:right w:val="single" w:color="C9CED6" w:sz="4"/>
            </w:tcBorders>
            <w:shd w:fill="E8EEF5" w:color="auto" w:val="clear"/>
            <w:tcMar>
              <w:top w:type="dxa" w:w="50"/>
              <w:left w:type="dxa" w:w="90"/>
              <w:bottom w:type="dxa" w:w="50"/>
              <w:right w:type="dxa" w:w="90"/>
            </w:tcMar>
          </w:tcPr>
          <w:p>
            <w:pPr>
              <w:spacing w:before="0" w:after="0"/>
              <w:jc w:val="right"/>
            </w:pPr>
            <w:r>
              <w:rPr>
                <w:b/>
                <w:bCs/>
                <w:sz w:val="18"/>
                <w:szCs w:val="18"/>
              </w:rPr>
              <w:t xml:space="preserve">Validation</w:t>
            </w:r>
          </w:p>
        </w:tc>
      </w:tr>
      <w:tr>
        <w:trPr>
          <w:cantSplit/>
          <w:tblHeader w:val="false"/>
        </w:trPr>
        <w:tc>
          <w:tcPr>
            <w:tcW w:type="dxa" w:w="1684"/>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Negative weights</w:t>
            </w:r>
          </w:p>
        </w:tc>
        <w:tc>
          <w:tcPr>
            <w:tcW w:type="dxa" w:w="2294"/>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magnitudes look like normal weights (median ~31.8k lb)</w:t>
            </w:r>
          </w:p>
        </w:tc>
        <w:tc>
          <w:tcPr>
            <w:tcW w:type="dxa" w:w="3164"/>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rFonts w:ascii="Consolas" w:cs="Consolas" w:eastAsia="Consolas" w:hAnsi="Consolas"/>
                <w:color w:val="333333"/>
                <w:sz w:val="17"/>
                <w:szCs w:val="17"/>
              </w:rPr>
              <w:t xml:space="preserve">abs()</w:t>
            </w:r>
            <w:r>
              <w:rPr>
                <w:sz w:val="18"/>
                <w:szCs w:val="18"/>
              </w:rPr>
              <w:t xml:space="preserve"> - sign-flip error</w:t>
            </w:r>
          </w:p>
        </w:tc>
        <w:tc>
          <w:tcPr>
            <w:tcW w:type="dxa" w:w="995"/>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292</w:t>
            </w:r>
          </w:p>
        </w:tc>
        <w:tc>
          <w:tcPr>
            <w:tcW w:type="dxa" w:w="1223"/>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145</w:t>
            </w:r>
          </w:p>
        </w:tc>
      </w:tr>
      <w:tr>
        <w:trPr>
          <w:cantSplit/>
          <w:tblHeader w:val="false"/>
        </w:trPr>
        <w:tc>
          <w:tcPr>
            <w:tcW w:type="dxa" w:w="1684"/>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Weight capped at 47,500 lb</w:t>
            </w:r>
          </w:p>
        </w:tc>
        <w:tc>
          <w:tcPr>
            <w:tcW w:type="dxa" w:w="2294"/>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a spike of loads at exactly 47,500</w:t>
            </w:r>
          </w:p>
        </w:tc>
        <w:tc>
          <w:tcPr>
            <w:tcW w:type="dxa" w:w="3164"/>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keep value, add flag </w:t>
            </w:r>
            <w:r>
              <w:rPr>
                <w:rFonts w:ascii="Consolas" w:cs="Consolas" w:eastAsia="Consolas" w:hAnsi="Consolas"/>
                <w:color w:val="333333"/>
                <w:sz w:val="17"/>
                <w:szCs w:val="17"/>
              </w:rPr>
              <w:t xml:space="preserve">weight_was_capped</w:t>
            </w:r>
            <w:r>
              <w:rPr>
                <w:sz w:val="18"/>
                <w:szCs w:val="18"/>
              </w:rPr>
              <w:t xml:space="preserve"> (the weight effect is flat up there)</w:t>
            </w:r>
          </w:p>
        </w:tc>
        <w:tc>
          <w:tcPr>
            <w:tcW w:type="dxa" w:w="995"/>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1,204</w:t>
            </w:r>
          </w:p>
        </w:tc>
        <w:tc>
          <w:tcPr>
            <w:tcW w:type="dxa" w:w="1223"/>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301</w:t>
            </w:r>
          </w:p>
        </w:tc>
      </w:tr>
      <w:tr>
        <w:trPr>
          <w:cantSplit/>
          <w:tblHeader w:val="false"/>
        </w:trPr>
        <w:tc>
          <w:tcPr>
            <w:tcW w:type="dxa" w:w="1684"/>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Missing weight</w:t>
            </w:r>
          </w:p>
        </w:tc>
        <w:tc>
          <w:tcPr>
            <w:tcW w:type="dxa" w:w="2294"/>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NaN</w:t>
            </w:r>
          </w:p>
        </w:tc>
        <w:tc>
          <w:tcPr>
            <w:tcW w:type="dxa" w:w="3164"/>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training median of the same equipment type + flag </w:t>
            </w:r>
            <w:r>
              <w:rPr>
                <w:rFonts w:ascii="Consolas" w:cs="Consolas" w:eastAsia="Consolas" w:hAnsi="Consolas"/>
                <w:color w:val="333333"/>
                <w:sz w:val="17"/>
                <w:szCs w:val="17"/>
              </w:rPr>
              <w:t xml:space="preserve">weight_was_missing</w:t>
            </w:r>
          </w:p>
        </w:tc>
        <w:tc>
          <w:tcPr>
            <w:tcW w:type="dxa" w:w="995"/>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300</w:t>
            </w:r>
          </w:p>
        </w:tc>
        <w:tc>
          <w:tcPr>
            <w:tcW w:type="dxa" w:w="1223"/>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165</w:t>
            </w:r>
          </w:p>
        </w:tc>
      </w:tr>
      <w:tr>
        <w:trPr>
          <w:cantSplit/>
          <w:tblHeader w:val="false"/>
        </w:trPr>
        <w:tc>
          <w:tcPr>
            <w:tcW w:type="dxa" w:w="1684"/>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Weight floor at 5,000 lb</w:t>
            </w:r>
          </w:p>
        </w:tc>
        <w:tc>
          <w:tcPr>
            <w:tcW w:type="dxa" w:w="2294"/>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a spike at exactly 5,000</w:t>
            </w:r>
          </w:p>
        </w:tc>
        <w:tc>
          <w:tcPr>
            <w:tcW w:type="dxa" w:w="3164"/>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none needed (weight effect is flat below ~15k lb) - documented</w:t>
            </w:r>
          </w:p>
        </w:tc>
        <w:tc>
          <w:tcPr>
            <w:tcW w:type="dxa" w:w="995"/>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32</w:t>
            </w:r>
          </w:p>
        </w:tc>
        <w:tc>
          <w:tcPr>
            <w:tcW w:type="dxa" w:w="1223"/>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7</w:t>
            </w:r>
          </w:p>
        </w:tc>
      </w:tr>
      <w:tr>
        <w:trPr>
          <w:cantSplit/>
          <w:tblHeader w:val="false"/>
        </w:trPr>
        <w:tc>
          <w:tcPr>
            <w:tcW w:type="dxa" w:w="1684"/>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Missing </w:t>
            </w:r>
            <w:r>
              <w:rPr>
                <w:rFonts w:ascii="Consolas" w:cs="Consolas" w:eastAsia="Consolas" w:hAnsi="Consolas"/>
                <w:color w:val="333333"/>
                <w:sz w:val="17"/>
                <w:szCs w:val="17"/>
              </w:rPr>
              <w:t xml:space="preserve">market_index</w:t>
            </w:r>
          </w:p>
        </w:tc>
        <w:tc>
          <w:tcPr>
            <w:tcW w:type="dxa" w:w="2294"/>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NaN</w:t>
            </w:r>
          </w:p>
        </w:tc>
        <w:tc>
          <w:tcPr>
            <w:tcW w:type="dxa" w:w="3164"/>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median of the </w:t>
            </w:r>
            <w:r>
              <w:rPr>
                <w:b/>
                <w:bCs/>
                <w:sz w:val="18"/>
                <w:szCs w:val="18"/>
              </w:rPr>
              <w:t xml:space="preserve">same date in the same file</w:t>
            </w:r>
            <w:r>
              <w:rPr>
                <w:sz w:val="18"/>
                <w:szCs w:val="18"/>
              </w:rPr>
              <w:t xml:space="preserve"> (it is a daily value) + flag</w:t>
            </w:r>
          </w:p>
        </w:tc>
        <w:tc>
          <w:tcPr>
            <w:tcW w:type="dxa" w:w="995"/>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374</w:t>
            </w:r>
          </w:p>
        </w:tc>
        <w:tc>
          <w:tcPr>
            <w:tcW w:type="dxa" w:w="1223"/>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249</w:t>
            </w:r>
          </w:p>
        </w:tc>
      </w:tr>
      <w:tr>
        <w:trPr>
          <w:cantSplit/>
          <w:tblHeader w:val="false"/>
        </w:trPr>
        <w:tc>
          <w:tcPr>
            <w:tcW w:type="dxa" w:w="1684"/>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Corrupted </w:t>
            </w:r>
            <w:r>
              <w:rPr>
                <w:rFonts w:ascii="Consolas" w:cs="Consolas" w:eastAsia="Consolas" w:hAnsi="Consolas"/>
                <w:color w:val="333333"/>
                <w:sz w:val="17"/>
                <w:szCs w:val="17"/>
              </w:rPr>
              <w:t xml:space="preserve">posted_rate</w:t>
            </w:r>
          </w:p>
        </w:tc>
        <w:tc>
          <w:tcPr>
            <w:tcW w:type="dxa" w:w="2294"/>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two clusters at 0.15-0.5x and 2-6x the expected price</w:t>
            </w:r>
          </w:p>
        </w:tc>
        <w:tc>
          <w:tcPr>
            <w:tcW w:type="dxa" w:w="3164"/>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flagged and </w:t>
            </w:r>
            <w:r>
              <w:rPr>
                <w:b/>
                <w:bCs/>
                <w:sz w:val="18"/>
                <w:szCs w:val="18"/>
              </w:rPr>
              <w:t xml:space="preserve">removed from training</w:t>
            </w:r>
            <w:r>
              <w:rPr>
                <w:sz w:val="18"/>
                <w:szCs w:val="18"/>
              </w:rPr>
              <w:t xml:space="preserve"> (and from scoring - see section 4)</w:t>
            </w:r>
          </w:p>
        </w:tc>
        <w:tc>
          <w:tcPr>
            <w:tcW w:type="dxa" w:w="995"/>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677 (1.41%)</w:t>
            </w:r>
          </w:p>
        </w:tc>
        <w:tc>
          <w:tcPr>
            <w:tcW w:type="dxa" w:w="1223"/>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w:t>
            </w:r>
          </w:p>
        </w:tc>
      </w:tr>
      <w:tr>
        <w:trPr>
          <w:cantSplit/>
          <w:tblHeader w:val="false"/>
        </w:trPr>
        <w:tc>
          <w:tcPr>
            <w:tcW w:type="dxa" w:w="1684"/>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"Too long" distances</w:t>
            </w:r>
          </w:p>
        </w:tc>
        <w:tc>
          <w:tcPr>
            <w:tcW w:type="dxa" w:w="2294"/>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12 loads are &gt;3x the straight-line distance</w:t>
            </w:r>
          </w:p>
        </w:tc>
        <w:tc>
          <w:tcPr>
            <w:tcW w:type="dxa" w:w="3164"/>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b/>
                <w:bCs/>
                <w:sz w:val="18"/>
                <w:szCs w:val="18"/>
              </w:rPr>
              <w:t xml:space="preserve">not corrupted</w:t>
            </w:r>
            <w:r>
              <w:rPr>
                <w:sz w:val="18"/>
                <w:szCs w:val="18"/>
              </w:rPr>
              <w:t xml:space="preserve"> - all are 70-mile-floor loads between cities whose synthetic coordinates almost coincide (New Orleans-Shreveport); checked against each lane's median distance instead: 0.76-1.28x, so nothing changed</w:t>
            </w:r>
          </w:p>
        </w:tc>
        <w:tc>
          <w:tcPr>
            <w:tcW w:type="dxa" w:w="995"/>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0 changed</w:t>
            </w:r>
          </w:p>
        </w:tc>
        <w:tc>
          <w:tcPr>
            <w:tcW w:type="dxa" w:w="1223"/>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0 changed</w:t>
            </w:r>
          </w:p>
        </w:tc>
      </w:tr>
    </w:tbl>
    <w:p>
      <w:pPr>
        <w:spacing w:before="0" w:after="80"/>
      </w:pPr>
    </w:p>
    <w:p>
      <w:pPr>
        <w:spacing w:before="0" w:after="140"/>
      </w:pPr>
      <w:r>
        <w:rPr>
          <w:b/>
          <w:bCs/>
        </w:rPr>
        <w:t xml:space="preserve">Detecting corrupted prices.</w:t>
      </w:r>
      <w:r>
        <w:t xml:space="preserve"> A deliberately simple </w:t>
      </w:r>
      <w:r>
        <w:rPr>
          <w:i/>
          <w:iCs/>
        </w:rPr>
        <w:t xml:space="preserve">reference price</w:t>
      </w:r>
      <w:r>
        <w:t xml:space="preserve"> (median $/mile per equipment type and distance band, scaled by </w:t>
      </w:r>
      <w:r>
        <w:rPr>
          <w:rFonts w:ascii="Consolas" w:cs="Consolas" w:eastAsia="Consolas" w:hAnsi="Consolas"/>
          <w:color w:val="333333"/>
          <w:sz w:val="19"/>
          <w:szCs w:val="19"/>
        </w:rPr>
        <w:t xml:space="preserve">market_index</w:t>
      </w:r>
      <w:r>
        <w:t xml:space="preserve"> with the learned elasticity) gives an expected price for every load. Every clean load lies between 0.84x and 1.21x of it; the corrupted ones lie below 0.5x or above 2x, with </w:t>
      </w:r>
      <w:r>
        <w:rPr>
          <w:b/>
          <w:bCs/>
        </w:rPr>
        <w:t xml:space="preserve">nothing in between</w:t>
      </w:r>
      <w:r>
        <w:t xml:space="preserve">. The cut-offs 0.6x and 1.8x sit in that empty gap, so the result does not depend on their exact values.</w:t>
      </w:r>
    </w:p>
    <w:p>
      <w:pPr>
        <w:keepLines/>
        <w:spacing w:before="120" w:after="160"/>
        <w:ind w:left="0"/>
        <w:jc w:val="center"/>
      </w:pPr>
      <w:r>
        <w:drawing>
          <wp:inline distT="0" distB="0" distL="0" distR="0">
            <wp:extent cx="5905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133725"/>
                    </a:xfrm>
                    <a:prstGeom prst="rect">
                      <a:avLst/>
                    </a:prstGeom>
                  </pic:spPr>
                </pic:pic>
              </a:graphicData>
            </a:graphic>
          </wp:inline>
        </w:drawing>
      </w:r>
    </w:p>
    <w:p>
      <w:pPr>
        <w:spacing w:before="0" w:after="140"/>
      </w:pPr>
      <w:r>
        <w:t xml:space="preserve">Two alternatives were compared (section 6): dropping the flagged rows vs keeping them and training with a robust Huber loss. Dropping was clearly better.</w:t>
      </w:r>
    </w:p>
    <w:p>
      <w:pPr>
        <w:pStyle w:val="Heading2"/>
      </w:pPr>
      <w:r>
        <w:t xml:space="preserve">Assumptions the data did not confirm</w:t>
      </w:r>
    </w:p>
    <w:p>
      <w:pPr>
        <w:spacing w:before="0" w:after="140"/>
      </w:pPr>
      <w:r>
        <w:t xml:space="preserve">Every suspected issue was checked in the data before it was "fixed". Some first impressions did not hold:</w:t>
      </w:r>
    </w:p>
    <w:p>
      <w:pPr>
        <w:pStyle w:val="ListParagraph"/>
        <w:numPr>
          <w:ilvl w:val="0"/>
          <w:numId w:val="2"/>
        </w:numPr>
        <w:spacing w:before="0" w:after="80"/>
      </w:pPr>
      <w:r>
        <w:t xml:space="preserve">Distances that look 5-10x too long compared with the straight line are </w:t>
      </w:r>
      <w:r>
        <w:rPr>
          <w:b/>
          <w:bCs/>
        </w:rPr>
        <w:t xml:space="preserve">not</w:t>
      </w:r>
      <w:r>
        <w:t xml:space="preserve"> corrupted (see the table above) - no distance was changed.</w:t>
      </w:r>
    </w:p>
    <w:p>
      <w:pPr>
        <w:pStyle w:val="ListParagraph"/>
        <w:numPr>
          <w:ilvl w:val="0"/>
          <w:numId w:val="2"/>
        </w:numPr>
        <w:spacing w:before="0" w:after="80"/>
      </w:pPr>
      <w:r>
        <w:t xml:space="preserve">The weight cap affects 1,204 training loads, including 13 that were also sign-flipped (-47,500), so the sign is fixed before the cap is detected.</w:t>
      </w:r>
    </w:p>
    <w:p>
      <w:pPr>
        <w:pStyle w:val="ListParagraph"/>
        <w:numPr>
          <w:ilvl w:val="0"/>
          <w:numId w:val="2"/>
        </w:numPr>
        <w:spacing w:before="0" w:after="80"/>
      </w:pPr>
      <w:r>
        <w:t xml:space="preserve">There is also a weight floor at 5,000 lb.</w:t>
      </w:r>
    </w:p>
    <w:p>
      <w:pPr>
        <w:pStyle w:val="ListParagraph"/>
        <w:numPr>
          <w:ilvl w:val="0"/>
          <w:numId w:val="2"/>
        </w:numPr>
        <w:spacing w:before="0" w:after="80"/>
      </w:pPr>
      <w:r>
        <w:rPr>
          <w:rFonts w:ascii="Consolas" w:cs="Consolas" w:eastAsia="Consolas" w:hAnsi="Consolas"/>
          <w:color w:val="333333"/>
          <w:sz w:val="19"/>
          <w:szCs w:val="19"/>
        </w:rPr>
        <w:t xml:space="preserve">market_index</w:t>
      </w:r>
      <w:r>
        <w:t xml:space="preserve"> is </w:t>
      </w:r>
      <w:r>
        <w:rPr>
          <w:b/>
          <w:bCs/>
        </w:rPr>
        <w:t xml:space="preserve">not</w:t>
      </w:r>
      <w:r>
        <w:t xml:space="preserve"> the only seasonal driver: the quarter-end ramp and the yearly drift remain after accounting for it, so seasonality cannot "come through market_index" alone.</w:t>
      </w:r>
    </w:p>
    <w:p>
      <w:pPr>
        <w:pStyle w:val="ListParagraph"/>
        <w:numPr>
          <w:ilvl w:val="0"/>
          <w:numId w:val="2"/>
        </w:numPr>
        <w:spacing w:before="0" w:after="80"/>
      </w:pPr>
      <w:r>
        <w:rPr>
          <w:rFonts w:ascii="Consolas" w:cs="Consolas" w:eastAsia="Consolas" w:hAnsi="Consolas"/>
          <w:color w:val="333333"/>
          <w:sz w:val="19"/>
          <w:szCs w:val="19"/>
        </w:rPr>
        <w:t xml:space="preserve">market_index</w:t>
      </w:r>
      <w:r>
        <w:t xml:space="preserve"> matters less than expected (elasticity 0.14); its weekly cycle is what explains the day-of-week pattern, and no holiday effect is visible in the training data.</w:t>
      </w:r>
    </w:p>
    <w:p>
      <w:pPr>
        <w:pStyle w:val="ListParagraph"/>
        <w:numPr>
          <w:ilvl w:val="0"/>
          <w:numId w:val="2"/>
        </w:numPr>
        <w:spacing w:before="0" w:after="80"/>
      </w:pPr>
      <w:r>
        <w:rPr>
          <w:rFonts w:ascii="Consolas" w:cs="Consolas" w:eastAsia="Consolas" w:hAnsi="Consolas"/>
          <w:color w:val="333333"/>
          <w:sz w:val="19"/>
          <w:szCs w:val="19"/>
        </w:rPr>
        <w:t xml:space="preserve">quote_signal</w:t>
      </w:r>
      <w:r>
        <w:t xml:space="preserve"> is regime-dependent and uninformative in months like Nov-Dec.</w:t>
      </w:r>
    </w:p>
    <w:p>
      <w:pPr>
        <w:pStyle w:val="Heading1"/>
      </w:pPr>
      <w:r>
        <w:t xml:space="preserve">4. How the data was split and validated</w:t>
      </w:r>
    </w:p>
    <w:p>
      <w:pPr>
        <w:spacing w:before="0" w:after="140"/>
      </w:pPr>
      <w:r>
        <w:t xml:space="preserve">The brief leaves the split to the candidate. Since every load to predict lies after every labelled load, the split imitates that situation: </w:t>
      </w:r>
      <w:r>
        <w:rPr>
          <w:b/>
          <w:bCs/>
        </w:rPr>
        <w:t xml:space="preserve">train on the past, test on a later period.</w:t>
      </w:r>
      <w:r>
        <w:t xml:space="preserve"> Nothing is ever tested on a date that lies inside its training period.</w:t>
      </w:r>
    </w:p>
    <w:p>
      <w:pPr>
        <w:pStyle w:val="Heading2"/>
      </w:pPr>
      <w:r>
        <w:t xml:space="preserve">Rolling monthly folds - used for every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3"/>
        <w:gridCol w:w="2367"/>
        <w:gridCol w:w="2229"/>
        <w:gridCol w:w="2229"/>
        <w:gridCol w:w="1682"/>
      </w:tblGrid>
      <w:tr>
        <w:trPr>
          <w:cantSplit/>
          <w:tblHeader/>
        </w:trPr>
        <w:tc>
          <w:tcPr>
            <w:tcW w:type="dxa" w:w="853"/>
            <w:tcBorders>
              <w:top w:val="single" w:color="C9CED6" w:sz="4"/>
              <w:left w:val="single" w:color="C9CED6" w:sz="4"/>
              <w:bottom w:val="single" w:color="C9CED6" w:sz="4"/>
              <w:right w:val="single" w:color="C9CED6" w:sz="4"/>
            </w:tcBorders>
            <w:shd w:fill="E8EEF5" w:color="auto" w:val="clear"/>
            <w:tcMar>
              <w:top w:type="dxa" w:w="50"/>
              <w:left w:type="dxa" w:w="90"/>
              <w:bottom w:type="dxa" w:w="50"/>
              <w:right w:type="dxa" w:w="90"/>
            </w:tcMar>
          </w:tcPr>
          <w:p>
            <w:pPr>
              <w:spacing w:before="0" w:after="0"/>
              <w:jc w:val="left"/>
            </w:pPr>
            <w:r>
              <w:rPr>
                <w:b/>
                <w:bCs/>
                <w:sz w:val="18"/>
                <w:szCs w:val="18"/>
              </w:rPr>
              <w:t xml:space="preserve">Fold</w:t>
            </w:r>
          </w:p>
        </w:tc>
        <w:tc>
          <w:tcPr>
            <w:tcW w:type="dxa" w:w="2367"/>
            <w:tcBorders>
              <w:top w:val="single" w:color="C9CED6" w:sz="4"/>
              <w:left w:val="single" w:color="C9CED6" w:sz="4"/>
              <w:bottom w:val="single" w:color="C9CED6" w:sz="4"/>
              <w:right w:val="single" w:color="C9CED6" w:sz="4"/>
            </w:tcBorders>
            <w:shd w:fill="E8EEF5" w:color="auto" w:val="clear"/>
            <w:tcMar>
              <w:top w:type="dxa" w:w="50"/>
              <w:left w:type="dxa" w:w="90"/>
              <w:bottom w:type="dxa" w:w="50"/>
              <w:right w:type="dxa" w:w="90"/>
            </w:tcMar>
          </w:tcPr>
          <w:p>
            <w:pPr>
              <w:spacing w:before="0" w:after="0"/>
              <w:jc w:val="left"/>
            </w:pPr>
            <w:r>
              <w:rPr>
                <w:b/>
                <w:bCs/>
                <w:sz w:val="18"/>
                <w:szCs w:val="18"/>
              </w:rPr>
              <w:t xml:space="preserve">Training period</w:t>
            </w:r>
          </w:p>
        </w:tc>
        <w:tc>
          <w:tcPr>
            <w:tcW w:type="dxa" w:w="2229"/>
            <w:tcBorders>
              <w:top w:val="single" w:color="C9CED6" w:sz="4"/>
              <w:left w:val="single" w:color="C9CED6" w:sz="4"/>
              <w:bottom w:val="single" w:color="C9CED6" w:sz="4"/>
              <w:right w:val="single" w:color="C9CED6" w:sz="4"/>
            </w:tcBorders>
            <w:shd w:fill="E8EEF5" w:color="auto" w:val="clear"/>
            <w:tcMar>
              <w:top w:type="dxa" w:w="50"/>
              <w:left w:type="dxa" w:w="90"/>
              <w:bottom w:type="dxa" w:w="50"/>
              <w:right w:type="dxa" w:w="90"/>
            </w:tcMar>
          </w:tcPr>
          <w:p>
            <w:pPr>
              <w:spacing w:before="0" w:after="0"/>
              <w:jc w:val="right"/>
            </w:pPr>
            <w:r>
              <w:rPr>
                <w:b/>
                <w:bCs/>
                <w:sz w:val="18"/>
                <w:szCs w:val="18"/>
              </w:rPr>
              <w:t xml:space="preserve">Training loads</w:t>
            </w:r>
          </w:p>
        </w:tc>
        <w:tc>
          <w:tcPr>
            <w:tcW w:type="dxa" w:w="2229"/>
            <w:tcBorders>
              <w:top w:val="single" w:color="C9CED6" w:sz="4"/>
              <w:left w:val="single" w:color="C9CED6" w:sz="4"/>
              <w:bottom w:val="single" w:color="C9CED6" w:sz="4"/>
              <w:right w:val="single" w:color="C9CED6" w:sz="4"/>
            </w:tcBorders>
            <w:shd w:fill="E8EEF5" w:color="auto" w:val="clear"/>
            <w:tcMar>
              <w:top w:type="dxa" w:w="50"/>
              <w:left w:type="dxa" w:w="90"/>
              <w:bottom w:type="dxa" w:w="50"/>
              <w:right w:type="dxa" w:w="90"/>
            </w:tcMar>
          </w:tcPr>
          <w:p>
            <w:pPr>
              <w:spacing w:before="0" w:after="0"/>
              <w:jc w:val="left"/>
            </w:pPr>
            <w:r>
              <w:rPr>
                <w:b/>
                <w:bCs/>
                <w:sz w:val="18"/>
                <w:szCs w:val="18"/>
              </w:rPr>
              <w:t xml:space="preserve">Test period</w:t>
            </w:r>
          </w:p>
        </w:tc>
        <w:tc>
          <w:tcPr>
            <w:tcW w:type="dxa" w:w="1682"/>
            <w:tcBorders>
              <w:top w:val="single" w:color="C9CED6" w:sz="4"/>
              <w:left w:val="single" w:color="C9CED6" w:sz="4"/>
              <w:bottom w:val="single" w:color="C9CED6" w:sz="4"/>
              <w:right w:val="single" w:color="C9CED6" w:sz="4"/>
            </w:tcBorders>
            <w:shd w:fill="E8EEF5" w:color="auto" w:val="clear"/>
            <w:tcMar>
              <w:top w:type="dxa" w:w="50"/>
              <w:left w:type="dxa" w:w="90"/>
              <w:bottom w:type="dxa" w:w="50"/>
              <w:right w:type="dxa" w:w="90"/>
            </w:tcMar>
          </w:tcPr>
          <w:p>
            <w:pPr>
              <w:spacing w:before="0" w:after="0"/>
              <w:jc w:val="right"/>
            </w:pPr>
            <w:r>
              <w:rPr>
                <w:b/>
                <w:bCs/>
                <w:sz w:val="18"/>
                <w:szCs w:val="18"/>
              </w:rPr>
              <w:t xml:space="preserve">Test loads</w:t>
            </w:r>
          </w:p>
        </w:tc>
      </w:tr>
      <w:tr>
        <w:trPr>
          <w:cantSplit/>
          <w:tblHeader w:val="false"/>
        </w:trPr>
        <w:tc>
          <w:tcPr>
            <w:tcW w:type="dxa" w:w="853"/>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Jul</w:t>
            </w:r>
          </w:p>
        </w:tc>
        <w:tc>
          <w:tcPr>
            <w:tcW w:type="dxa" w:w="2367"/>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Jan 1 - Jun 30</w:t>
            </w:r>
          </w:p>
        </w:tc>
        <w:tc>
          <w:tcPr>
            <w:tcW w:type="dxa" w:w="2229"/>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28,806</w:t>
            </w:r>
          </w:p>
        </w:tc>
        <w:tc>
          <w:tcPr>
            <w:tcW w:type="dxa" w:w="2229"/>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Jul 1 - Jul 31</w:t>
            </w:r>
          </w:p>
        </w:tc>
        <w:tc>
          <w:tcPr>
            <w:tcW w:type="dxa" w:w="1682"/>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4,912</w:t>
            </w:r>
          </w:p>
        </w:tc>
      </w:tr>
      <w:tr>
        <w:trPr>
          <w:cantSplit/>
          <w:tblHeader w:val="false"/>
        </w:trPr>
        <w:tc>
          <w:tcPr>
            <w:tcW w:type="dxa" w:w="853"/>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Aug</w:t>
            </w:r>
          </w:p>
        </w:tc>
        <w:tc>
          <w:tcPr>
            <w:tcW w:type="dxa" w:w="2367"/>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Jan 1 - Jul 31</w:t>
            </w:r>
          </w:p>
        </w:tc>
        <w:tc>
          <w:tcPr>
            <w:tcW w:type="dxa" w:w="2229"/>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33,718</w:t>
            </w:r>
          </w:p>
        </w:tc>
        <w:tc>
          <w:tcPr>
            <w:tcW w:type="dxa" w:w="2229"/>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Aug 1 - Aug 31</w:t>
            </w:r>
          </w:p>
        </w:tc>
        <w:tc>
          <w:tcPr>
            <w:tcW w:type="dxa" w:w="1682"/>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4,759</w:t>
            </w:r>
          </w:p>
        </w:tc>
      </w:tr>
      <w:tr>
        <w:trPr>
          <w:cantSplit/>
          <w:tblHeader w:val="false"/>
        </w:trPr>
        <w:tc>
          <w:tcPr>
            <w:tcW w:type="dxa" w:w="853"/>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Sep</w:t>
            </w:r>
          </w:p>
        </w:tc>
        <w:tc>
          <w:tcPr>
            <w:tcW w:type="dxa" w:w="2367"/>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Jan 1 - Aug 31</w:t>
            </w:r>
          </w:p>
        </w:tc>
        <w:tc>
          <w:tcPr>
            <w:tcW w:type="dxa" w:w="2229"/>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38,477</w:t>
            </w:r>
          </w:p>
        </w:tc>
        <w:tc>
          <w:tcPr>
            <w:tcW w:type="dxa" w:w="2229"/>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Sep 1 - Sep 30</w:t>
            </w:r>
          </w:p>
        </w:tc>
        <w:tc>
          <w:tcPr>
            <w:tcW w:type="dxa" w:w="1682"/>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4,670</w:t>
            </w:r>
          </w:p>
        </w:tc>
      </w:tr>
      <w:tr>
        <w:trPr>
          <w:cantSplit/>
          <w:tblHeader w:val="false"/>
        </w:trPr>
        <w:tc>
          <w:tcPr>
            <w:tcW w:type="dxa" w:w="853"/>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Oct</w:t>
            </w:r>
          </w:p>
        </w:tc>
        <w:tc>
          <w:tcPr>
            <w:tcW w:type="dxa" w:w="2367"/>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Jan 1 - Sep 30</w:t>
            </w:r>
          </w:p>
        </w:tc>
        <w:tc>
          <w:tcPr>
            <w:tcW w:type="dxa" w:w="2229"/>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43,147</w:t>
            </w:r>
          </w:p>
        </w:tc>
        <w:tc>
          <w:tcPr>
            <w:tcW w:type="dxa" w:w="2229"/>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Oct 1 - Oct 31</w:t>
            </w:r>
          </w:p>
        </w:tc>
        <w:tc>
          <w:tcPr>
            <w:tcW w:type="dxa" w:w="1682"/>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4,853</w:t>
            </w:r>
          </w:p>
        </w:tc>
      </w:tr>
    </w:tbl>
    <w:p>
      <w:pPr>
        <w:spacing w:before="0" w:after="80"/>
      </w:pPr>
    </w:p>
    <w:p>
      <w:pPr>
        <w:spacing w:before="0" w:after="140"/>
      </w:pPr>
      <w:r>
        <w:t xml:space="preserve">Every candidate is trained four times, once per fold, and scored on the month that follows its training data. Its score is the </w:t>
      </w:r>
      <w:r>
        <w:rPr>
          <w:b/>
          <w:bCs/>
        </w:rPr>
        <w:t xml:space="preserve">mean MAE over the four months</w:t>
      </w:r>
      <w:r>
        <w:t xml:space="preserve">. All choices - which feature groups to keep, which model, the target transformation, the number of trees and the hyper-parameters - use this score. The rule: lowest mean MAE; results within 0.2% of each other count as a tie, broken by the lower MAPE.</w:t>
      </w:r>
    </w:p>
    <w:p>
      <w:pPr>
        <w:pStyle w:val="Heading2"/>
      </w:pPr>
      <w:r>
        <w:t xml:space="preserve">Two-month-ahead check - Sep-Oct</w:t>
      </w:r>
    </w:p>
    <w:p>
      <w:pPr>
        <w:spacing w:before="0" w:after="140"/>
      </w:pPr>
      <w:r>
        <w:t xml:space="preserve">Train on Jan-Aug (38,477 loads), test on Sep-Oct (9,523 loads). Nov-Dec lie one to two months after the end of training, so this shows how the error behaves further ahead. Sep and Oct are also test months of the rolling folds, so this is a consistency check rather than a fully untouched test set.</w:t>
      </w:r>
    </w:p>
    <w:p>
      <w:pPr>
        <w:pStyle w:val="Heading2"/>
      </w:pPr>
      <w:r>
        <w:t xml:space="preserve">Why not a random split</w:t>
      </w:r>
    </w:p>
    <w:p>
      <w:pPr>
        <w:spacing w:before="0" w:after="140"/>
      </w:pPr>
      <w:r>
        <w:t xml:space="preserve">A random 80/20 split gives the final model an MAE of </w:t>
      </w:r>
      <w:r>
        <w:rPr>
          <w:b/>
          <w:bCs/>
        </w:rPr>
        <w:t xml:space="preserve">$30.28</w:t>
      </w:r>
      <w:r>
        <w:t xml:space="preserve">, against </w:t>
      </w:r>
      <w:r>
        <w:rPr>
          <w:b/>
          <w:bCs/>
        </w:rPr>
        <w:t xml:space="preserve">$32.73</w:t>
      </w:r>
      <w:r>
        <w:t xml:space="preserve"> on the two-month-ahead check - about 8% too optimistic. Random test loads share dates, and therefore the daily price level, with training loads, which can never happen when forecasting Nov-Dec. The random split is computed for comparison only and never used for a decision.</w:t>
      </w:r>
    </w:p>
    <w:p>
      <w:pPr>
        <w:pStyle w:val="Heading2"/>
      </w:pPr>
      <w:r>
        <w:t xml:space="preserve">Rules that prevent leakage</w:t>
      </w:r>
    </w:p>
    <w:p>
      <w:pPr>
        <w:pStyle w:val="ListParagraph"/>
        <w:numPr>
          <w:ilvl w:val="0"/>
          <w:numId w:val="2"/>
        </w:numPr>
        <w:spacing w:before="0" w:after="80"/>
      </w:pPr>
      <w:r>
        <w:rPr>
          <w:b/>
          <w:bCs/>
        </w:rPr>
        <w:t xml:space="preserve">Every split is cleaned and featurised from its own training rows.</w:t>
      </w:r>
      <w:r>
        <w:t xml:space="preserve"> Median weights, typical lane distances, the reference price, the KMeans regions and the city price levels are learned from the training part only and then applied, unchanged, to the test part.</w:t>
      </w:r>
    </w:p>
    <w:p>
      <w:pPr>
        <w:pStyle w:val="ListParagraph"/>
        <w:numPr>
          <w:ilvl w:val="0"/>
          <w:numId w:val="2"/>
        </w:numPr>
        <w:spacing w:before="0" w:after="80"/>
      </w:pPr>
      <w:r>
        <w:rPr>
          <w:b/>
          <w:bCs/>
        </w:rPr>
        <w:t xml:space="preserve">Target-encoded city levels</w:t>
      </w:r>
      <w:r>
        <w:t xml:space="preserve"> (tested, not used by the final model) only use loads from earlier dates for training rows, so no row ever sees its own price or the future.</w:t>
      </w:r>
    </w:p>
    <w:p>
      <w:pPr>
        <w:pStyle w:val="ListParagraph"/>
        <w:numPr>
          <w:ilvl w:val="0"/>
          <w:numId w:val="2"/>
        </w:numPr>
        <w:spacing w:before="0" w:after="80"/>
      </w:pPr>
      <w:r>
        <w:rPr>
          <w:b/>
          <w:bCs/>
        </w:rPr>
        <w:t xml:space="preserve">Missing </w:t>
      </w:r>
      <w:r>
        <w:rPr>
          <w:rFonts w:ascii="Consolas" w:cs="Consolas" w:eastAsia="Consolas" w:hAnsi="Consolas"/>
          <w:b/>
          <w:bCs/>
          <w:color w:val="333333"/>
          <w:sz w:val="19"/>
          <w:szCs w:val="19"/>
        </w:rPr>
        <w:t xml:space="preserve">market_index</w:t>
      </w:r>
      <w:r>
        <w:t xml:space="preserve"> values are filled from other loads of the same date in the same file. This uses no prices, so it cannot leak the answer.</w:t>
      </w:r>
    </w:p>
    <w:p>
      <w:pPr>
        <w:pStyle w:val="ListParagraph"/>
        <w:numPr>
          <w:ilvl w:val="0"/>
          <w:numId w:val="2"/>
        </w:numPr>
        <w:spacing w:before="0" w:after="80"/>
      </w:pPr>
      <w:r>
        <w:rPr>
          <w:b/>
          <w:bCs/>
        </w:rPr>
        <w:t xml:space="preserve">The number of trees</w:t>
      </w:r>
      <w:r>
        <w:t xml:space="preserve"> is chosen without peeking at a single fold: each boosting model grows 3,000 trees once per fold and is scored every 250 trees; the checkpoint with the best </w:t>
      </w:r>
      <w:r>
        <w:rPr>
          <w:i/>
          <w:iCs/>
        </w:rPr>
        <w:t xml:space="preserve">mean</w:t>
      </w:r>
      <w:r>
        <w:t xml:space="preserve"> error over the folds is used for every fold, and the final model scales it to its larger training set.</w:t>
      </w:r>
    </w:p>
    <w:p>
      <w:pPr>
        <w:pStyle w:val="Heading2"/>
      </w:pPr>
      <w:r>
        <w:t xml:space="preserve">Scoring on clean labels</w:t>
      </w:r>
    </w:p>
    <w:p>
      <w:pPr>
        <w:spacing w:before="0" w:after="140"/>
      </w:pPr>
      <w:r>
        <w:t xml:space="preserve">The 1.4% of prices flagged as corrupted are left out when errors are measured, because no model can predict a price recorded at 0.2x or 4x its real value. Both versions are kept in </w:t>
      </w:r>
      <w:r>
        <w:rPr>
          <w:rFonts w:ascii="Consolas" w:cs="Consolas" w:eastAsia="Consolas" w:hAnsi="Consolas"/>
          <w:color w:val="333333"/>
          <w:sz w:val="19"/>
          <w:szCs w:val="19"/>
        </w:rPr>
        <w:t xml:space="preserve">outputs/cv_fold_details.csv</w:t>
      </w:r>
      <w:r>
        <w:t xml:space="preserve">: on all rows, the final model's two-month-ahead error is $88.88 (3.92%) instead of $32.73 (1.39%), and almost the whole difference comes from those 1.4% of loads.</w:t>
      </w:r>
    </w:p>
    <w:p>
      <w:pPr>
        <w:pStyle w:val="Heading2"/>
      </w:pPr>
      <w:r>
        <w:t xml:space="preserve">Cities that never appear in training</w:t>
      </w:r>
    </w:p>
    <w:p>
      <w:pPr>
        <w:spacing w:before="0" w:after="140"/>
      </w:pPr>
      <w:r>
        <w:t xml:space="preserve">1,447 validation loads (12.1%) touch one of 8 cities that never appear in training. To measure the effect, 8 random training cities were removed from the Jan-Aug training data. On the 2,477 Sep-Oct loads that touch them, the error rose from </w:t>
      </w:r>
      <w:r>
        <w:rPr>
          <w:b/>
          <w:bCs/>
        </w:rPr>
        <w:t xml:space="preserve">$33.62 (1.36%)</w:t>
      </w:r>
      <w:r>
        <w:t xml:space="preserve"> when the cities were seen to </w:t>
      </w:r>
      <w:r>
        <w:rPr>
          <w:b/>
          <w:bCs/>
        </w:rPr>
        <w:t xml:space="preserve">$38.60 (1.57%)</w:t>
      </w:r>
      <w:r>
        <w:t xml:space="preserve"> when they were not; all other loads stayed at $32.55. Coordinates recover most, but not all, of a city's price level.</w:t>
      </w:r>
    </w:p>
    <w:p>
      <w:pPr>
        <w:pStyle w:val="Heading1"/>
      </w:pPr>
      <w:r>
        <w:t xml:space="preserve">5. Features</w:t>
      </w:r>
    </w:p>
    <w:p>
      <w:pPr>
        <w:spacing w:before="0" w:after="140"/>
      </w:pPr>
      <w:r>
        <w:t xml:space="preserve">Price is mostly distance x rate per mile, adjusted by equipment, weight, location and date. The 37 engineered features are organised in 12 groups so that a whole idea can be switched off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3775"/>
        <w:gridCol w:w="1166"/>
        <w:gridCol w:w="2299"/>
      </w:tblGrid>
      <w:tr>
        <w:trPr>
          <w:cantSplit/>
          <w:tblHeader/>
        </w:trPr>
        <w:tc>
          <w:tcPr>
            <w:tcW w:type="dxa" w:w="2120"/>
            <w:tcBorders>
              <w:top w:val="single" w:color="C9CED6" w:sz="4"/>
              <w:left w:val="single" w:color="C9CED6" w:sz="4"/>
              <w:bottom w:val="single" w:color="C9CED6" w:sz="4"/>
              <w:right w:val="single" w:color="C9CED6" w:sz="4"/>
            </w:tcBorders>
            <w:shd w:fill="E8EEF5" w:color="auto" w:val="clear"/>
            <w:tcMar>
              <w:top w:type="dxa" w:w="50"/>
              <w:left w:type="dxa" w:w="90"/>
              <w:bottom w:type="dxa" w:w="50"/>
              <w:right w:type="dxa" w:w="90"/>
            </w:tcMar>
          </w:tcPr>
          <w:p>
            <w:pPr>
              <w:spacing w:before="0" w:after="0"/>
              <w:jc w:val="left"/>
            </w:pPr>
            <w:r>
              <w:rPr>
                <w:b/>
                <w:bCs/>
                <w:sz w:val="18"/>
                <w:szCs w:val="18"/>
              </w:rPr>
              <w:t xml:space="preserve">Group</w:t>
            </w:r>
          </w:p>
        </w:tc>
        <w:tc>
          <w:tcPr>
            <w:tcW w:type="dxa" w:w="3775"/>
            <w:tcBorders>
              <w:top w:val="single" w:color="C9CED6" w:sz="4"/>
              <w:left w:val="single" w:color="C9CED6" w:sz="4"/>
              <w:bottom w:val="single" w:color="C9CED6" w:sz="4"/>
              <w:right w:val="single" w:color="C9CED6" w:sz="4"/>
            </w:tcBorders>
            <w:shd w:fill="E8EEF5" w:color="auto" w:val="clear"/>
            <w:tcMar>
              <w:top w:type="dxa" w:w="50"/>
              <w:left w:type="dxa" w:w="90"/>
              <w:bottom w:type="dxa" w:w="50"/>
              <w:right w:type="dxa" w:w="90"/>
            </w:tcMar>
          </w:tcPr>
          <w:p>
            <w:pPr>
              <w:spacing w:before="0" w:after="0"/>
              <w:jc w:val="left"/>
            </w:pPr>
            <w:r>
              <w:rPr>
                <w:b/>
                <w:bCs/>
                <w:sz w:val="18"/>
                <w:szCs w:val="18"/>
              </w:rPr>
              <w:t xml:space="preserve">Features</w:t>
            </w:r>
          </w:p>
        </w:tc>
        <w:tc>
          <w:tcPr>
            <w:tcW w:type="dxa" w:w="1166"/>
            <w:tcBorders>
              <w:top w:val="single" w:color="C9CED6" w:sz="4"/>
              <w:left w:val="single" w:color="C9CED6" w:sz="4"/>
              <w:bottom w:val="single" w:color="C9CED6" w:sz="4"/>
              <w:right w:val="single" w:color="C9CED6" w:sz="4"/>
            </w:tcBorders>
            <w:shd w:fill="E8EEF5" w:color="auto" w:val="clear"/>
            <w:tcMar>
              <w:top w:type="dxa" w:w="50"/>
              <w:left w:type="dxa" w:w="90"/>
              <w:bottom w:type="dxa" w:w="50"/>
              <w:right w:type="dxa" w:w="90"/>
            </w:tcMar>
          </w:tcPr>
          <w:p>
            <w:pPr>
              <w:spacing w:before="0" w:after="0"/>
              <w:jc w:val="left"/>
            </w:pPr>
            <w:r>
              <w:rPr>
                <w:b/>
                <w:bCs/>
                <w:sz w:val="18"/>
                <w:szCs w:val="18"/>
              </w:rPr>
              <w:t xml:space="preserve">In final model?</w:t>
            </w:r>
          </w:p>
        </w:tc>
        <w:tc>
          <w:tcPr>
            <w:tcW w:type="dxa" w:w="2299"/>
            <w:tcBorders>
              <w:top w:val="single" w:color="C9CED6" w:sz="4"/>
              <w:left w:val="single" w:color="C9CED6" w:sz="4"/>
              <w:bottom w:val="single" w:color="C9CED6" w:sz="4"/>
              <w:right w:val="single" w:color="C9CED6" w:sz="4"/>
            </w:tcBorders>
            <w:shd w:fill="E8EEF5" w:color="auto" w:val="clear"/>
            <w:tcMar>
              <w:top w:type="dxa" w:w="50"/>
              <w:left w:type="dxa" w:w="90"/>
              <w:bottom w:type="dxa" w:w="50"/>
              <w:right w:type="dxa" w:w="90"/>
            </w:tcMar>
          </w:tcPr>
          <w:p>
            <w:pPr>
              <w:spacing w:before="0" w:after="0"/>
              <w:jc w:val="left"/>
            </w:pPr>
            <w:r>
              <w:rPr>
                <w:b/>
                <w:bCs/>
                <w:sz w:val="18"/>
                <w:szCs w:val="18"/>
              </w:rPr>
              <w:t xml:space="preserve">Evidence</w:t>
            </w:r>
          </w:p>
        </w:tc>
      </w:tr>
      <w:tr>
        <w:trPr>
          <w:cantSplit/>
          <w:tblHeader w:val="false"/>
        </w:trPr>
        <w:tc>
          <w:tcPr>
            <w:tcW w:type="dxa" w:w="21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distance</w:t>
            </w:r>
          </w:p>
        </w:tc>
        <w:tc>
          <w:tcPr>
            <w:tcW w:type="dxa" w:w="3775"/>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distance, log distance, straight-line miles, road / straight-line ratio</w:t>
            </w:r>
          </w:p>
        </w:tc>
        <w:tc>
          <w:tcPr>
            <w:tcW w:type="dxa" w:w="1166"/>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yes</w:t>
            </w:r>
          </w:p>
        </w:tc>
        <w:tc>
          <w:tcPr>
            <w:tcW w:type="dxa" w:w="2299"/>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the main driver of price</w:t>
            </w:r>
          </w:p>
        </w:tc>
      </w:tr>
      <w:tr>
        <w:trPr>
          <w:cantSplit/>
          <w:tblHeader w:val="false"/>
        </w:trPr>
        <w:tc>
          <w:tcPr>
            <w:tcW w:type="dxa" w:w="21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geography</w:t>
            </w:r>
          </w:p>
        </w:tc>
        <w:tc>
          <w:tcPr>
            <w:tcW w:type="dxa" w:w="3775"/>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pickup and delivery coordinates, direction of travel, midpoint, 8 KMeans regions</w:t>
            </w:r>
          </w:p>
        </w:tc>
        <w:tc>
          <w:tcPr>
            <w:tcW w:type="dxa" w:w="1166"/>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yes</w:t>
            </w:r>
          </w:p>
        </w:tc>
        <w:tc>
          <w:tcPr>
            <w:tcW w:type="dxa" w:w="2299"/>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also prices the 8 unseen cities</w:t>
            </w:r>
          </w:p>
        </w:tc>
      </w:tr>
      <w:tr>
        <w:trPr>
          <w:cantSplit/>
          <w:tblHeader w:val="false"/>
        </w:trPr>
        <w:tc>
          <w:tcPr>
            <w:tcW w:type="dxa" w:w="21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equipment</w:t>
            </w:r>
          </w:p>
        </w:tc>
        <w:tc>
          <w:tcPr>
            <w:tcW w:type="dxa" w:w="3775"/>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reefer, flatbed (dry van is the baseline)</w:t>
            </w:r>
          </w:p>
        </w:tc>
        <w:tc>
          <w:tcPr>
            <w:tcW w:type="dxa" w:w="1166"/>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yes</w:t>
            </w:r>
          </w:p>
        </w:tc>
        <w:tc>
          <w:tcPr>
            <w:tcW w:type="dxa" w:w="2299"/>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~12% / ~8% above dry van</w:t>
            </w:r>
          </w:p>
        </w:tc>
      </w:tr>
      <w:tr>
        <w:trPr>
          <w:cantSplit/>
          <w:tblHeader w:val="false"/>
        </w:trPr>
        <w:tc>
          <w:tcPr>
            <w:tcW w:type="dxa" w:w="21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weight</w:t>
            </w:r>
          </w:p>
        </w:tc>
        <w:tc>
          <w:tcPr>
            <w:tcW w:type="dxa" w:w="3775"/>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weight, missing flag, capped flag, weight x distance</w:t>
            </w:r>
          </w:p>
        </w:tc>
        <w:tc>
          <w:tcPr>
            <w:tcW w:type="dxa" w:w="1166"/>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yes</w:t>
            </w:r>
          </w:p>
        </w:tc>
        <w:tc>
          <w:tcPr>
            <w:tcW w:type="dxa" w:w="2299"/>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~7-8% spread</w:t>
            </w:r>
          </w:p>
        </w:tc>
      </w:tr>
      <w:tr>
        <w:trPr>
          <w:cantSplit/>
          <w:tblHeader w:val="false"/>
        </w:trPr>
        <w:tc>
          <w:tcPr>
            <w:tcW w:type="dxa" w:w="21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market</w:t>
            </w:r>
          </w:p>
        </w:tc>
        <w:tc>
          <w:tcPr>
            <w:tcW w:type="dxa" w:w="3775"/>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rFonts w:ascii="Consolas" w:cs="Consolas" w:eastAsia="Consolas" w:hAnsi="Consolas"/>
                <w:color w:val="333333"/>
                <w:sz w:val="17"/>
                <w:szCs w:val="17"/>
              </w:rPr>
              <w:t xml:space="preserve">market_index</w:t>
            </w:r>
          </w:p>
        </w:tc>
        <w:tc>
          <w:tcPr>
            <w:tcW w:type="dxa" w:w="1166"/>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yes</w:t>
            </w:r>
          </w:p>
        </w:tc>
        <w:tc>
          <w:tcPr>
            <w:tcW w:type="dxa" w:w="2299"/>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elasticity 0.14</w:t>
            </w:r>
          </w:p>
        </w:tc>
      </w:tr>
      <w:tr>
        <w:trPr>
          <w:cantSplit/>
          <w:tblHeader w:val="false"/>
        </w:trPr>
        <w:tc>
          <w:tcPr>
            <w:tcW w:type="dxa" w:w="21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quarter_end</w:t>
            </w:r>
          </w:p>
        </w:tc>
        <w:tc>
          <w:tcPr>
            <w:tcW w:type="dxa" w:w="3775"/>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quarter-end month flag, progress through the month</w:t>
            </w:r>
          </w:p>
        </w:tc>
        <w:tc>
          <w:tcPr>
            <w:tcW w:type="dxa" w:w="1166"/>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yes</w:t>
            </w:r>
          </w:p>
        </w:tc>
        <w:tc>
          <w:tcPr>
            <w:tcW w:type="dxa" w:w="2299"/>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removing it: $48.75 -&gt; $59.87</w:t>
            </w:r>
          </w:p>
        </w:tc>
      </w:tr>
      <w:tr>
        <w:trPr>
          <w:cantSplit/>
          <w:tblHeader w:val="false"/>
        </w:trPr>
        <w:tc>
          <w:tcPr>
            <w:tcW w:type="dxa" w:w="21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time_trend</w:t>
            </w:r>
          </w:p>
        </w:tc>
        <w:tc>
          <w:tcPr>
            <w:tcW w:type="dxa" w:w="3775"/>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months since January 2025</w:t>
            </w:r>
          </w:p>
        </w:tc>
        <w:tc>
          <w:tcPr>
            <w:tcW w:type="dxa" w:w="1166"/>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yes</w:t>
            </w:r>
          </w:p>
        </w:tc>
        <w:tc>
          <w:tcPr>
            <w:tcW w:type="dxa" w:w="2299"/>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removing it: $48.75 -&gt; $60.70</w:t>
            </w:r>
          </w:p>
        </w:tc>
      </w:tr>
      <w:tr>
        <w:trPr>
          <w:cantSplit/>
          <w:tblHeader w:val="false"/>
        </w:trPr>
        <w:tc>
          <w:tcPr>
            <w:tcW w:type="dxa" w:w="21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city_level</w:t>
            </w:r>
          </w:p>
        </w:tc>
        <w:tc>
          <w:tcPr>
            <w:tcW w:type="dxa" w:w="3775"/>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target-encoded city and lane price levels</w:t>
            </w:r>
          </w:p>
        </w:tc>
        <w:tc>
          <w:tcPr>
            <w:tcW w:type="dxa" w:w="1166"/>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no</w:t>
            </w:r>
          </w:p>
        </w:tc>
        <w:tc>
          <w:tcPr>
            <w:tcW w:type="dxa" w:w="2299"/>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model G: $31.96 without vs $32.17 with</w:t>
            </w:r>
          </w:p>
        </w:tc>
      </w:tr>
      <w:tr>
        <w:trPr>
          <w:cantSplit/>
          <w:tblHeader w:val="false"/>
        </w:trPr>
        <w:tc>
          <w:tcPr>
            <w:tcW w:type="dxa" w:w="21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quote_signal</w:t>
            </w:r>
          </w:p>
        </w:tc>
        <w:tc>
          <w:tcPr>
            <w:tcW w:type="dxa" w:w="3775"/>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rFonts w:ascii="Consolas" w:cs="Consolas" w:eastAsia="Consolas" w:hAnsi="Consolas"/>
                <w:color w:val="333333"/>
                <w:sz w:val="17"/>
                <w:szCs w:val="17"/>
              </w:rPr>
              <w:t xml:space="preserve">quote_signal</w:t>
            </w:r>
          </w:p>
        </w:tc>
        <w:tc>
          <w:tcPr>
            <w:tcW w:type="dxa" w:w="1166"/>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no</w:t>
            </w:r>
          </w:p>
        </w:tc>
        <w:tc>
          <w:tcPr>
            <w:tcW w:type="dxa" w:w="2299"/>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removing it: $48.75 -&gt; $44.15</w:t>
            </w:r>
          </w:p>
        </w:tc>
      </w:tr>
      <w:tr>
        <w:trPr>
          <w:cantSplit/>
          <w:tblHeader w:val="false"/>
        </w:trPr>
        <w:tc>
          <w:tcPr>
            <w:tcW w:type="dxa" w:w="21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market_interactions</w:t>
            </w:r>
          </w:p>
        </w:tc>
        <w:tc>
          <w:tcPr>
            <w:tcW w:type="dxa" w:w="3775"/>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market x distance, market x equipment</w:t>
            </w:r>
          </w:p>
        </w:tc>
        <w:tc>
          <w:tcPr>
            <w:tcW w:type="dxa" w:w="1166"/>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no</w:t>
            </w:r>
          </w:p>
        </w:tc>
        <w:tc>
          <w:tcPr>
            <w:tcW w:type="dxa" w:w="2299"/>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removing it: $48.75 -&gt; $46.11</w:t>
            </w:r>
          </w:p>
        </w:tc>
      </w:tr>
      <w:tr>
        <w:trPr>
          <w:cantSplit/>
          <w:tblHeader w:val="false"/>
        </w:trPr>
        <w:tc>
          <w:tcPr>
            <w:tcW w:type="dxa" w:w="21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day_of_week</w:t>
            </w:r>
          </w:p>
        </w:tc>
        <w:tc>
          <w:tcPr>
            <w:tcW w:type="dxa" w:w="3775"/>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day of week, weekend flag</w:t>
            </w:r>
          </w:p>
        </w:tc>
        <w:tc>
          <w:tcPr>
            <w:tcW w:type="dxa" w:w="1166"/>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no</w:t>
            </w:r>
          </w:p>
        </w:tc>
        <w:tc>
          <w:tcPr>
            <w:tcW w:type="dxa" w:w="2299"/>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removing it: $48.75 -&gt; $47.40</w:t>
            </w:r>
          </w:p>
        </w:tc>
      </w:tr>
      <w:tr>
        <w:trPr>
          <w:cantSplit/>
          <w:tblHeader w:val="false"/>
        </w:trPr>
        <w:tc>
          <w:tcPr>
            <w:tcW w:type="dxa" w:w="21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holidays</w:t>
            </w:r>
          </w:p>
        </w:tc>
        <w:tc>
          <w:tcPr>
            <w:tcW w:type="dxa" w:w="3775"/>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holiday week, days to nearest holiday</w:t>
            </w:r>
          </w:p>
        </w:tc>
        <w:tc>
          <w:tcPr>
            <w:tcW w:type="dxa" w:w="1166"/>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no</w:t>
            </w:r>
          </w:p>
        </w:tc>
        <w:tc>
          <w:tcPr>
            <w:tcW w:type="dxa" w:w="2299"/>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removing it: $48.75 -&gt; $47.05</w:t>
            </w:r>
          </w:p>
        </w:tc>
      </w:tr>
    </w:tbl>
    <w:p>
      <w:pPr>
        <w:spacing w:before="0" w:after="80"/>
      </w:pPr>
    </w:p>
    <w:p>
      <w:pPr>
        <w:spacing w:before="0" w:after="140"/>
      </w:pPr>
      <w:r>
        <w:t xml:space="preserve">The feature screen started from LightGBM with all 12 groups (mean MAE $48.75) and removed one optional group at a time. Removing the four groups whose removal helped, all together, brought the error down to </w:t>
      </w:r>
      <w:r>
        <w:rPr>
          <w:b/>
          <w:bCs/>
        </w:rPr>
        <w:t xml:space="preserve">$36.20</w:t>
      </w:r>
      <w:r>
        <w:t xml:space="preserve">:</w:t>
      </w:r>
    </w:p>
    <w:p>
      <w:pPr>
        <w:keepLines/>
        <w:spacing w:before="120" w:after="160"/>
        <w:ind w:left="0"/>
        <w:jc w:val="center"/>
      </w:pPr>
      <w:r>
        <w:drawing>
          <wp:inline distT="0" distB="0" distL="0" distR="0">
            <wp:extent cx="5905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533650"/>
                    </a:xfrm>
                    <a:prstGeom prst="rect">
                      <a:avLst/>
                    </a:prstGeom>
                  </pic:spPr>
                </pic:pic>
              </a:graphicData>
            </a:graphic>
          </wp:inline>
        </w:drawing>
      </w:r>
    </w:p>
    <w:p>
      <w:pPr>
        <w:spacing w:before="0" w:after="140"/>
      </w:pPr>
      <w:r>
        <w:rPr>
          <w:b/>
          <w:bCs/>
        </w:rPr>
        <w:t xml:space="preserve">Why the calendar features look like this.</w:t>
      </w:r>
      <w:r>
        <w:t xml:space="preserve"> Training covers Jan-Oct only, so a month-of-year feature could never learn anything about November or December. Instead, the model uses features whose values do occur in training: the </w:t>
      </w:r>
      <w:r>
        <w:rPr>
          <w:i/>
          <w:iCs/>
        </w:rPr>
        <w:t xml:space="preserve">progress through a quarter-end month</w:t>
      </w:r>
      <w:r>
        <w:t xml:space="preserve"> (December is one, like March, June and September) and a </w:t>
      </w:r>
      <w:r>
        <w:rPr>
          <w:i/>
          <w:iCs/>
        </w:rPr>
        <w:t xml:space="preserve">months-since-start</w:t>
      </w:r>
      <w:r>
        <w:t xml:space="preserve"> trend.</w:t>
      </w:r>
    </w:p>
    <w:p>
      <w:pPr>
        <w:spacing w:before="0" w:after="140"/>
      </w:pPr>
      <w:r>
        <w:rPr>
          <w:b/>
          <w:bCs/>
        </w:rPr>
        <w:t xml:space="preserve">Why </w:t>
      </w:r>
      <w:r>
        <w:rPr>
          <w:rFonts w:ascii="Consolas" w:cs="Consolas" w:eastAsia="Consolas" w:hAnsi="Consolas"/>
          <w:b/>
          <w:bCs/>
          <w:color w:val="333333"/>
          <w:sz w:val="19"/>
          <w:szCs w:val="19"/>
        </w:rPr>
        <w:t xml:space="preserve">quote_signal</w:t>
      </w:r>
      <w:r>
        <w:rPr>
          <w:b/>
          <w:bCs/>
        </w:rPr>
        <w:t xml:space="preserve"> was dropped.</w:t>
      </w:r>
      <w:r>
        <w:t xml:space="preserve"> Its distribution changes from month to month, and in August - the month whose distribution Nov-Dec match - it has no relationship with price. Adding it to the final model type raised the August error from $30.85 to </w:t>
      </w:r>
      <w:r>
        <w:rPr>
          <w:b/>
          <w:bCs/>
        </w:rPr>
        <w:t xml:space="preserve">$39.05</w:t>
      </w:r>
      <w:r>
        <w:t xml:space="preserve">, exactly the failure expected for Nov-Dec.</w:t>
      </w:r>
    </w:p>
    <w:p>
      <w:pPr>
        <w:pStyle w:val="Heading1"/>
      </w:pPr>
      <w:r>
        <w:t xml:space="preserve">6. Models compared</w:t>
      </w:r>
    </w:p>
    <w:p>
      <w:pPr>
        <w:spacing w:before="0" w:after="140"/>
      </w:pPr>
      <w:r>
        <w:t xml:space="preserve">All models predict log(price), so errors are relative (1% off is 1% off for a $300 load and for a $5,000 load). Mean MAE over the four rolling folds, clean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53"/>
        <w:gridCol w:w="820"/>
        <w:gridCol w:w="720"/>
        <w:gridCol w:w="720"/>
        <w:gridCol w:w="720"/>
        <w:gridCol w:w="820"/>
        <w:gridCol w:w="720"/>
        <w:gridCol w:w="1287"/>
      </w:tblGrid>
      <w:tr>
        <w:trPr>
          <w:cantSplit/>
          <w:tblHeader/>
        </w:trPr>
        <w:tc>
          <w:tcPr>
            <w:tcW w:type="dxa" w:w="3553"/>
            <w:tcBorders>
              <w:top w:val="single" w:color="C9CED6" w:sz="4"/>
              <w:left w:val="single" w:color="C9CED6" w:sz="4"/>
              <w:bottom w:val="single" w:color="C9CED6" w:sz="4"/>
              <w:right w:val="single" w:color="C9CED6" w:sz="4"/>
            </w:tcBorders>
            <w:shd w:fill="E8EEF5" w:color="auto" w:val="clear"/>
            <w:tcMar>
              <w:top w:type="dxa" w:w="50"/>
              <w:left w:type="dxa" w:w="90"/>
              <w:bottom w:type="dxa" w:w="50"/>
              <w:right w:type="dxa" w:w="90"/>
            </w:tcMar>
          </w:tcPr>
          <w:p>
            <w:pPr>
              <w:spacing w:before="0" w:after="0"/>
              <w:jc w:val="left"/>
            </w:pPr>
            <w:r>
              <w:rPr>
                <w:b/>
                <w:bCs/>
                <w:sz w:val="18"/>
                <w:szCs w:val="18"/>
              </w:rPr>
              <w:t xml:space="preserve">Model</w:t>
            </w:r>
          </w:p>
        </w:tc>
        <w:tc>
          <w:tcPr>
            <w:tcW w:type="dxa" w:w="820"/>
            <w:tcBorders>
              <w:top w:val="single" w:color="C9CED6" w:sz="4"/>
              <w:left w:val="single" w:color="C9CED6" w:sz="4"/>
              <w:bottom w:val="single" w:color="C9CED6" w:sz="4"/>
              <w:right w:val="single" w:color="C9CED6" w:sz="4"/>
            </w:tcBorders>
            <w:shd w:fill="E8EEF5" w:color="auto" w:val="clear"/>
            <w:tcMar>
              <w:top w:type="dxa" w:w="50"/>
              <w:left w:type="dxa" w:w="90"/>
              <w:bottom w:type="dxa" w:w="50"/>
              <w:right w:type="dxa" w:w="90"/>
            </w:tcMar>
          </w:tcPr>
          <w:p>
            <w:pPr>
              <w:spacing w:before="0" w:after="0"/>
              <w:jc w:val="right"/>
            </w:pPr>
            <w:r>
              <w:rPr>
                <w:b/>
                <w:bCs/>
                <w:sz w:val="18"/>
                <w:szCs w:val="18"/>
              </w:rPr>
              <w:t xml:space="preserve">CV MAE</w:t>
            </w:r>
          </w:p>
        </w:tc>
        <w:tc>
          <w:tcPr>
            <w:tcW w:type="dxa" w:w="720"/>
            <w:tcBorders>
              <w:top w:val="single" w:color="C9CED6" w:sz="4"/>
              <w:left w:val="single" w:color="C9CED6" w:sz="4"/>
              <w:bottom w:val="single" w:color="C9CED6" w:sz="4"/>
              <w:right w:val="single" w:color="C9CED6" w:sz="4"/>
            </w:tcBorders>
            <w:shd w:fill="E8EEF5" w:color="auto" w:val="clear"/>
            <w:tcMar>
              <w:top w:type="dxa" w:w="50"/>
              <w:left w:type="dxa" w:w="90"/>
              <w:bottom w:type="dxa" w:w="50"/>
              <w:right w:type="dxa" w:w="90"/>
            </w:tcMar>
          </w:tcPr>
          <w:p>
            <w:pPr>
              <w:spacing w:before="0" w:after="0"/>
              <w:jc w:val="right"/>
            </w:pPr>
            <w:r>
              <w:rPr>
                <w:b/>
                <w:bCs/>
                <w:sz w:val="18"/>
                <w:szCs w:val="18"/>
              </w:rPr>
              <w:t xml:space="preserve">MAPE</w:t>
            </w:r>
          </w:p>
        </w:tc>
        <w:tc>
          <w:tcPr>
            <w:tcW w:type="dxa" w:w="720"/>
            <w:tcBorders>
              <w:top w:val="single" w:color="C9CED6" w:sz="4"/>
              <w:left w:val="single" w:color="C9CED6" w:sz="4"/>
              <w:bottom w:val="single" w:color="C9CED6" w:sz="4"/>
              <w:right w:val="single" w:color="C9CED6" w:sz="4"/>
            </w:tcBorders>
            <w:shd w:fill="E8EEF5" w:color="auto" w:val="clear"/>
            <w:tcMar>
              <w:top w:type="dxa" w:w="50"/>
              <w:left w:type="dxa" w:w="90"/>
              <w:bottom w:type="dxa" w:w="50"/>
              <w:right w:type="dxa" w:w="90"/>
            </w:tcMar>
          </w:tcPr>
          <w:p>
            <w:pPr>
              <w:spacing w:before="0" w:after="0"/>
              <w:jc w:val="right"/>
            </w:pPr>
            <w:r>
              <w:rPr>
                <w:b/>
                <w:bCs/>
                <w:sz w:val="18"/>
                <w:szCs w:val="18"/>
              </w:rPr>
              <w:t xml:space="preserve">Jul</w:t>
            </w:r>
          </w:p>
        </w:tc>
        <w:tc>
          <w:tcPr>
            <w:tcW w:type="dxa" w:w="720"/>
            <w:tcBorders>
              <w:top w:val="single" w:color="C9CED6" w:sz="4"/>
              <w:left w:val="single" w:color="C9CED6" w:sz="4"/>
              <w:bottom w:val="single" w:color="C9CED6" w:sz="4"/>
              <w:right w:val="single" w:color="C9CED6" w:sz="4"/>
            </w:tcBorders>
            <w:shd w:fill="E8EEF5" w:color="auto" w:val="clear"/>
            <w:tcMar>
              <w:top w:type="dxa" w:w="50"/>
              <w:left w:type="dxa" w:w="90"/>
              <w:bottom w:type="dxa" w:w="50"/>
              <w:right w:type="dxa" w:w="90"/>
            </w:tcMar>
          </w:tcPr>
          <w:p>
            <w:pPr>
              <w:spacing w:before="0" w:after="0"/>
              <w:jc w:val="right"/>
            </w:pPr>
            <w:r>
              <w:rPr>
                <w:b/>
                <w:bCs/>
                <w:sz w:val="18"/>
                <w:szCs w:val="18"/>
              </w:rPr>
              <w:t xml:space="preserve">Aug</w:t>
            </w:r>
          </w:p>
        </w:tc>
        <w:tc>
          <w:tcPr>
            <w:tcW w:type="dxa" w:w="820"/>
            <w:tcBorders>
              <w:top w:val="single" w:color="C9CED6" w:sz="4"/>
              <w:left w:val="single" w:color="C9CED6" w:sz="4"/>
              <w:bottom w:val="single" w:color="C9CED6" w:sz="4"/>
              <w:right w:val="single" w:color="C9CED6" w:sz="4"/>
            </w:tcBorders>
            <w:shd w:fill="E8EEF5" w:color="auto" w:val="clear"/>
            <w:tcMar>
              <w:top w:type="dxa" w:w="50"/>
              <w:left w:type="dxa" w:w="90"/>
              <w:bottom w:type="dxa" w:w="50"/>
              <w:right w:type="dxa" w:w="90"/>
            </w:tcMar>
          </w:tcPr>
          <w:p>
            <w:pPr>
              <w:spacing w:before="0" w:after="0"/>
              <w:jc w:val="right"/>
            </w:pPr>
            <w:r>
              <w:rPr>
                <w:b/>
                <w:bCs/>
                <w:sz w:val="18"/>
                <w:szCs w:val="18"/>
              </w:rPr>
              <w:t xml:space="preserve">Sep</w:t>
            </w:r>
          </w:p>
        </w:tc>
        <w:tc>
          <w:tcPr>
            <w:tcW w:type="dxa" w:w="720"/>
            <w:tcBorders>
              <w:top w:val="single" w:color="C9CED6" w:sz="4"/>
              <w:left w:val="single" w:color="C9CED6" w:sz="4"/>
              <w:bottom w:val="single" w:color="C9CED6" w:sz="4"/>
              <w:right w:val="single" w:color="C9CED6" w:sz="4"/>
            </w:tcBorders>
            <w:shd w:fill="E8EEF5" w:color="auto" w:val="clear"/>
            <w:tcMar>
              <w:top w:type="dxa" w:w="50"/>
              <w:left w:type="dxa" w:w="90"/>
              <w:bottom w:type="dxa" w:w="50"/>
              <w:right w:type="dxa" w:w="90"/>
            </w:tcMar>
          </w:tcPr>
          <w:p>
            <w:pPr>
              <w:spacing w:before="0" w:after="0"/>
              <w:jc w:val="right"/>
            </w:pPr>
            <w:r>
              <w:rPr>
                <w:b/>
                <w:bCs/>
                <w:sz w:val="18"/>
                <w:szCs w:val="18"/>
              </w:rPr>
              <w:t xml:space="preserve">Oct</w:t>
            </w:r>
          </w:p>
        </w:tc>
        <w:tc>
          <w:tcPr>
            <w:tcW w:type="dxa" w:w="1287"/>
            <w:tcBorders>
              <w:top w:val="single" w:color="C9CED6" w:sz="4"/>
              <w:left w:val="single" w:color="C9CED6" w:sz="4"/>
              <w:bottom w:val="single" w:color="C9CED6" w:sz="4"/>
              <w:right w:val="single" w:color="C9CED6" w:sz="4"/>
            </w:tcBorders>
            <w:shd w:fill="E8EEF5" w:color="auto" w:val="clear"/>
            <w:tcMar>
              <w:top w:type="dxa" w:w="50"/>
              <w:left w:type="dxa" w:w="90"/>
              <w:bottom w:type="dxa" w:w="50"/>
              <w:right w:type="dxa" w:w="90"/>
            </w:tcMar>
          </w:tcPr>
          <w:p>
            <w:pPr>
              <w:spacing w:before="0" w:after="0"/>
              <w:jc w:val="right"/>
            </w:pPr>
            <w:r>
              <w:rPr>
                <w:b/>
                <w:bCs/>
                <w:sz w:val="18"/>
                <w:szCs w:val="18"/>
              </w:rPr>
              <w:t xml:space="preserve">Sep-Oct check</w:t>
            </w:r>
          </w:p>
        </w:tc>
      </w:tr>
      <w:tr>
        <w:trPr>
          <w:cantSplit/>
          <w:tblHeader w:val="false"/>
        </w:trPr>
        <w:tc>
          <w:tcPr>
            <w:tcW w:type="dxa" w:w="3553"/>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A - reference-price baseline</w:t>
            </w:r>
          </w:p>
        </w:tc>
        <w:tc>
          <w:tcPr>
            <w:tcW w:type="dxa" w:w="8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$94.56</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4.12%</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73.99</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84.08</w:t>
            </w:r>
          </w:p>
        </w:tc>
        <w:tc>
          <w:tcPr>
            <w:tcW w:type="dxa" w:w="8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132.93</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87.23</w:t>
            </w:r>
          </w:p>
        </w:tc>
        <w:tc>
          <w:tcPr>
            <w:tcW w:type="dxa" w:w="1287"/>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$119.54</w:t>
            </w:r>
          </w:p>
        </w:tc>
      </w:tr>
      <w:tr>
        <w:trPr>
          <w:cantSplit/>
          <w:tblHeader w:val="false"/>
        </w:trPr>
        <w:tc>
          <w:tcPr>
            <w:tcW w:type="dxa" w:w="3553"/>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B - Ridge regression</w:t>
            </w:r>
          </w:p>
        </w:tc>
        <w:tc>
          <w:tcPr>
            <w:tcW w:type="dxa" w:w="8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$36.65</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1.57%</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35.75</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35.16</w:t>
            </w:r>
          </w:p>
        </w:tc>
        <w:tc>
          <w:tcPr>
            <w:tcW w:type="dxa" w:w="8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38.30</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37.38</w:t>
            </w:r>
          </w:p>
        </w:tc>
        <w:tc>
          <w:tcPr>
            <w:tcW w:type="dxa" w:w="1287"/>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$37.75</w:t>
            </w:r>
          </w:p>
        </w:tc>
      </w:tr>
      <w:tr>
        <w:trPr>
          <w:cantSplit/>
          <w:tblHeader w:val="false"/>
        </w:trPr>
        <w:tc>
          <w:tcPr>
            <w:tcW w:type="dxa" w:w="3553"/>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C - LightGBM</w:t>
            </w:r>
          </w:p>
        </w:tc>
        <w:tc>
          <w:tcPr>
            <w:tcW w:type="dxa" w:w="8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$36.20</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1.57%</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33.35</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31.91</w:t>
            </w:r>
          </w:p>
        </w:tc>
        <w:tc>
          <w:tcPr>
            <w:tcW w:type="dxa" w:w="8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34.12</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45.41</w:t>
            </w:r>
          </w:p>
        </w:tc>
        <w:tc>
          <w:tcPr>
            <w:tcW w:type="dxa" w:w="1287"/>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$44.61</w:t>
            </w:r>
          </w:p>
        </w:tc>
      </w:tr>
      <w:tr>
        <w:trPr>
          <w:cantSplit/>
          <w:tblHeader w:val="false"/>
        </w:trPr>
        <w:tc>
          <w:tcPr>
            <w:tcW w:type="dxa" w:w="3553"/>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D - LightGBM, Huber loss, corrupted rows kept</w:t>
            </w:r>
          </w:p>
        </w:tc>
        <w:tc>
          <w:tcPr>
            <w:tcW w:type="dxa" w:w="8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$38.20</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1.68%</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36.17</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34.23</w:t>
            </w:r>
          </w:p>
        </w:tc>
        <w:tc>
          <w:tcPr>
            <w:tcW w:type="dxa" w:w="8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36.36</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46.05</w:t>
            </w:r>
          </w:p>
        </w:tc>
        <w:tc>
          <w:tcPr>
            <w:tcW w:type="dxa" w:w="1287"/>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$46.60</w:t>
            </w:r>
          </w:p>
        </w:tc>
      </w:tr>
      <w:tr>
        <w:trPr>
          <w:cantSplit/>
          <w:tblHeader w:val="false"/>
        </w:trPr>
        <w:tc>
          <w:tcPr>
            <w:tcW w:type="dxa" w:w="3553"/>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E - CatBoost with raw city names</w:t>
            </w:r>
          </w:p>
        </w:tc>
        <w:tc>
          <w:tcPr>
            <w:tcW w:type="dxa" w:w="8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$36.40</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1.57%</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32.74</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30.95</w:t>
            </w:r>
          </w:p>
        </w:tc>
        <w:tc>
          <w:tcPr>
            <w:tcW w:type="dxa" w:w="8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34.15</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47.73</w:t>
            </w:r>
          </w:p>
        </w:tc>
        <w:tc>
          <w:tcPr>
            <w:tcW w:type="dxa" w:w="1287"/>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$44.25</w:t>
            </w:r>
          </w:p>
        </w:tc>
      </w:tr>
      <w:tr>
        <w:trPr>
          <w:cantSplit/>
          <w:tblHeader w:val="false"/>
        </w:trPr>
        <w:tc>
          <w:tcPr>
            <w:tcW w:type="dxa" w:w="3553"/>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F - average of G + C</w:t>
            </w:r>
          </w:p>
        </w:tc>
        <w:tc>
          <w:tcPr>
            <w:tcW w:type="dxa" w:w="8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$32.83</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1.41%</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31.94</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29.60</w:t>
            </w:r>
          </w:p>
        </w:tc>
        <w:tc>
          <w:tcPr>
            <w:tcW w:type="dxa" w:w="8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30.25</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39.55</w:t>
            </w:r>
          </w:p>
        </w:tc>
        <w:tc>
          <w:tcPr>
            <w:tcW w:type="dxa" w:w="1287"/>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$37.02</w:t>
            </w:r>
          </w:p>
        </w:tc>
      </w:tr>
      <w:tr>
        <w:trPr>
          <w:cantSplit/>
          <w:tblHeader w:val="false"/>
        </w:trPr>
        <w:tc>
          <w:tcPr>
            <w:tcW w:type="dxa" w:w="3553"/>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F - average of G + C + E</w:t>
            </w:r>
          </w:p>
        </w:tc>
        <w:tc>
          <w:tcPr>
            <w:tcW w:type="dxa" w:w="8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$33.21</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1.42%</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31.32</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29.18</w:t>
            </w:r>
          </w:p>
        </w:tc>
        <w:tc>
          <w:tcPr>
            <w:tcW w:type="dxa" w:w="8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30.47</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41.85</w:t>
            </w:r>
          </w:p>
        </w:tc>
        <w:tc>
          <w:tcPr>
            <w:tcW w:type="dxa" w:w="1287"/>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$38.66</w:t>
            </w:r>
          </w:p>
        </w:tc>
      </w:tr>
      <w:tr>
        <w:trPr>
          <w:cantSplit/>
          <w:tblHeader w:val="false"/>
        </w:trPr>
        <w:tc>
          <w:tcPr>
            <w:tcW w:type="dxa" w:w="3553"/>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b/>
                <w:bCs/>
                <w:sz w:val="18"/>
                <w:szCs w:val="18"/>
              </w:rPr>
              <w:t xml:space="preserve">G - Ridge, then LightGBM on Ridge's errors</w:t>
            </w:r>
          </w:p>
        </w:tc>
        <w:tc>
          <w:tcPr>
            <w:tcW w:type="dxa" w:w="8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b/>
                <w:bCs/>
                <w:sz w:val="18"/>
                <w:szCs w:val="18"/>
              </w:rPr>
              <w:t xml:space="preserve">$32.17</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b/>
                <w:bCs/>
                <w:sz w:val="18"/>
                <w:szCs w:val="18"/>
              </w:rPr>
              <w:t xml:space="preserve">1.37%</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32.55</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30.85</w:t>
            </w:r>
          </w:p>
        </w:tc>
        <w:tc>
          <w:tcPr>
            <w:tcW w:type="dxa" w:w="8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30.02</w:t>
            </w:r>
          </w:p>
        </w:tc>
        <w:tc>
          <w:tcPr>
            <w:tcW w:type="dxa" w:w="72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b/>
                <w:bCs/>
                <w:sz w:val="18"/>
                <w:szCs w:val="18"/>
              </w:rPr>
              <w:t xml:space="preserve">35.25</w:t>
            </w:r>
          </w:p>
        </w:tc>
        <w:tc>
          <w:tcPr>
            <w:tcW w:type="dxa" w:w="1287"/>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b/>
                <w:bCs/>
                <w:sz w:val="18"/>
                <w:szCs w:val="18"/>
              </w:rPr>
              <w:t xml:space="preserve">$32.78</w:t>
            </w:r>
          </w:p>
        </w:tc>
      </w:tr>
    </w:tbl>
    <w:p>
      <w:pPr>
        <w:spacing w:before="0" w:after="80"/>
      </w:pPr>
    </w:p>
    <w:p>
      <w:pPr>
        <w:keepLines/>
        <w:spacing w:before="120" w:after="160"/>
        <w:ind w:left="0"/>
        <w:jc w:val="center"/>
      </w:pPr>
      <w:r>
        <w:drawing>
          <wp:inline distT="0" distB="0" distL="0" distR="0">
            <wp:extent cx="59055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295650"/>
                    </a:xfrm>
                    <a:prstGeom prst="rect">
                      <a:avLst/>
                    </a:prstGeom>
                  </pic:spPr>
                </pic:pic>
              </a:graphicData>
            </a:graphic>
          </wp:inline>
        </w:drawing>
      </w:r>
    </w:p>
    <w:p>
      <w:pPr>
        <w:spacing w:before="0" w:after="140"/>
      </w:pPr>
      <w:r>
        <w:rPr>
          <w:b/>
          <w:bCs/>
        </w:rPr>
        <w:t xml:space="preserve">What the comparison shows</w:t>
      </w:r>
    </w:p>
    <w:p>
      <w:pPr>
        <w:pStyle w:val="ListParagraph"/>
        <w:numPr>
          <w:ilvl w:val="0"/>
          <w:numId w:val="2"/>
        </w:numPr>
        <w:spacing w:before="0" w:after="80"/>
      </w:pPr>
      <w:r>
        <w:rPr>
          <w:b/>
          <w:bCs/>
        </w:rPr>
        <w:t xml:space="preserve">October is the hard month.</w:t>
      </w:r>
      <w:r>
        <w:t xml:space="preserve"> It starts a new quarter, and prices stepped up. Tree models (C, D, E) can only repeat the last price level they saw, so they missed October by $45-48 per load. Ridge extends the 2025 trend and missed by only $37, but is less precise in the other months.</w:t>
      </w:r>
    </w:p>
    <w:p>
      <w:pPr>
        <w:pStyle w:val="ListParagraph"/>
        <w:numPr>
          <w:ilvl w:val="0"/>
          <w:numId w:val="2"/>
        </w:numPr>
        <w:spacing w:before="0" w:after="80"/>
      </w:pPr>
      <w:r>
        <w:rPr>
          <w:b/>
          <w:bCs/>
        </w:rPr>
        <w:t xml:space="preserve">Model G combines the two strengths.</w:t>
      </w:r>
      <w:r>
        <w:t xml:space="preserve"> Ridge learns the smooth, multiplicative structure and the trend; LightGBM then starts from Ridge's prediction and only learns the corrections (curved distance and weight effects, location details). Its trees are not given the trend feature, so the trend stays linear. G is the most accurate single model, and much steadier from month to month than the pure tree models (spread $2.00 vs $5.38 for LightGBM).</w:t>
      </w:r>
    </w:p>
    <w:p>
      <w:pPr>
        <w:pStyle w:val="ListParagraph"/>
        <w:numPr>
          <w:ilvl w:val="0"/>
          <w:numId w:val="2"/>
        </w:numPr>
        <w:spacing w:before="0" w:after="80"/>
      </w:pPr>
      <w:r>
        <w:rPr>
          <w:b/>
          <w:bCs/>
        </w:rPr>
        <w:t xml:space="preserve">Averaging did not beat G.</w:t>
      </w:r>
      <w:r>
        <w:t xml:space="preserve"> Adding C or E to G helped in Jul-Sep but hurt in October, because the pure tree models pull the forecast back towards the old price level.</w:t>
      </w:r>
    </w:p>
    <w:p>
      <w:pPr>
        <w:pStyle w:val="ListParagraph"/>
        <w:numPr>
          <w:ilvl w:val="0"/>
          <w:numId w:val="2"/>
        </w:numPr>
        <w:spacing w:before="0" w:after="80"/>
      </w:pPr>
      <w:r>
        <w:rPr>
          <w:b/>
          <w:bCs/>
        </w:rPr>
        <w:t xml:space="preserve">Removing the corrupted rows beat keeping them with a robust loss</w:t>
      </w:r>
      <w:r>
        <w:t xml:space="preserve"> (C $36.20 vs D $38.20).</w:t>
      </w:r>
    </w:p>
    <w:p>
      <w:pPr>
        <w:pStyle w:val="Heading2"/>
      </w:pPr>
      <w:r>
        <w:t xml:space="preserve">Fine-tuning the best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37"/>
        <w:gridCol w:w="996"/>
        <w:gridCol w:w="875"/>
        <w:gridCol w:w="875"/>
        <w:gridCol w:w="877"/>
      </w:tblGrid>
      <w:tr>
        <w:trPr>
          <w:cantSplit/>
          <w:tblHeader/>
        </w:trPr>
        <w:tc>
          <w:tcPr>
            <w:tcW w:type="dxa" w:w="5737"/>
            <w:tcBorders>
              <w:top w:val="single" w:color="C9CED6" w:sz="4"/>
              <w:left w:val="single" w:color="C9CED6" w:sz="4"/>
              <w:bottom w:val="single" w:color="C9CED6" w:sz="4"/>
              <w:right w:val="single" w:color="C9CED6" w:sz="4"/>
            </w:tcBorders>
            <w:shd w:fill="E8EEF5" w:color="auto" w:val="clear"/>
            <w:tcMar>
              <w:top w:type="dxa" w:w="50"/>
              <w:left w:type="dxa" w:w="90"/>
              <w:bottom w:type="dxa" w:w="50"/>
              <w:right w:type="dxa" w:w="90"/>
            </w:tcMar>
          </w:tcPr>
          <w:p>
            <w:pPr>
              <w:spacing w:before="0" w:after="0"/>
              <w:jc w:val="left"/>
            </w:pPr>
            <w:r>
              <w:rPr>
                <w:b/>
                <w:bCs/>
                <w:sz w:val="18"/>
                <w:szCs w:val="18"/>
              </w:rPr>
              <w:t xml:space="preserve">Variant of model G</w:t>
            </w:r>
          </w:p>
        </w:tc>
        <w:tc>
          <w:tcPr>
            <w:tcW w:type="dxa" w:w="996"/>
            <w:tcBorders>
              <w:top w:val="single" w:color="C9CED6" w:sz="4"/>
              <w:left w:val="single" w:color="C9CED6" w:sz="4"/>
              <w:bottom w:val="single" w:color="C9CED6" w:sz="4"/>
              <w:right w:val="single" w:color="C9CED6" w:sz="4"/>
            </w:tcBorders>
            <w:shd w:fill="E8EEF5" w:color="auto" w:val="clear"/>
            <w:tcMar>
              <w:top w:type="dxa" w:w="50"/>
              <w:left w:type="dxa" w:w="90"/>
              <w:bottom w:type="dxa" w:w="50"/>
              <w:right w:type="dxa" w:w="90"/>
            </w:tcMar>
          </w:tcPr>
          <w:p>
            <w:pPr>
              <w:spacing w:before="0" w:after="0"/>
              <w:jc w:val="right"/>
            </w:pPr>
            <w:r>
              <w:rPr>
                <w:b/>
                <w:bCs/>
                <w:sz w:val="18"/>
                <w:szCs w:val="18"/>
              </w:rPr>
              <w:t xml:space="preserve">CV MAE</w:t>
            </w:r>
          </w:p>
        </w:tc>
        <w:tc>
          <w:tcPr>
            <w:tcW w:type="dxa" w:w="875"/>
            <w:tcBorders>
              <w:top w:val="single" w:color="C9CED6" w:sz="4"/>
              <w:left w:val="single" w:color="C9CED6" w:sz="4"/>
              <w:bottom w:val="single" w:color="C9CED6" w:sz="4"/>
              <w:right w:val="single" w:color="C9CED6" w:sz="4"/>
            </w:tcBorders>
            <w:shd w:fill="E8EEF5" w:color="auto" w:val="clear"/>
            <w:tcMar>
              <w:top w:type="dxa" w:w="50"/>
              <w:left w:type="dxa" w:w="90"/>
              <w:bottom w:type="dxa" w:w="50"/>
              <w:right w:type="dxa" w:w="90"/>
            </w:tcMar>
          </w:tcPr>
          <w:p>
            <w:pPr>
              <w:spacing w:before="0" w:after="0"/>
              <w:jc w:val="right"/>
            </w:pPr>
            <w:r>
              <w:rPr>
                <w:b/>
                <w:bCs/>
                <w:sz w:val="18"/>
                <w:szCs w:val="18"/>
              </w:rPr>
              <w:t xml:space="preserve">MAPE</w:t>
            </w:r>
          </w:p>
        </w:tc>
        <w:tc>
          <w:tcPr>
            <w:tcW w:type="dxa" w:w="875"/>
            <w:tcBorders>
              <w:top w:val="single" w:color="C9CED6" w:sz="4"/>
              <w:left w:val="single" w:color="C9CED6" w:sz="4"/>
              <w:bottom w:val="single" w:color="C9CED6" w:sz="4"/>
              <w:right w:val="single" w:color="C9CED6" w:sz="4"/>
            </w:tcBorders>
            <w:shd w:fill="E8EEF5" w:color="auto" w:val="clear"/>
            <w:tcMar>
              <w:top w:type="dxa" w:w="50"/>
              <w:left w:type="dxa" w:w="90"/>
              <w:bottom w:type="dxa" w:w="50"/>
              <w:right w:type="dxa" w:w="90"/>
            </w:tcMar>
          </w:tcPr>
          <w:p>
            <w:pPr>
              <w:spacing w:before="0" w:after="0"/>
              <w:jc w:val="right"/>
            </w:pPr>
            <w:r>
              <w:rPr>
                <w:b/>
                <w:bCs/>
                <w:sz w:val="18"/>
                <w:szCs w:val="18"/>
              </w:rPr>
              <w:t xml:space="preserve">Aug</w:t>
            </w:r>
          </w:p>
        </w:tc>
        <w:tc>
          <w:tcPr>
            <w:tcW w:type="dxa" w:w="877"/>
            <w:tcBorders>
              <w:top w:val="single" w:color="C9CED6" w:sz="4"/>
              <w:left w:val="single" w:color="C9CED6" w:sz="4"/>
              <w:bottom w:val="single" w:color="C9CED6" w:sz="4"/>
              <w:right w:val="single" w:color="C9CED6" w:sz="4"/>
            </w:tcBorders>
            <w:shd w:fill="E8EEF5" w:color="auto" w:val="clear"/>
            <w:tcMar>
              <w:top w:type="dxa" w:w="50"/>
              <w:left w:type="dxa" w:w="90"/>
              <w:bottom w:type="dxa" w:w="50"/>
              <w:right w:type="dxa" w:w="90"/>
            </w:tcMar>
          </w:tcPr>
          <w:p>
            <w:pPr>
              <w:spacing w:before="0" w:after="0"/>
              <w:jc w:val="right"/>
            </w:pPr>
            <w:r>
              <w:rPr>
                <w:b/>
                <w:bCs/>
                <w:sz w:val="18"/>
                <w:szCs w:val="18"/>
              </w:rPr>
              <w:t xml:space="preserve">Oct</w:t>
            </w:r>
          </w:p>
        </w:tc>
      </w:tr>
      <w:tr>
        <w:trPr>
          <w:cantSplit/>
          <w:tblHeader w:val="false"/>
        </w:trPr>
        <w:tc>
          <w:tcPr>
            <w:tcW w:type="dxa" w:w="5737"/>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G, as in the comparison</w:t>
            </w:r>
          </w:p>
        </w:tc>
        <w:tc>
          <w:tcPr>
            <w:tcW w:type="dxa" w:w="996"/>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$32.17</w:t>
            </w:r>
          </w:p>
        </w:tc>
        <w:tc>
          <w:tcPr>
            <w:tcW w:type="dxa" w:w="875"/>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1.37%</w:t>
            </w:r>
          </w:p>
        </w:tc>
        <w:tc>
          <w:tcPr>
            <w:tcW w:type="dxa" w:w="875"/>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30.85</w:t>
            </w:r>
          </w:p>
        </w:tc>
        <w:tc>
          <w:tcPr>
            <w:tcW w:type="dxa" w:w="877"/>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35.25</w:t>
            </w:r>
          </w:p>
        </w:tc>
      </w:tr>
      <w:tr>
        <w:trPr>
          <w:cantSplit/>
          <w:tblHeader w:val="false"/>
        </w:trPr>
        <w:tc>
          <w:tcPr>
            <w:tcW w:type="dxa" w:w="5737"/>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without the city target encoding</w:t>
            </w:r>
          </w:p>
        </w:tc>
        <w:tc>
          <w:tcPr>
            <w:tcW w:type="dxa" w:w="996"/>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$31.96</w:t>
            </w:r>
          </w:p>
        </w:tc>
        <w:tc>
          <w:tcPr>
            <w:tcW w:type="dxa" w:w="875"/>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1.37%</w:t>
            </w:r>
          </w:p>
        </w:tc>
        <w:tc>
          <w:tcPr>
            <w:tcW w:type="dxa" w:w="875"/>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30.58</w:t>
            </w:r>
          </w:p>
        </w:tc>
        <w:tc>
          <w:tcPr>
            <w:tcW w:type="dxa" w:w="877"/>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35.46</w:t>
            </w:r>
          </w:p>
        </w:tc>
      </w:tr>
      <w:tr>
        <w:trPr>
          <w:cantSplit/>
          <w:tblHeader w:val="false"/>
        </w:trPr>
        <w:tc>
          <w:tcPr>
            <w:tcW w:type="dxa" w:w="5737"/>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with </w:t>
            </w:r>
            <w:r>
              <w:rPr>
                <w:rFonts w:ascii="Consolas" w:cs="Consolas" w:eastAsia="Consolas" w:hAnsi="Consolas"/>
                <w:color w:val="333333"/>
                <w:sz w:val="17"/>
                <w:szCs w:val="17"/>
              </w:rPr>
              <w:t xml:space="preserve">quote_signal</w:t>
            </w:r>
            <w:r>
              <w:rPr>
                <w:sz w:val="18"/>
                <w:szCs w:val="18"/>
              </w:rPr>
              <w:t xml:space="preserve"> added</w:t>
            </w:r>
          </w:p>
        </w:tc>
        <w:tc>
          <w:tcPr>
            <w:tcW w:type="dxa" w:w="996"/>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$33.30</w:t>
            </w:r>
          </w:p>
        </w:tc>
        <w:tc>
          <w:tcPr>
            <w:tcW w:type="dxa" w:w="875"/>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1.42%</w:t>
            </w:r>
          </w:p>
        </w:tc>
        <w:tc>
          <w:tcPr>
            <w:tcW w:type="dxa" w:w="875"/>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39.05</w:t>
            </w:r>
          </w:p>
        </w:tc>
        <w:tc>
          <w:tcPr>
            <w:tcW w:type="dxa" w:w="877"/>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34.26</w:t>
            </w:r>
          </w:p>
        </w:tc>
      </w:tr>
      <w:tr>
        <w:trPr>
          <w:cantSplit/>
          <w:tblHeader w:val="false"/>
        </w:trPr>
        <w:tc>
          <w:tcPr>
            <w:tcW w:type="dxa" w:w="5737"/>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target = $ per mile</w:t>
            </w:r>
          </w:p>
        </w:tc>
        <w:tc>
          <w:tcPr>
            <w:tcW w:type="dxa" w:w="996"/>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$33.46</w:t>
            </w:r>
          </w:p>
        </w:tc>
        <w:tc>
          <w:tcPr>
            <w:tcW w:type="dxa" w:w="875"/>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1.41%</w:t>
            </w:r>
          </w:p>
        </w:tc>
        <w:tc>
          <w:tcPr>
            <w:tcW w:type="dxa" w:w="875"/>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33.90</w:t>
            </w:r>
          </w:p>
        </w:tc>
        <w:tc>
          <w:tcPr>
            <w:tcW w:type="dxa" w:w="877"/>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34.06</w:t>
            </w:r>
          </w:p>
        </w:tc>
      </w:tr>
      <w:tr>
        <w:trPr>
          <w:cantSplit/>
          <w:tblHeader w:val="false"/>
        </w:trPr>
        <w:tc>
          <w:tcPr>
            <w:tcW w:type="dxa" w:w="5737"/>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target = raw dollars</w:t>
            </w:r>
          </w:p>
        </w:tc>
        <w:tc>
          <w:tcPr>
            <w:tcW w:type="dxa" w:w="996"/>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$43.53</w:t>
            </w:r>
          </w:p>
        </w:tc>
        <w:tc>
          <w:tcPr>
            <w:tcW w:type="dxa" w:w="875"/>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2.58%</w:t>
            </w:r>
          </w:p>
        </w:tc>
        <w:tc>
          <w:tcPr>
            <w:tcW w:type="dxa" w:w="875"/>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42.02</w:t>
            </w:r>
          </w:p>
        </w:tc>
        <w:tc>
          <w:tcPr>
            <w:tcW w:type="dxa" w:w="877"/>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48.59</w:t>
            </w:r>
          </w:p>
        </w:tc>
      </w:tr>
      <w:tr>
        <w:trPr>
          <w:cantSplit/>
          <w:tblHeader w:val="false"/>
        </w:trPr>
        <w:tc>
          <w:tcPr>
            <w:tcW w:type="dxa" w:w="5737"/>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without city encoding, </w:t>
            </w:r>
            <w:r>
              <w:rPr>
                <w:rFonts w:ascii="Consolas" w:cs="Consolas" w:eastAsia="Consolas" w:hAnsi="Consolas"/>
                <w:color w:val="333333"/>
                <w:sz w:val="17"/>
                <w:szCs w:val="17"/>
              </w:rPr>
              <w:t xml:space="preserve">num_leaves</w:t>
            </w:r>
            <w:r>
              <w:rPr>
                <w:sz w:val="18"/>
                <w:szCs w:val="18"/>
              </w:rPr>
              <w:t xml:space="preserve"> = 15</w:t>
            </w:r>
          </w:p>
        </w:tc>
        <w:tc>
          <w:tcPr>
            <w:tcW w:type="dxa" w:w="996"/>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$31.88</w:t>
            </w:r>
          </w:p>
        </w:tc>
        <w:tc>
          <w:tcPr>
            <w:tcW w:type="dxa" w:w="875"/>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1.36%</w:t>
            </w:r>
          </w:p>
        </w:tc>
        <w:tc>
          <w:tcPr>
            <w:tcW w:type="dxa" w:w="875"/>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30.41</w:t>
            </w:r>
          </w:p>
        </w:tc>
        <w:tc>
          <w:tcPr>
            <w:tcW w:type="dxa" w:w="877"/>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35.43</w:t>
            </w:r>
          </w:p>
        </w:tc>
      </w:tr>
      <w:tr>
        <w:trPr>
          <w:cantSplit/>
          <w:tblHeader w:val="false"/>
        </w:trPr>
        <w:tc>
          <w:tcPr>
            <w:tcW w:type="dxa" w:w="5737"/>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without city encoding, </w:t>
            </w:r>
            <w:r>
              <w:rPr>
                <w:rFonts w:ascii="Consolas" w:cs="Consolas" w:eastAsia="Consolas" w:hAnsi="Consolas"/>
                <w:color w:val="333333"/>
                <w:sz w:val="17"/>
                <w:szCs w:val="17"/>
              </w:rPr>
              <w:t xml:space="preserve">num_leaves</w:t>
            </w:r>
            <w:r>
              <w:rPr>
                <w:sz w:val="18"/>
                <w:szCs w:val="18"/>
              </w:rPr>
              <w:t xml:space="preserve"> = 63</w:t>
            </w:r>
          </w:p>
        </w:tc>
        <w:tc>
          <w:tcPr>
            <w:tcW w:type="dxa" w:w="996"/>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$32.14</w:t>
            </w:r>
          </w:p>
        </w:tc>
        <w:tc>
          <w:tcPr>
            <w:tcW w:type="dxa" w:w="875"/>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1.37%</w:t>
            </w:r>
          </w:p>
        </w:tc>
        <w:tc>
          <w:tcPr>
            <w:tcW w:type="dxa" w:w="875"/>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30.64</w:t>
            </w:r>
          </w:p>
        </w:tc>
        <w:tc>
          <w:tcPr>
            <w:tcW w:type="dxa" w:w="877"/>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35.63</w:t>
            </w:r>
          </w:p>
        </w:tc>
      </w:tr>
      <w:tr>
        <w:trPr>
          <w:cantSplit/>
          <w:tblHeader w:val="false"/>
        </w:trPr>
        <w:tc>
          <w:tcPr>
            <w:tcW w:type="dxa" w:w="5737"/>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without city encoding, </w:t>
            </w:r>
            <w:r>
              <w:rPr>
                <w:rFonts w:ascii="Consolas" w:cs="Consolas" w:eastAsia="Consolas" w:hAnsi="Consolas"/>
                <w:color w:val="333333"/>
                <w:sz w:val="17"/>
                <w:szCs w:val="17"/>
              </w:rPr>
              <w:t xml:space="preserve">num_leaves</w:t>
            </w:r>
            <w:r>
              <w:rPr>
                <w:sz w:val="18"/>
                <w:szCs w:val="18"/>
              </w:rPr>
              <w:t xml:space="preserve"> = 127</w:t>
            </w:r>
          </w:p>
        </w:tc>
        <w:tc>
          <w:tcPr>
            <w:tcW w:type="dxa" w:w="996"/>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$32.33</w:t>
            </w:r>
          </w:p>
        </w:tc>
        <w:tc>
          <w:tcPr>
            <w:tcW w:type="dxa" w:w="875"/>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1.38%</w:t>
            </w:r>
          </w:p>
        </w:tc>
        <w:tc>
          <w:tcPr>
            <w:tcW w:type="dxa" w:w="875"/>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30.79</w:t>
            </w:r>
          </w:p>
        </w:tc>
        <w:tc>
          <w:tcPr>
            <w:tcW w:type="dxa" w:w="877"/>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35.77</w:t>
            </w:r>
          </w:p>
        </w:tc>
      </w:tr>
      <w:tr>
        <w:trPr>
          <w:cantSplit/>
          <w:tblHeader w:val="false"/>
        </w:trPr>
        <w:tc>
          <w:tcPr>
            <w:tcW w:type="dxa" w:w="5737"/>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b/>
                <w:bCs/>
                <w:sz w:val="18"/>
                <w:szCs w:val="18"/>
              </w:rPr>
              <w:t xml:space="preserve">without city encoding, </w:t>
            </w:r>
            <w:r>
              <w:rPr>
                <w:rFonts w:ascii="Consolas" w:cs="Consolas" w:eastAsia="Consolas" w:hAnsi="Consolas"/>
                <w:b/>
                <w:bCs/>
                <w:color w:val="333333"/>
                <w:sz w:val="17"/>
                <w:szCs w:val="17"/>
              </w:rPr>
              <w:t xml:space="preserve">max_bin</w:t>
            </w:r>
            <w:r>
              <w:rPr>
                <w:b/>
                <w:bCs/>
                <w:sz w:val="18"/>
                <w:szCs w:val="18"/>
              </w:rPr>
              <w:t xml:space="preserve"> = 1023 (final)</w:t>
            </w:r>
          </w:p>
        </w:tc>
        <w:tc>
          <w:tcPr>
            <w:tcW w:type="dxa" w:w="996"/>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b/>
                <w:bCs/>
                <w:sz w:val="18"/>
                <w:szCs w:val="18"/>
              </w:rPr>
              <w:t xml:space="preserve">$31.86</w:t>
            </w:r>
          </w:p>
        </w:tc>
        <w:tc>
          <w:tcPr>
            <w:tcW w:type="dxa" w:w="875"/>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b/>
                <w:bCs/>
                <w:sz w:val="18"/>
                <w:szCs w:val="18"/>
              </w:rPr>
              <w:t xml:space="preserve">1.36%</w:t>
            </w:r>
          </w:p>
        </w:tc>
        <w:tc>
          <w:tcPr>
            <w:tcW w:type="dxa" w:w="875"/>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30.41</w:t>
            </w:r>
          </w:p>
        </w:tc>
        <w:tc>
          <w:tcPr>
            <w:tcW w:type="dxa" w:w="877"/>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35.44</w:t>
            </w:r>
          </w:p>
        </w:tc>
      </w:tr>
    </w:tbl>
    <w:p>
      <w:pPr>
        <w:spacing w:before="0" w:after="80"/>
      </w:pPr>
    </w:p>
    <w:p>
      <w:pPr>
        <w:pStyle w:val="ListParagraph"/>
        <w:numPr>
          <w:ilvl w:val="0"/>
          <w:numId w:val="2"/>
        </w:numPr>
        <w:spacing w:before="0" w:after="80"/>
      </w:pPr>
      <w:r>
        <w:t xml:space="preserve">The </w:t>
      </w:r>
      <w:r>
        <w:rPr>
          <w:b/>
          <w:bCs/>
        </w:rPr>
        <w:t xml:space="preserve">log target</w:t>
      </w:r>
      <w:r>
        <w:t xml:space="preserve"> clearly beats $ per mile and raw dollars.</w:t>
      </w:r>
    </w:p>
    <w:p>
      <w:pPr>
        <w:pStyle w:val="ListParagraph"/>
        <w:numPr>
          <w:ilvl w:val="0"/>
          <w:numId w:val="2"/>
        </w:numPr>
        <w:spacing w:before="0" w:after="80"/>
      </w:pPr>
      <w:r>
        <w:rPr>
          <w:b/>
          <w:bCs/>
        </w:rPr>
        <w:t xml:space="preserve">The city target encoding is not needed.</w:t>
      </w:r>
      <w:r>
        <w:t xml:space="preserve"> City price levels follow location so closely that the coordinates already carry them, so the simpler model without it was kept.</w:t>
      </w:r>
    </w:p>
    <w:p>
      <w:pPr>
        <w:pStyle w:val="ListParagraph"/>
        <w:numPr>
          <w:ilvl w:val="0"/>
          <w:numId w:val="2"/>
        </w:numPr>
        <w:spacing w:before="0" w:after="80"/>
      </w:pPr>
      <w:r>
        <w:rPr>
          <w:b/>
          <w:bCs/>
        </w:rPr>
        <w:t xml:space="preserve">Tuning changed the error by at most about 1%</w:t>
      </w:r>
      <w:r>
        <w:t xml:space="preserve">, and the winning setting was only 0.3% better than the untuned model - within noise. </w:t>
      </w:r>
      <w:r>
        <w:rPr>
          <w:rFonts w:ascii="Consolas" w:cs="Consolas" w:eastAsia="Consolas" w:hAnsi="Consolas"/>
          <w:color w:val="333333"/>
          <w:sz w:val="19"/>
          <w:szCs w:val="19"/>
        </w:rPr>
        <w:t xml:space="preserve">max_bin</w:t>
      </w:r>
      <w:r>
        <w:t xml:space="preserve"> = 1023 won by the selection rule; the default settings would be practically as good.</w:t>
      </w:r>
    </w:p>
    <w:p>
      <w:pPr>
        <w:pStyle w:val="Heading1"/>
      </w:pPr>
      <w:r>
        <w:t xml:space="preserve">7. The final model</w:t>
      </w:r>
    </w:p>
    <w:p>
      <w:pPr>
        <w:spacing w:before="0" w:after="140"/>
      </w:pPr>
      <w:r>
        <w:rPr>
          <w:b/>
          <w:bCs/>
        </w:rPr>
        <w:t xml:space="preserve">Model G: Ridge regression followed by LightGBM trained on Ridge's errors, on log(price), without the city target encoding, </w:t>
      </w:r>
      <w:r>
        <w:rPr>
          <w:rFonts w:ascii="Consolas" w:cs="Consolas" w:eastAsia="Consolas" w:hAnsi="Consolas"/>
          <w:b/>
          <w:bCs/>
          <w:color w:val="333333"/>
          <w:sz w:val="19"/>
          <w:szCs w:val="19"/>
        </w:rPr>
        <w:t xml:space="preserve">max_bin</w:t>
      </w:r>
      <w:r>
        <w:rPr>
          <w:b/>
          <w:bCs/>
        </w:rPr>
        <w:t xml:space="preserve"> = 1023.</w:t>
      </w:r>
      <w:r>
        <w:t xml:space="preserve"> It was retrained on all 47,323 clean Jan-Oct loads.</w:t>
      </w:r>
    </w:p>
    <w:p>
      <w:pPr>
        <w:tabs>
          <w:tab w:val="left" w:pos="360"/>
        </w:tabs>
        <w:spacing w:before="0" w:after="80"/>
        <w:ind w:left="360" w:hanging="300"/>
      </w:pPr>
      <w:r>
        <w:t xml:space="preserve">1.	</w:t>
      </w:r>
      <w:r>
        <w:rPr>
          <w:b/>
          <w:bCs/>
        </w:rPr>
        <w:t xml:space="preserve">Ridge regression</w:t>
      </w:r>
      <w:r>
        <w:t xml:space="preserve"> (alpha = 1.0) uses all 26 features of the 7 kept groups (numbers scaled, regions one-hot encoded). It learns, for example, that prices rise about </w:t>
      </w:r>
      <w:r>
        <w:rPr>
          <w:b/>
          <w:bCs/>
        </w:rPr>
        <w:t xml:space="preserve">0.6% per month</w:t>
      </w:r>
      <w:r>
        <w:t xml:space="preserve"> (the trend), about </w:t>
      </w:r>
      <w:r>
        <w:rPr>
          <w:b/>
          <w:bCs/>
        </w:rPr>
        <w:t xml:space="preserve">4.6% through a quarter-end month</w:t>
      </w:r>
      <w:r>
        <w:t xml:space="preserve">, and with an elasticity of </w:t>
      </w:r>
      <w:r>
        <w:rPr>
          <w:b/>
          <w:bCs/>
        </w:rPr>
        <w:t xml:space="preserve">0.14</w:t>
      </w:r>
      <w:r>
        <w:t xml:space="preserve"> to </w:t>
      </w:r>
      <w:r>
        <w:rPr>
          <w:rFonts w:ascii="Consolas" w:cs="Consolas" w:eastAsia="Consolas" w:hAnsi="Consolas"/>
          <w:color w:val="333333"/>
          <w:sz w:val="19"/>
          <w:szCs w:val="19"/>
        </w:rPr>
        <w:t xml:space="preserve">market_index</w:t>
      </w:r>
      <w:r>
        <w:t xml:space="preserve">.</w:t>
      </w:r>
    </w:p>
    <w:p>
      <w:pPr>
        <w:tabs>
          <w:tab w:val="left" w:pos="360"/>
        </w:tabs>
        <w:spacing w:before="0" w:after="80"/>
        <w:ind w:left="360" w:hanging="300"/>
      </w:pPr>
      <w:r>
        <w:t xml:space="preserve">2.	</w:t>
      </w:r>
      <w:r>
        <w:rPr>
          <w:b/>
          <w:bCs/>
        </w:rPr>
        <w:t xml:space="preserve">LightGBM</w:t>
      </w:r>
      <w:r>
        <w:t xml:space="preserve"> (learning rate 0.05, 31 leaves, </w:t>
      </w:r>
      <w:r>
        <w:rPr>
          <w:rFonts w:ascii="Consolas" w:cs="Consolas" w:eastAsia="Consolas" w:hAnsi="Consolas"/>
          <w:color w:val="333333"/>
          <w:sz w:val="19"/>
          <w:szCs w:val="19"/>
        </w:rPr>
        <w:t xml:space="preserve">max_bin</w:t>
      </w:r>
      <w:r>
        <w:t xml:space="preserve"> 1023) starts from Ridge's prediction and grows </w:t>
      </w:r>
      <w:r>
        <w:rPr>
          <w:b/>
          <w:bCs/>
        </w:rPr>
        <w:t xml:space="preserve">2,330 trees</w:t>
      </w:r>
      <w:r>
        <w:t xml:space="preserve"> - the 1,750 chosen by cross-validation, scaled up for the larger training set - on the same features except the trend.</w:t>
      </w:r>
    </w:p>
    <w:p>
      <w:pPr>
        <w:tabs>
          <w:tab w:val="left" w:pos="360"/>
        </w:tabs>
        <w:spacing w:before="0" w:after="80"/>
        <w:ind w:left="360" w:hanging="300"/>
      </w:pPr>
      <w:r>
        <w:t xml:space="preserve">3.	</w:t>
      </w:r>
      <w:r>
        <w:rPr>
          <w:b/>
          <w:bCs/>
        </w:rPr>
        <w:t xml:space="preserve">Prediction</w:t>
      </w:r>
      <w:r>
        <w:t xml:space="preserve"> = exp(Ridge output + tree correction), in dollars.</w:t>
      </w:r>
    </w:p>
    <w:p>
      <w:pPr>
        <w:spacing w:before="0" w:after="140"/>
      </w:pPr>
      <w:r>
        <w:rPr>
          <w:b/>
          <w:bCs/>
        </w:rPr>
        <w:t xml:space="preserve">Why this model</w:t>
      </w:r>
    </w:p>
    <w:p>
      <w:pPr>
        <w:pStyle w:val="ListParagraph"/>
        <w:numPr>
          <w:ilvl w:val="0"/>
          <w:numId w:val="2"/>
        </w:numPr>
        <w:spacing w:before="0" w:after="80"/>
      </w:pPr>
      <w:r>
        <w:t xml:space="preserve">It has the lowest mean error over the rolling folds, and it is accurate in every month - including October, where the pure tree models failed.</w:t>
      </w:r>
    </w:p>
    <w:p>
      <w:pPr>
        <w:pStyle w:val="ListParagraph"/>
        <w:numPr>
          <w:ilvl w:val="0"/>
          <w:numId w:val="2"/>
        </w:numPr>
        <w:spacing w:before="0" w:after="80"/>
      </w:pPr>
      <w:r>
        <w:t xml:space="preserve">It fits the forecasting problem: decision trees cannot extend a trend beyond the last month they saw, a linear model can, and G lets each part do what it is good at.</w:t>
      </w:r>
    </w:p>
    <w:p>
      <w:pPr>
        <w:pStyle w:val="ListParagraph"/>
        <w:numPr>
          <w:ilvl w:val="0"/>
          <w:numId w:val="2"/>
        </w:numPr>
        <w:spacing w:before="0" w:after="80"/>
      </w:pPr>
      <w:r>
        <w:t xml:space="preserve">It stays easy to explain: a linear price model plus learned corrections.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21"/>
        <w:gridCol w:w="2610"/>
        <w:gridCol w:w="2729"/>
      </w:tblGrid>
      <w:tr>
        <w:trPr>
          <w:cantSplit/>
          <w:tblHeader/>
        </w:trPr>
        <w:tc>
          <w:tcPr>
            <w:tcW w:type="dxa" w:w="4021"/>
            <w:tcBorders>
              <w:top w:val="single" w:color="C9CED6" w:sz="4"/>
              <w:left w:val="single" w:color="C9CED6" w:sz="4"/>
              <w:bottom w:val="single" w:color="C9CED6" w:sz="4"/>
              <w:right w:val="single" w:color="C9CED6" w:sz="4"/>
            </w:tcBorders>
            <w:shd w:fill="E8EEF5" w:color="auto" w:val="clear"/>
            <w:tcMar>
              <w:top w:type="dxa" w:w="50"/>
              <w:left w:type="dxa" w:w="90"/>
              <w:bottom w:type="dxa" w:w="50"/>
              <w:right w:type="dxa" w:w="90"/>
            </w:tcMar>
          </w:tcPr>
          <w:p>
            <w:pPr>
              <w:spacing w:before="0" w:after="0"/>
              <w:jc w:val="left"/>
            </w:pPr>
            <w:r>
              <w:rPr>
                <w:b/>
                <w:bCs/>
                <w:sz w:val="18"/>
                <w:szCs w:val="18"/>
              </w:rPr>
              <w:t xml:space="preserve">Metric</w:t>
            </w:r>
          </w:p>
        </w:tc>
        <w:tc>
          <w:tcPr>
            <w:tcW w:type="dxa" w:w="2610"/>
            <w:tcBorders>
              <w:top w:val="single" w:color="C9CED6" w:sz="4"/>
              <w:left w:val="single" w:color="C9CED6" w:sz="4"/>
              <w:bottom w:val="single" w:color="C9CED6" w:sz="4"/>
              <w:right w:val="single" w:color="C9CED6" w:sz="4"/>
            </w:tcBorders>
            <w:shd w:fill="E8EEF5" w:color="auto" w:val="clear"/>
            <w:tcMar>
              <w:top w:type="dxa" w:w="50"/>
              <w:left w:type="dxa" w:w="90"/>
              <w:bottom w:type="dxa" w:w="50"/>
              <w:right w:type="dxa" w:w="90"/>
            </w:tcMar>
          </w:tcPr>
          <w:p>
            <w:pPr>
              <w:spacing w:before="0" w:after="0"/>
              <w:jc w:val="right"/>
            </w:pPr>
            <w:r>
              <w:rPr>
                <w:b/>
                <w:bCs/>
                <w:sz w:val="18"/>
                <w:szCs w:val="18"/>
              </w:rPr>
              <w:t xml:space="preserve">Rolling folds (mean)</w:t>
            </w:r>
          </w:p>
        </w:tc>
        <w:tc>
          <w:tcPr>
            <w:tcW w:type="dxa" w:w="2729"/>
            <w:tcBorders>
              <w:top w:val="single" w:color="C9CED6" w:sz="4"/>
              <w:left w:val="single" w:color="C9CED6" w:sz="4"/>
              <w:bottom w:val="single" w:color="C9CED6" w:sz="4"/>
              <w:right w:val="single" w:color="C9CED6" w:sz="4"/>
            </w:tcBorders>
            <w:shd w:fill="E8EEF5" w:color="auto" w:val="clear"/>
            <w:tcMar>
              <w:top w:type="dxa" w:w="50"/>
              <w:left w:type="dxa" w:w="90"/>
              <w:bottom w:type="dxa" w:w="50"/>
              <w:right w:type="dxa" w:w="90"/>
            </w:tcMar>
          </w:tcPr>
          <w:p>
            <w:pPr>
              <w:spacing w:before="0" w:after="0"/>
              <w:jc w:val="right"/>
            </w:pPr>
            <w:r>
              <w:rPr>
                <w:b/>
                <w:bCs/>
                <w:sz w:val="18"/>
                <w:szCs w:val="18"/>
              </w:rPr>
              <w:t xml:space="preserve">Two-month-ahead check</w:t>
            </w:r>
          </w:p>
        </w:tc>
      </w:tr>
      <w:tr>
        <w:trPr>
          <w:cantSplit/>
          <w:tblHeader w:val="false"/>
        </w:trPr>
        <w:tc>
          <w:tcPr>
            <w:tcW w:type="dxa" w:w="4021"/>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MAE</w:t>
            </w:r>
          </w:p>
        </w:tc>
        <w:tc>
          <w:tcPr>
            <w:tcW w:type="dxa" w:w="261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$31.86</w:t>
            </w:r>
          </w:p>
        </w:tc>
        <w:tc>
          <w:tcPr>
            <w:tcW w:type="dxa" w:w="2729"/>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$32.73</w:t>
            </w:r>
          </w:p>
        </w:tc>
      </w:tr>
      <w:tr>
        <w:trPr>
          <w:cantSplit/>
          <w:tblHeader w:val="false"/>
        </w:trPr>
        <w:tc>
          <w:tcPr>
            <w:tcW w:type="dxa" w:w="4021"/>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RMSE</w:t>
            </w:r>
          </w:p>
        </w:tc>
        <w:tc>
          <w:tcPr>
            <w:tcW w:type="dxa" w:w="261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$45.96</w:t>
            </w:r>
          </w:p>
        </w:tc>
        <w:tc>
          <w:tcPr>
            <w:tcW w:type="dxa" w:w="2729"/>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$47.45</w:t>
            </w:r>
          </w:p>
        </w:tc>
      </w:tr>
      <w:tr>
        <w:trPr>
          <w:cantSplit/>
          <w:tblHeader w:val="false"/>
        </w:trPr>
        <w:tc>
          <w:tcPr>
            <w:tcW w:type="dxa" w:w="4021"/>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MAPE</w:t>
            </w:r>
          </w:p>
        </w:tc>
        <w:tc>
          <w:tcPr>
            <w:tcW w:type="dxa" w:w="261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1.36%</w:t>
            </w:r>
          </w:p>
        </w:tc>
        <w:tc>
          <w:tcPr>
            <w:tcW w:type="dxa" w:w="2729"/>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1.39%</w:t>
            </w:r>
          </w:p>
        </w:tc>
      </w:tr>
      <w:tr>
        <w:trPr>
          <w:cantSplit/>
          <w:tblHeader w:val="false"/>
        </w:trPr>
        <w:tc>
          <w:tcPr>
            <w:tcW w:type="dxa" w:w="4021"/>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Median absolute % error</w:t>
            </w:r>
          </w:p>
        </w:tc>
        <w:tc>
          <w:tcPr>
            <w:tcW w:type="dxa" w:w="261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1.16%</w:t>
            </w:r>
          </w:p>
        </w:tc>
        <w:tc>
          <w:tcPr>
            <w:tcW w:type="dxa" w:w="2729"/>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1.18%</w:t>
            </w:r>
          </w:p>
        </w:tc>
      </w:tr>
      <w:tr>
        <w:trPr>
          <w:cantSplit/>
          <w:tblHeader w:val="false"/>
        </w:trPr>
        <w:tc>
          <w:tcPr>
            <w:tcW w:type="dxa" w:w="4021"/>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R2</w:t>
            </w:r>
          </w:p>
        </w:tc>
        <w:tc>
          <w:tcPr>
            <w:tcW w:type="dxa" w:w="261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0.9989</w:t>
            </w:r>
          </w:p>
        </w:tc>
        <w:tc>
          <w:tcPr>
            <w:tcW w:type="dxa" w:w="2729"/>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0.9988</w:t>
            </w:r>
          </w:p>
        </w:tc>
      </w:tr>
      <w:tr>
        <w:trPr>
          <w:cantSplit/>
          <w:tblHeader w:val="false"/>
        </w:trPr>
        <w:tc>
          <w:tcPr>
            <w:tcW w:type="dxa" w:w="4021"/>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left"/>
            </w:pPr>
            <w:r>
              <w:rPr>
                <w:sz w:val="18"/>
                <w:szCs w:val="18"/>
              </w:rPr>
              <w:t xml:space="preserve">Bias (total predicted vs actual)</w:t>
            </w:r>
          </w:p>
        </w:tc>
        <w:tc>
          <w:tcPr>
            <w:tcW w:type="dxa" w:w="2610"/>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+0.04%</w:t>
            </w:r>
          </w:p>
        </w:tc>
        <w:tc>
          <w:tcPr>
            <w:tcW w:type="dxa" w:w="2729"/>
            <w:tcBorders>
              <w:top w:val="single" w:color="C9CED6" w:sz="4"/>
              <w:left w:val="single" w:color="C9CED6" w:sz="4"/>
              <w:bottom w:val="single" w:color="C9CED6" w:sz="4"/>
              <w:right w:val="single" w:color="C9CED6" w:sz="4"/>
            </w:tcBorders>
            <w:tcMar>
              <w:top w:type="dxa" w:w="50"/>
              <w:left w:type="dxa" w:w="90"/>
              <w:bottom w:type="dxa" w:w="50"/>
              <w:right w:type="dxa" w:w="90"/>
            </w:tcMar>
          </w:tcPr>
          <w:p>
            <w:pPr>
              <w:spacing w:before="0" w:after="0"/>
              <w:jc w:val="right"/>
            </w:pPr>
            <w:r>
              <w:rPr>
                <w:sz w:val="18"/>
                <w:szCs w:val="18"/>
              </w:rPr>
              <w:t xml:space="preserve">-0.44%</w:t>
            </w:r>
          </w:p>
        </w:tc>
      </w:tr>
    </w:tbl>
    <w:p>
      <w:pPr>
        <w:spacing w:before="0" w:after="80"/>
      </w:pPr>
    </w:p>
    <w:p>
      <w:pPr>
        <w:spacing w:before="0" w:after="140"/>
      </w:pPr>
      <w:r>
        <w:t xml:space="preserve">By month: July $31.87, August $30.41, September $29.73, October $35.44.</w:t>
      </w:r>
    </w:p>
    <w:p>
      <w:pPr>
        <w:spacing w:before="0" w:after="140"/>
      </w:pPr>
      <w:r>
        <w:rPr>
          <w:b/>
          <w:bCs/>
        </w:rPr>
        <w:t xml:space="preserve">What the model relies on.</w:t>
      </w:r>
      <w:r>
        <w:t xml:space="preserve"> Shuffling one feature group at a time on the two-month-ahead check shows how much each group matters. Distance dominates; equipment, location and weight follow; the quarter-end ramp and the market index matter less but clearly help:</w:t>
      </w:r>
    </w:p>
    <w:p>
      <w:pPr>
        <w:keepLines/>
        <w:spacing w:before="120" w:after="160"/>
        <w:ind w:left="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952750"/>
                    </a:xfrm>
                    <a:prstGeom prst="rect">
                      <a:avLst/>
                    </a:prstGeom>
                  </pic:spPr>
                </pic:pic>
              </a:graphicData>
            </a:graphic>
          </wp:inline>
        </w:drawing>
      </w:r>
    </w:p>
    <w:p>
      <w:pPr>
        <w:spacing w:before="0" w:after="140"/>
      </w:pPr>
      <w:r>
        <w:rPr>
          <w:b/>
          <w:bCs/>
        </w:rPr>
        <w:t xml:space="preserve">The validation predictions.</w:t>
      </w:r>
      <w:r>
        <w:t xml:space="preserve"> Predicted prices range from $188 to $7,097 (median $2,076). The average rate per mile is $2.197 in November and $2.248 in December, against $2.207 in October: November stays close to the October level and December rises with the quarter-end ramp.</w:t>
      </w:r>
    </w:p>
    <w:p>
      <w:pPr>
        <w:keepLines/>
        <w:spacing w:before="120" w:after="160"/>
        <w:ind w:left="0"/>
        <w:jc w:val="center"/>
      </w:pPr>
      <w:r>
        <w:drawing>
          <wp:inline distT="0" distB="0" distL="0" distR="0">
            <wp:extent cx="5905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057525"/>
                    </a:xfrm>
                    <a:prstGeom prst="rect">
                      <a:avLst/>
                    </a:prstGeom>
                  </pic:spPr>
                </pic:pic>
              </a:graphicData>
            </a:graphic>
          </wp:inline>
        </w:drawing>
      </w:r>
    </w:p>
    <w:p>
      <w:pPr>
        <w:pStyle w:val="Heading1"/>
      </w:pPr>
      <w:r>
        <w:t xml:space="preserve">8. The December chart</w:t>
      </w:r>
    </w:p>
    <w:p>
      <w:pPr>
        <w:keepLines/>
        <w:spacing w:before="120" w:after="160"/>
        <w:ind w:left="0"/>
        <w:jc w:val="center"/>
      </w:pPr>
      <w:r>
        <w:drawing>
          <wp:inline distT="0" distB="0" distL="0" distR="0">
            <wp:extent cx="5905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1924050"/>
                    </a:xfrm>
                    <a:prstGeom prst="rect">
                      <a:avLst/>
                    </a:prstGeom>
                  </pic:spPr>
                </pic:pic>
              </a:graphicData>
            </a:graphic>
          </wp:inline>
        </w:drawing>
      </w:r>
    </w:p>
    <w:p>
      <w:pPr>
        <w:spacing w:before="0" w:after="140"/>
      </w:pPr>
      <w:r>
        <w:rPr>
          <w:i/>
          <w:iCs/>
          <w:color w:val="555555"/>
        </w:rPr>
        <w:t xml:space="preserve">Chart produced by the provided </w:t>
      </w:r>
      <w:r>
        <w:rPr>
          <w:rFonts w:ascii="Consolas" w:cs="Consolas" w:eastAsia="Consolas" w:hAnsi="Consolas"/>
          <w:i/>
          <w:iCs/>
          <w:color w:val="333333"/>
          <w:sz w:val="19"/>
          <w:szCs w:val="19"/>
        </w:rPr>
        <w:t xml:space="preserve">score.py</w:t>
      </w:r>
      <w:r>
        <w:rPr>
          <w:i/>
          <w:iCs/>
          <w:color w:val="555555"/>
        </w:rPr>
        <w:t xml:space="preserve"> from </w:t>
      </w:r>
      <w:r>
        <w:rPr>
          <w:rFonts w:ascii="Consolas" w:cs="Consolas" w:eastAsia="Consolas" w:hAnsi="Consolas"/>
          <w:i/>
          <w:iCs/>
          <w:color w:val="333333"/>
          <w:sz w:val="19"/>
          <w:szCs w:val="19"/>
        </w:rPr>
        <w:t xml:space="preserve">outputs/december_chart_predictions.csv</w:t>
      </w:r>
      <w:r>
        <w:rPr>
          <w:i/>
          <w:iCs/>
          <w:color w:val="555555"/>
        </w:rPr>
        <w:t xml:space="preserve">.</w:t>
      </w:r>
    </w:p>
    <w:p>
      <w:pPr>
        <w:spacing w:before="0" w:after="140"/>
      </w:pPr>
      <w:r>
        <w:t xml:space="preserve">The chart prices one fixed load - Lexington -&gt; Fort Wayne, 360 miles, Dry Van, 32,000 lb - on every day of December 2025. The file does not include every input the model needs, so the missing ones were filled without touching the given values: city coordinates from the training data, and </w:t>
      </w:r>
      <w:r>
        <w:rPr>
          <w:rFonts w:ascii="Consolas" w:cs="Consolas" w:eastAsia="Consolas" w:hAnsi="Consolas"/>
          <w:color w:val="333333"/>
          <w:sz w:val="19"/>
          <w:szCs w:val="19"/>
        </w:rPr>
        <w:t xml:space="preserve">market_index</w:t>
      </w:r>
      <w:r>
        <w:t xml:space="preserve"> as the daily median of the </w:t>
      </w:r>
      <w:r>
        <w:rPr>
          <w:rFonts w:ascii="Consolas" w:cs="Consolas" w:eastAsia="Consolas" w:hAnsi="Consolas"/>
          <w:color w:val="333333"/>
          <w:sz w:val="19"/>
          <w:szCs w:val="19"/>
        </w:rPr>
        <w:t xml:space="preserve">validation.csv</w:t>
      </w:r>
      <w:r>
        <w:t xml:space="preserve"> loads on the same date. The lane itself is well known: it appears 32 times in training.</w:t>
      </w:r>
    </w:p>
    <w:p>
      <w:pPr>
        <w:spacing w:before="0" w:after="140"/>
      </w:pPr>
      <w:r>
        <w:t xml:space="preserve">The prediction rises from </w:t>
      </w:r>
      <w:r>
        <w:rPr>
          <w:b/>
          <w:bCs/>
        </w:rPr>
        <w:t xml:space="preserve">$834 on December 1 to $878 on December 31</w:t>
      </w:r>
      <w:r>
        <w:t xml:space="preserve"> (average $855). Two effects shape the curve:</w:t>
      </w:r>
    </w:p>
    <w:p>
      <w:pPr>
        <w:pStyle w:val="ListParagraph"/>
        <w:numPr>
          <w:ilvl w:val="0"/>
          <w:numId w:val="2"/>
        </w:numPr>
        <w:spacing w:before="0" w:after="80"/>
      </w:pPr>
      <w:r>
        <w:rPr>
          <w:b/>
          <w:bCs/>
        </w:rPr>
        <w:t xml:space="preserve">A weekly cycle</w:t>
      </w:r>
      <w:r>
        <w:t xml:space="preserve"> - </w:t>
      </w:r>
      <w:r>
        <w:rPr>
          <w:rFonts w:ascii="Consolas" w:cs="Consolas" w:eastAsia="Consolas" w:hAnsi="Consolas"/>
          <w:color w:val="333333"/>
          <w:sz w:val="19"/>
          <w:szCs w:val="19"/>
        </w:rPr>
        <w:t xml:space="preserve">market_index</w:t>
      </w:r>
      <w:r>
        <w:t xml:space="preserve"> is high mid-week and low at weekends (lower panel below), which moves the price by roughly $15-20 within each week.</w:t>
      </w:r>
    </w:p>
    <w:p>
      <w:pPr>
        <w:pStyle w:val="ListParagraph"/>
        <w:numPr>
          <w:ilvl w:val="0"/>
          <w:numId w:val="2"/>
        </w:numPr>
        <w:spacing w:before="0" w:after="80"/>
      </w:pPr>
      <w:r>
        <w:rPr>
          <w:b/>
          <w:bCs/>
        </w:rPr>
        <w:t xml:space="preserve">An upward drift</w:t>
      </w:r>
      <w:r>
        <w:t xml:space="preserve"> of about 2.7% from the first to the last week. December is a quarter-end month, and in March, June and September prices climbed about 4% through the month before resetting.</w:t>
      </w:r>
    </w:p>
    <w:p>
      <w:pPr>
        <w:keepLines/>
        <w:spacing w:before="120" w:after="160"/>
        <w:ind w:left="0"/>
        <w:jc w:val="center"/>
      </w:pPr>
      <w:r>
        <w:drawing>
          <wp:inline distT="0" distB="0" distL="0" distR="0">
            <wp:extent cx="5905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238500"/>
                    </a:xfrm>
                    <a:prstGeom prst="rect">
                      <a:avLst/>
                    </a:prstGeom>
                  </pic:spPr>
                </pic:pic>
              </a:graphicData>
            </a:graphic>
          </wp:inline>
        </w:drawing>
      </w:r>
    </w:p>
    <w:p>
      <w:pPr>
        <w:pStyle w:val="Heading1"/>
      </w:pPr>
      <w:r>
        <w:t xml:space="preserve">9. Limitations and next steps</w:t>
      </w:r>
    </w:p>
    <w:p>
      <w:pPr>
        <w:pStyle w:val="ListParagraph"/>
        <w:numPr>
          <w:ilvl w:val="0"/>
          <w:numId w:val="2"/>
        </w:numPr>
        <w:spacing w:before="0" w:after="80"/>
      </w:pPr>
      <w:r>
        <w:rPr>
          <w:b/>
          <w:bCs/>
        </w:rPr>
        <w:t xml:space="preserve">One partial year of data.</w:t>
      </w:r>
      <w:r>
        <w:t xml:space="preserve"> Training has no November or December, so a genuine year-end season (holiday peak, Christmas week) cannot be learned. The forecast relies on the quarter-end pattern and the trend; holiday features were tested and did not help in the training months.</w:t>
      </w:r>
    </w:p>
    <w:p>
      <w:pPr>
        <w:pStyle w:val="ListParagraph"/>
        <w:numPr>
          <w:ilvl w:val="0"/>
          <w:numId w:val="2"/>
        </w:numPr>
        <w:spacing w:before="0" w:after="80"/>
      </w:pPr>
      <w:r>
        <w:rPr>
          <w:b/>
          <w:bCs/>
        </w:rPr>
        <w:t xml:space="preserve">The trend is assumed to continue.</w:t>
      </w:r>
      <w:r>
        <w:t xml:space="preserve"> The linear part extends the 2025 trend by about 0.6% per month for two more months. A turn in the market would show up as a bias.</w:t>
      </w:r>
    </w:p>
    <w:p>
      <w:pPr>
        <w:pStyle w:val="ListParagraph"/>
        <w:numPr>
          <w:ilvl w:val="0"/>
          <w:numId w:val="2"/>
        </w:numPr>
        <w:spacing w:before="0" w:after="80"/>
      </w:pPr>
      <w:r>
        <w:rPr>
          <w:b/>
          <w:bCs/>
        </w:rPr>
        <w:t xml:space="preserve">Corrupted labels.</w:t>
      </w:r>
      <w:r>
        <w:t xml:space="preserve"> If the Nov-Dec labels contain corruptions like the training data (about 1.4%), the measured error will be far higher than the clean-label error, for any model.</w:t>
      </w:r>
    </w:p>
    <w:p>
      <w:pPr>
        <w:pStyle w:val="ListParagraph"/>
        <w:numPr>
          <w:ilvl w:val="0"/>
          <w:numId w:val="2"/>
        </w:numPr>
        <w:spacing w:before="0" w:after="80"/>
      </w:pPr>
      <w:r>
        <w:rPr>
          <w:b/>
          <w:bCs/>
        </w:rPr>
        <w:t xml:space="preserve">Unseen cities.</w:t>
      </w:r>
      <w:r>
        <w:t xml:space="preserve"> Loads touching the 8 new cities are expected to be about 15% less accurate.</w:t>
      </w:r>
    </w:p>
    <w:p>
      <w:pPr>
        <w:pStyle w:val="ListParagraph"/>
        <w:numPr>
          <w:ilvl w:val="0"/>
          <w:numId w:val="2"/>
        </w:numPr>
        <w:spacing w:before="0" w:after="80"/>
      </w:pPr>
      <w:r>
        <w:rPr>
          <w:b/>
          <w:bCs/>
        </w:rPr>
        <w:t xml:space="preserve">Many decisions were made on the same four folds.</w:t>
      </w:r>
      <w:r>
        <w:t xml:space="preserve"> Small differences, such as the tuning results, are within noise and should not be over-read.</w:t>
      </w:r>
    </w:p>
    <w:p>
      <w:pPr>
        <w:pStyle w:val="ListParagraph"/>
        <w:numPr>
          <w:ilvl w:val="0"/>
          <w:numId w:val="2"/>
        </w:numPr>
        <w:spacing w:before="0" w:after="80"/>
      </w:pPr>
      <w:r>
        <w:rPr>
          <w:b/>
          <w:bCs/>
        </w:rPr>
        <w:t xml:space="preserve">Next steps:</w:t>
      </w:r>
      <w:r>
        <w:t xml:space="preserve"> prediction intervals (quantile models), retraining every month as new loads arrive, monitoring for drift in </w:t>
      </w:r>
      <w:r>
        <w:rPr>
          <w:rFonts w:ascii="Consolas" w:cs="Consolas" w:eastAsia="Consolas" w:hAnsi="Consolas"/>
          <w:color w:val="333333"/>
          <w:sz w:val="19"/>
          <w:szCs w:val="19"/>
        </w:rPr>
        <w:t xml:space="preserve">market_index</w:t>
      </w:r>
      <w:r>
        <w:t xml:space="preserve"> and </w:t>
      </w:r>
      <w:r>
        <w:rPr>
          <w:rFonts w:ascii="Consolas" w:cs="Consolas" w:eastAsia="Consolas" w:hAnsi="Consolas"/>
          <w:color w:val="333333"/>
          <w:sz w:val="19"/>
          <w:szCs w:val="19"/>
        </w:rPr>
        <w:t xml:space="preserve">quote_signal</w:t>
      </w:r>
      <w:r>
        <w:t xml:space="preserve">, and a second year of data to learn real seasonality.</w:t>
      </w:r>
    </w:p>
    <w:p>
      <w:pPr>
        <w:pStyle w:val="Heading1"/>
      </w:pPr>
      <w:r>
        <w:t xml:space="preserve">Appendix - reproduce every number</w:t>
      </w:r>
    </w:p>
    <w:p>
      <w:pPr>
        <w:shd w:fill="F3F4F6" w:color="auto" w:val="clear"/>
        <w:spacing w:before="0" w:after="0"/>
        <w:ind w:left="360"/>
      </w:pPr>
      <w:r>
        <w:rPr>
          <w:rFonts w:ascii="Consolas" w:cs="Consolas" w:eastAsia="Consolas" w:hAnsi="Consolas"/>
          <w:sz w:val="18"/>
          <w:szCs w:val="18"/>
        </w:rPr>
        <w:t xml:space="preserve">python -m pip install -r requirements.txt</w:t>
      </w:r>
    </w:p>
    <w:p>
      <w:pPr>
        <w:shd w:fill="F3F4F6" w:color="auto" w:val="clear"/>
        <w:spacing w:before="0" w:after="0"/>
        <w:ind w:left="360"/>
      </w:pPr>
      <w:r>
        <w:rPr>
          <w:rFonts w:ascii="Consolas" w:cs="Consolas" w:eastAsia="Consolas" w:hAnsi="Consolas"/>
          <w:sz w:val="18"/>
          <w:szCs w:val="18"/>
        </w:rPr>
        <w:t xml:space="preserve">python run_pipeline.py          # full run, ~45 minutes: every experiment in this report</w:t>
      </w:r>
    </w:p>
    <w:p>
      <w:pPr>
        <w:shd w:fill="F3F4F6" w:color="auto" w:val="clear"/>
        <w:spacing w:before="0" w:after="0"/>
        <w:ind w:left="360"/>
      </w:pPr>
      <w:r>
        <w:rPr>
          <w:rFonts w:ascii="Consolas" w:cs="Consolas" w:eastAsia="Consolas" w:hAnsi="Consolas"/>
          <w:sz w:val="18"/>
          <w:szCs w:val="18"/>
        </w:rPr>
        <w:t xml:space="preserve">python run_pipeline.py --fast   # ~10 minutes: rebuilds the same final model from the settings in src/config.py</w:t>
      </w:r>
    </w:p>
    <w:p>
      <w:pPr>
        <w:spacing w:before="0" w:after="80"/>
      </w:pPr>
    </w:p>
    <w:p>
      <w:pPr>
        <w:spacing w:before="0" w:after="140"/>
      </w:pPr>
      <w:r>
        <w:t xml:space="preserve">All tables come from </w:t>
      </w:r>
      <w:r>
        <w:rPr>
          <w:rFonts w:ascii="Consolas" w:cs="Consolas" w:eastAsia="Consolas" w:hAnsi="Consolas"/>
          <w:color w:val="333333"/>
          <w:sz w:val="19"/>
          <w:szCs w:val="19"/>
        </w:rPr>
        <w:t xml:space="preserve">outputs/model_comparison.csv</w:t>
      </w:r>
      <w:r>
        <w:t xml:space="preserve">, </w:t>
      </w:r>
      <w:r>
        <w:rPr>
          <w:rFonts w:ascii="Consolas" w:cs="Consolas" w:eastAsia="Consolas" w:hAnsi="Consolas"/>
          <w:color w:val="333333"/>
          <w:sz w:val="19"/>
          <w:szCs w:val="19"/>
        </w:rPr>
        <w:t xml:space="preserve">outputs/cv_fold_details.csv</w:t>
      </w:r>
      <w:r>
        <w:t xml:space="preserve"> and </w:t>
      </w:r>
      <w:r>
        <w:rPr>
          <w:rFonts w:ascii="Consolas" w:cs="Consolas" w:eastAsia="Consolas" w:hAnsi="Consolas"/>
          <w:color w:val="333333"/>
          <w:sz w:val="19"/>
          <w:szCs w:val="19"/>
        </w:rPr>
        <w:t xml:space="preserve">outputs/run_summary.json</w:t>
      </w:r>
      <w:r>
        <w:t xml:space="preserve">; the full console output of the run is in </w:t>
      </w:r>
      <w:r>
        <w:rPr>
          <w:rFonts w:ascii="Consolas" w:cs="Consolas" w:eastAsia="Consolas" w:hAnsi="Consolas"/>
          <w:color w:val="333333"/>
          <w:sz w:val="19"/>
          <w:szCs w:val="19"/>
        </w:rPr>
        <w:t xml:space="preserve">outputs/run_log.txt</w:t>
      </w:r>
      <w:r>
        <w:t xml:space="preserve">.</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6"/>
        <w:szCs w:val="16"/>
      </w:rPr>
      <w:t xml:space="preserve">Freight rate prediction - Spotter ML Engineer assessment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bullet"/>
      <w:lvlText w:val="–"/>
      <w:lvlJc w:val="left"/>
      <w:pPr>
        <w:ind w:left="720" w:hanging="240"/>
      </w:pPr>
    </w:lvl>
  </w:abstractNum>
  <w:abstractNum w:abstractNumId="4" w15:restartNumberingAfterBreak="0">
    <w:multiLevelType w:val="hybridMultilevel"/>
    <w:lvl w:ilvl="0" w15:tentative="1">
      <w:start w:val="1"/>
      <w:numFmt w:val="decimal"/>
      <w:lvlText w:val="%1."/>
      <w:lvlJc w:val="left"/>
      <w:pPr>
        <w:ind w:left="360" w:hanging="30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1F4E79"/>
      <w:sz w:val="40"/>
      <w:szCs w:val="40"/>
    </w:rPr>
  </w:style>
  <w:style w:type="paragraph" w:styleId="Heading1">
    <w:name w:val="Heading 1"/>
    <w:basedOn w:val="Normal"/>
    <w:next w:val="Normal"/>
    <w:qFormat/>
    <w:pPr>
      <w:keepNext/>
      <w:spacing w:before="320" w:after="120"/>
      <w:outlineLvl w:val="0"/>
    </w:pPr>
    <w:rPr>
      <w:rFonts w:ascii="Calibri" w:cs="Calibri" w:eastAsia="Calibri" w:hAnsi="Calibri"/>
      <w:b/>
      <w:bCs/>
      <w:color w:val="1F4E79"/>
      <w:sz w:val="28"/>
      <w:szCs w:val="28"/>
    </w:rPr>
  </w:style>
  <w:style w:type="paragraph" w:styleId="Heading2">
    <w:name w:val="Heading 2"/>
    <w:basedOn w:val="Normal"/>
    <w:next w:val="Normal"/>
    <w:qFormat/>
    <w:pPr>
      <w:keepNext/>
      <w:spacing w:before="220" w:after="100"/>
      <w:outlineLvl w:val="1"/>
    </w:pPr>
    <w:rPr>
      <w:rFonts w:ascii="Calibri" w:cs="Calibri" w:eastAsia="Calibri" w:hAnsi="Calibri"/>
      <w:b/>
      <w:bCs/>
      <w:color w:val="2E3A4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f6eba2fad495e6876ce37546d8495befdebfdbf1.png"/><Relationship Id="rId8" Type="http://schemas.openxmlformats.org/officeDocument/2006/relationships/image" Target="media/7862dbddd508027ff67f14af55d2babbd059cdcc.png"/><Relationship Id="rId9" Type="http://schemas.openxmlformats.org/officeDocument/2006/relationships/image" Target="media/f6609a99a4a9ccf0c99727e5723087e0c8369ec4.png"/><Relationship Id="rId10" Type="http://schemas.openxmlformats.org/officeDocument/2006/relationships/image" Target="media/d3261834e05228ca52c3d09ebbbb146770448747.png"/><Relationship Id="rId11" Type="http://schemas.openxmlformats.org/officeDocument/2006/relationships/image" Target="media/1ff9496b82515d8f62f99e2bce1335ba2c8ac4f2.png"/><Relationship Id="rId12" Type="http://schemas.openxmlformats.org/officeDocument/2006/relationships/image" Target="media/fb59a293b9030860d4f97e22796fb85900c5a0b8.png"/><Relationship Id="rId13" Type="http://schemas.openxmlformats.org/officeDocument/2006/relationships/image" Target="media/f21f930c2ea3833e3c284c55fa5d5eab63ca6e0b.png"/><Relationship Id="rId14" Type="http://schemas.openxmlformats.org/officeDocument/2006/relationships/image" Target="media/3a98dda1949890bcc99c83e4ec039a2a7463703a.png"/><Relationship Id="rId15" Type="http://schemas.openxmlformats.org/officeDocument/2006/relationships/image" Target="media/00b683fbab9f34249ae158fcf995e9baf51d971b.png"/><Relationship Id="rId16" Type="http://schemas.openxmlformats.org/officeDocument/2006/relationships/image" Target="media/79d1daea87d1c26a79f739980196729a156e2283.pn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Freight Rate Prediction - Approach, Validation and Results</dc:title>
  <dc:creator>Prince Verma</dc:creator>
  <cp:lastModifiedBy>Un-named</cp:lastModifiedBy>
  <cp:revision>1</cp:revision>
  <dcterms:created xsi:type="dcterms:W3CDTF">2026-10-12T09:42:42.706Z</dcterms:created>
  <dcterms:modified xsi:type="dcterms:W3CDTF">2026-10-12T09:42:42.707Z</dcterms:modified>
</cp:coreProperties>
</file>

<file path=docProps/custom.xml><?xml version="1.0" encoding="utf-8"?>
<Properties xmlns="http://schemas.openxmlformats.org/officeDocument/2006/custom-properties" xmlns:vt="http://schemas.openxmlformats.org/officeDocument/2006/docPropsVTypes"/>
</file>