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64748B"/>
          <w:sz w:val="28"/>
        </w:rPr>
        <w:t>A</w:t>
        <w:br/>
        <w:t>PROJECT REPORT</w:t>
        <w:br/>
        <w:t>ON</w:t>
      </w:r>
    </w:p>
    <w:p>
      <w:pPr>
        <w:spacing w:before="160" w:after="280"/>
        <w:jc w:val="center"/>
      </w:pPr>
      <w:r>
        <w:rPr>
          <w:rFonts w:ascii="Calibri" w:hAnsi="Calibri"/>
          <w:b/>
          <w:color w:val="0A2647"/>
          <w:sz w:val="34"/>
        </w:rPr>
        <w:t>“MARITIME DOMAIN AWARENESS (MDA) 2.0 SYSTEM:</w:t>
        <w:br/>
        <w:t>AI-DRIVEN REAL-TIME VESSEL SURVEILLANCE,</w:t>
        <w:br/>
        <w:t>MULTI-SENSOR FUSION &amp; ANOMALY DETECTION”</w:t>
      </w:r>
    </w:p>
    <w:p>
      <w:pPr>
        <w:spacing w:before="120" w:after="280"/>
        <w:jc w:val="center"/>
      </w:pPr>
      <w:r>
        <w:rPr>
          <w:rFonts w:ascii="Calibri" w:hAnsi="Calibri"/>
          <w:i/>
          <w:color w:val="1E293B"/>
          <w:sz w:val="22"/>
        </w:rPr>
        <w:t>Carried Out During Practical Industrial Internship at</w:t>
        <w:br/>
      </w:r>
      <w:r>
        <w:rPr>
          <w:rFonts w:ascii="Calibri" w:hAnsi="Calibri"/>
          <w:b/>
          <w:color w:val="144272"/>
          <w:sz w:val="26"/>
        </w:rPr>
        <w:t>INDIAN SPACE RESEARCH ORGANISATION (ISRO)</w:t>
        <w:br/>
        <w:t>Brahmaprakash Space Exploration &amp; Research Centre (BSERC)</w:t>
      </w:r>
    </w:p>
    <w:p>
      <w:pPr>
        <w:spacing w:before="160" w:after="360"/>
        <w:jc w:val="center"/>
      </w:pPr>
      <w:r>
        <w:rPr>
          <w:rFonts w:ascii="Calibri" w:hAnsi="Calibri"/>
          <w:color w:val="64748B"/>
          <w:sz w:val="22"/>
        </w:rPr>
        <w:t>In partial fulfillment of the requirement for the award of degree of</w:t>
        <w:br/>
      </w:r>
      <w:r>
        <w:rPr>
          <w:rFonts w:ascii="Calibri" w:hAnsi="Calibri"/>
          <w:b/>
          <w:color w:val="0A2647"/>
          <w:sz w:val="28"/>
        </w:rPr>
        <w:t>Bachelor of Technology</w:t>
        <w:br/>
      </w:r>
      <w:r>
        <w:rPr>
          <w:rFonts w:ascii="Calibri" w:hAnsi="Calibri"/>
          <w:b/>
          <w:color w:val="144272"/>
          <w:sz w:val="24"/>
        </w:rPr>
        <w:t>In</w:t>
        <w:br/>
        <w:t>Department of Artificial Intelligence &amp; Data Science</w:t>
        <w:br/>
        <w:t>(Academic Session 2026-27)</w:t>
      </w:r>
    </w:p>
    <w:tbl>
      <w:tblPr>
        <w:tblW w:type="auto" w:w="0"/>
        <w:jc w:val="center"/>
        <w:tblLook w:firstColumn="1" w:firstRow="1" w:lastColumn="0" w:lastRow="0" w:noHBand="0" w:noVBand="1" w:val="04A0"/>
      </w:tblPr>
      <w:tblGrid>
        <w:gridCol w:w="4680"/>
        <w:gridCol w:w="4680"/>
      </w:tblGrid>
      <w:tr>
        <w:tc>
          <w:tcPr>
            <w:tcW w:type="dxa" w:w="4680"/>
          </w:tcPr>
          <w:p>
            <w:pPr>
              <w:jc w:val="left"/>
            </w:pPr>
            <w:r>
              <w:rPr>
                <w:b/>
                <w:color w:val="0A2647"/>
              </w:rPr>
              <w:t>Submitted to:</w:t>
              <w:br/>
            </w:r>
            <w:r>
              <w:rPr>
                <w:sz w:val="21"/>
              </w:rPr>
              <w:t>Dr. Manju Vyas</w:t>
              <w:br/>
              <w:t>Head of Department (AI&amp;DS)</w:t>
              <w:br/>
              <w:br/>
              <w:t>Ms. Neelkamal Chaudhary</w:t>
              <w:br/>
              <w:t>Assistant Professor &amp; Coordinator</w:t>
              <w:br/>
              <w:t>Department of AI&amp;DS</w:t>
              <w:br/>
              <w:t>JECRC, Jaipur</w:t>
            </w:r>
          </w:p>
        </w:tc>
        <w:tc>
          <w:tcPr>
            <w:tcW w:type="dxa" w:w="4680"/>
          </w:tcPr>
          <w:p>
            <w:pPr>
              <w:jc w:val="right"/>
            </w:pPr>
            <w:r>
              <w:rPr>
                <w:b/>
                <w:color w:val="0A2647"/>
              </w:rPr>
              <w:t>Submitted by:</w:t>
              <w:br/>
            </w:r>
            <w:r>
              <w:rPr>
                <w:sz w:val="21"/>
              </w:rPr>
              <w:t>PRINCE GUPTA</w:t>
              <w:br/>
              <w:t>RTU Roll No.: 22EJCIT001</w:t>
              <w:br/>
              <w:t>Enrollment No.: 22E1JCITM001</w:t>
              <w:br/>
              <w:t>B.Tech. V Semester (AI&amp;DS)</w:t>
              <w:br/>
              <w:t>Session: 2026-27</w:t>
            </w:r>
          </w:p>
        </w:tc>
      </w:tr>
    </w:tbl>
    <w:p>
      <w:pPr>
        <w:spacing w:before="560" w:after="0"/>
        <w:jc w:val="center"/>
      </w:pPr>
      <w:r>
        <w:rPr>
          <w:rFonts w:ascii="Calibri" w:hAnsi="Calibri"/>
          <w:b/>
          <w:color w:val="0A2647"/>
          <w:sz w:val="23"/>
        </w:rPr>
        <w:t>Department of Artificial Intelligence &amp; Data Science</w:t>
        <w:br/>
        <w:t>Jaipur Engineering College &amp; Research Centre, Jaipur</w:t>
        <w:br/>
        <w:t>Rajasthan Technical University, Kota (Raj.)</w:t>
        <w:br/>
        <w:t>2026-27</w:t>
      </w:r>
    </w:p>
    <w:p>
      <w:r>
        <w:br w:type="page"/>
      </w:r>
    </w:p>
    <w:p>
      <w:pPr>
        <w:spacing w:before="0" w:after="360"/>
        <w:jc w:val="center"/>
      </w:pPr>
      <w:r>
        <w:rPr>
          <w:rFonts w:ascii="Calibri" w:hAnsi="Calibri"/>
          <w:b/>
          <w:color w:val="0A2647"/>
          <w:sz w:val="36"/>
        </w:rPr>
        <w:t>CERTIFICATE</w:t>
      </w:r>
    </w:p>
    <w:p>
      <w:pPr>
        <w:spacing w:after="120" w:line="276" w:lineRule="auto"/>
        <w:jc w:val="both"/>
      </w:pPr>
      <w:r>
        <w:rPr>
          <w:rFonts w:ascii="Calibri" w:hAnsi="Calibri"/>
          <w:color w:val="1E293B"/>
          <w:sz w:val="22"/>
        </w:rPr>
        <w:t>This is to certify that the practical project report entitled “MARITIME DOMAIN AWARENESS (MDA) 2.0 SYSTEM: AI-DRIVEN REAL-TIME VESSEL SURVEILLANCE, MULTI-SENSOR FUSION &amp; ANOMALY DETECTION” submitted herewith is the bonafide outcome of the practical industrial training carried out at Indian Space Research Organisation (ISRO) – Brahmaprakash Space Exploration &amp; Research Centre (BSERC) in the specialized domain of Space-Based AIS Analytics, Maritime Telemetry Fusion &amp; Machine Learning Anomaly Detection by PRINCE GUPTA bearing RTU Roll No.: 22EJCIT001 under the esteemed guidance and supervision of the technical mentors and scientists at ISRO (BSERC).</w:t>
      </w:r>
    </w:p>
    <w:p>
      <w:pPr>
        <w:spacing w:after="120" w:line="276" w:lineRule="auto"/>
        <w:jc w:val="both"/>
      </w:pPr>
      <w:r>
        <w:rPr>
          <w:rFonts w:ascii="Calibri" w:hAnsi="Calibri"/>
          <w:color w:val="1E293B"/>
          <w:sz w:val="22"/>
        </w:rPr>
        <w:t>This project report is submitted in partial fulfillment of the requirements for the award of the Degree of Bachelor of Technology (B.Tech.) in Department of Artificial Intelligence &amp; Data Science from Jaipur Engineering College &amp; Research Centre (JECRC), Jaipur, affiliated to Rajasthan Technical University, Kota, during the academic session 2026-27.</w:t>
      </w:r>
    </w:p>
    <w:p>
      <w:pPr>
        <w:spacing w:after="120" w:line="276" w:lineRule="auto"/>
        <w:jc w:val="both"/>
      </w:pPr>
      <w:r>
        <w:rPr>
          <w:rFonts w:ascii="Calibri" w:hAnsi="Calibri"/>
          <w:color w:val="1E293B"/>
          <w:sz w:val="22"/>
        </w:rPr>
        <w:t>To the best of my knowledge and belief, this report:</w:t>
      </w:r>
    </w:p>
    <w:p>
      <w:pPr>
        <w:pStyle w:val="ListBullet"/>
        <w:spacing w:after="80" w:line="276" w:lineRule="auto"/>
        <w:jc w:val="both"/>
      </w:pPr>
      <w:r>
        <w:rPr>
          <w:rFonts w:ascii="Calibri" w:hAnsi="Calibri"/>
          <w:color w:val="1E293B"/>
          <w:sz w:val="22"/>
        </w:rPr>
        <w:t>Embodies the genuine, original research and engineering work of the candidate.</w:t>
      </w:r>
    </w:p>
    <w:p>
      <w:pPr>
        <w:pStyle w:val="ListBullet"/>
        <w:spacing w:after="80" w:line="276" w:lineRule="auto"/>
        <w:jc w:val="both"/>
      </w:pPr>
      <w:r>
        <w:rPr>
          <w:rFonts w:ascii="Calibri" w:hAnsi="Calibri"/>
          <w:color w:val="1E293B"/>
          <w:sz w:val="22"/>
        </w:rPr>
        <w:t>Has duly been completed in all technical, analytical, and practical respects.</w:t>
      </w:r>
    </w:p>
    <w:p>
      <w:pPr>
        <w:pStyle w:val="ListBullet"/>
        <w:spacing w:after="80" w:line="276" w:lineRule="auto"/>
        <w:jc w:val="both"/>
      </w:pPr>
      <w:r>
        <w:rPr>
          <w:rFonts w:ascii="Calibri" w:hAnsi="Calibri"/>
          <w:color w:val="1E293B"/>
          <w:sz w:val="22"/>
        </w:rPr>
        <w:t>Fulfills all ordinance requirements relating to the B.Tech. curriculum of Rajasthan Technical University.</w:t>
      </w:r>
    </w:p>
    <w:p>
      <w:pPr>
        <w:pStyle w:val="ListBullet"/>
        <w:spacing w:after="80" w:line="276" w:lineRule="auto"/>
        <w:jc w:val="both"/>
      </w:pPr>
      <w:r>
        <w:rPr>
          <w:rFonts w:ascii="Calibri" w:hAnsi="Calibri"/>
          <w:color w:val="1E293B"/>
          <w:sz w:val="22"/>
        </w:rPr>
        <w:t>Is up to the desired academic, industrial, and defence-grade standard for the purpose for which it is submitted.</w:t>
      </w:r>
    </w:p>
    <w:p>
      <w:pPr>
        <w:spacing w:before="800"/>
      </w:pPr>
    </w:p>
    <w:tbl>
      <w:tblPr>
        <w:tblW w:type="auto" w:w="0"/>
        <w:jc w:val="center"/>
        <w:tblLook w:firstColumn="1" w:firstRow="1" w:lastColumn="0" w:lastRow="0" w:noHBand="0" w:noVBand="1" w:val="04A0"/>
      </w:tblPr>
      <w:tblGrid>
        <w:gridCol w:w="4680"/>
        <w:gridCol w:w="4680"/>
      </w:tblGrid>
      <w:tr>
        <w:tc>
          <w:tcPr>
            <w:tcW w:type="dxa" w:w="4680"/>
          </w:tcPr>
          <w:p>
            <w:pPr>
              <w:jc w:val="left"/>
            </w:pPr>
            <w:r>
              <w:rPr>
                <w:b/>
                <w:sz w:val="22"/>
              </w:rPr>
              <w:t>_____________________</w:t>
              <w:br/>
              <w:t>Dr. Manju Vyas</w:t>
              <w:br/>
              <w:t>Head of Department (AI&amp;DS)</w:t>
              <w:br/>
              <w:t>JECRC, Jaipur</w:t>
            </w:r>
          </w:p>
        </w:tc>
        <w:tc>
          <w:tcPr>
            <w:tcW w:type="dxa" w:w="4680"/>
          </w:tcPr>
          <w:p>
            <w:pPr>
              <w:jc w:val="right"/>
            </w:pPr>
            <w:r>
              <w:rPr>
                <w:b/>
                <w:sz w:val="22"/>
              </w:rPr>
              <w:t>_____________________</w:t>
              <w:br/>
              <w:t>Ms. Neelkamal Chaudhary</w:t>
              <w:br/>
              <w:t>Assistant Professor &amp; Coordinator</w:t>
              <w:br/>
              <w:t>Department of AI&amp;DS, JECRC</w:t>
            </w:r>
          </w:p>
        </w:tc>
      </w:tr>
    </w:tbl>
    <w:p>
      <w:r>
        <w:br w:type="page"/>
      </w:r>
    </w:p>
    <w:p>
      <w:pPr>
        <w:spacing w:before="0" w:after="360"/>
        <w:jc w:val="center"/>
      </w:pPr>
      <w:r>
        <w:rPr>
          <w:rFonts w:ascii="Calibri" w:hAnsi="Calibri"/>
          <w:b/>
          <w:color w:val="0A2647"/>
          <w:sz w:val="36"/>
        </w:rPr>
        <w:t>DECLARATION</w:t>
      </w:r>
    </w:p>
    <w:p>
      <w:pPr>
        <w:spacing w:after="120" w:line="276" w:lineRule="auto"/>
        <w:jc w:val="both"/>
      </w:pPr>
      <w:r>
        <w:rPr>
          <w:rFonts w:ascii="Calibri" w:hAnsi="Calibri"/>
          <w:color w:val="1E293B"/>
          <w:sz w:val="22"/>
        </w:rPr>
        <w:t>I hereby declare that the project training report entitled “MARITIME DOMAIN AWARENESS (MDA) 2.0 SYSTEM: AI-DRIVEN REAL-TIME VESSEL SURVEILLANCE, MULTI-SENSOR FUSION &amp; ANOMALY DETECTION” submitted to Jaipur Engineering College &amp; Research Centre, Jaipur (Rajasthan) and Rajasthan Technical University, Kota, is an authentic record of original engineering work carried out by me during the 60-day industrial internship period at Indian Space Research Organisation (ISRO) – Brahmaprakash Space Exploration &amp; Research Centre (BSERC).</w:t>
      </w:r>
    </w:p>
    <w:p>
      <w:pPr>
        <w:spacing w:after="120" w:line="276" w:lineRule="auto"/>
        <w:jc w:val="both"/>
      </w:pPr>
      <w:r>
        <w:rPr>
          <w:rFonts w:ascii="Calibri" w:hAnsi="Calibri"/>
          <w:color w:val="1E293B"/>
          <w:sz w:val="22"/>
        </w:rPr>
        <w:t>The algorithmic implementations, machine learning models, telemetry ingestion pipelines, geospatial constraint algorithms, and empirical benchmark findings presented in this report have been developed, evaluated, and documented by me. I have not submitted the matter embodied in this report for the award of any other degree or diploma to any other University or Institution.</w:t>
      </w:r>
    </w:p>
    <w:p>
      <w:pPr>
        <w:spacing w:after="120" w:line="276" w:lineRule="auto"/>
        <w:jc w:val="both"/>
      </w:pPr>
      <w:r>
        <w:rPr>
          <w:rFonts w:ascii="Calibri" w:hAnsi="Calibri"/>
          <w:color w:val="1E293B"/>
          <w:sz w:val="22"/>
        </w:rPr>
        <w:t>I understand that any unauthorized reproduction, plagiarism, or misrepresentation from an existing copyrighted work is liable to appropriate disciplinary action as deemed fit by the University authorities.</w:t>
      </w:r>
    </w:p>
    <w:p>
      <w:pPr>
        <w:spacing w:before="900"/>
      </w:pPr>
    </w:p>
    <w:tbl>
      <w:tblPr>
        <w:tblW w:type="auto" w:w="0"/>
        <w:jc w:val="center"/>
        <w:tblLook w:firstColumn="1" w:firstRow="1" w:lastColumn="0" w:lastRow="0" w:noHBand="0" w:noVBand="1" w:val="04A0"/>
      </w:tblPr>
      <w:tblGrid>
        <w:gridCol w:w="4680"/>
        <w:gridCol w:w="4680"/>
      </w:tblGrid>
      <w:tr>
        <w:tc>
          <w:tcPr>
            <w:tcW w:type="dxa" w:w="4680"/>
          </w:tcPr>
          <w:p>
            <w:r>
              <w:rPr>
                <w:sz w:val="22"/>
              </w:rPr>
              <w:t>Place: Jaipur</w:t>
              <w:br/>
              <w:t>Date: 10th October 2026</w:t>
            </w:r>
          </w:p>
        </w:tc>
        <w:tc>
          <w:tcPr>
            <w:tcW w:type="dxa" w:w="4680"/>
          </w:tcPr>
          <w:p>
            <w:pPr>
              <w:jc w:val="right"/>
            </w:pPr>
            <w:r>
              <w:rPr>
                <w:b/>
                <w:sz w:val="22"/>
              </w:rPr>
              <w:t>PRINCE GUPTA</w:t>
              <w:br/>
              <w:t>RTU Roll No.: 22EJCIT001</w:t>
              <w:br/>
              <w:t>Enrollment No.: 22E1JCITM001</w:t>
              <w:br/>
              <w:t>Department of AI&amp;DS</w:t>
              <w:br/>
              <w:t>JECRC, Jaipur</w:t>
            </w:r>
          </w:p>
        </w:tc>
      </w:tr>
    </w:tbl>
    <w:p>
      <w:r>
        <w:br w:type="page"/>
      </w:r>
    </w:p>
    <w:p>
      <w:pPr>
        <w:spacing w:before="0" w:after="360"/>
        <w:jc w:val="center"/>
      </w:pPr>
      <w:r>
        <w:rPr>
          <w:rFonts w:ascii="Calibri" w:hAnsi="Calibri"/>
          <w:b/>
          <w:color w:val="0A2647"/>
          <w:sz w:val="36"/>
        </w:rPr>
        <w:t>ACKNOWLEDGEMENT</w:t>
      </w:r>
    </w:p>
    <w:p>
      <w:pPr>
        <w:spacing w:after="120" w:line="276" w:lineRule="auto"/>
        <w:jc w:val="both"/>
      </w:pPr>
      <w:r>
        <w:rPr>
          <w:rFonts w:ascii="Calibri" w:hAnsi="Calibri"/>
          <w:color w:val="1E293B"/>
          <w:sz w:val="22"/>
        </w:rPr>
        <w:t>“Any serious and lasting engineering achievement or technological breakthrough cannot be accomplished in isolation without the intellectual guidance, strategic mentorship, and generous cooperation of experienced professionals and visionary leaders.”</w:t>
      </w:r>
    </w:p>
    <w:p>
      <w:pPr>
        <w:spacing w:after="120" w:line="276" w:lineRule="auto"/>
        <w:jc w:val="both"/>
      </w:pPr>
      <w:r>
        <w:rPr>
          <w:rFonts w:ascii="Calibri" w:hAnsi="Calibri"/>
          <w:color w:val="1E293B"/>
          <w:sz w:val="22"/>
        </w:rPr>
        <w:t>It is my pleasant privilege to express my deepest gratitude and sincere appreciation to the distinguished Scientists, Research Guides, and Technical Officers at Indian Space Research Organisation (ISRO) – Brahmaprakash Space Exploration &amp; Research Centre (BSERC), who granted me the prestigious opportunity to undergo professional industrial training and work on cutting-edge defence-grade Maritime Domain Awareness technologies.</w:t>
      </w:r>
    </w:p>
    <w:p>
      <w:pPr>
        <w:spacing w:after="120" w:line="276" w:lineRule="auto"/>
        <w:jc w:val="both"/>
      </w:pPr>
      <w:r>
        <w:rPr>
          <w:rFonts w:ascii="Calibri" w:hAnsi="Calibri"/>
          <w:color w:val="1E293B"/>
          <w:sz w:val="22"/>
        </w:rPr>
        <w:t>I am profoundly indebted to my industrial mentors at ISRO (BSERC) for allotting this mission-critical project on Space-Based AIS Tracking and Multi-Sensor Maritime Anomaly Detection. Their continuous technical scrutiny, domain insights into satellite telemetry, and constructive feedback provided invaluable impetus to the system's development.</w:t>
      </w:r>
    </w:p>
    <w:p>
      <w:pPr>
        <w:spacing w:after="120" w:line="276" w:lineRule="auto"/>
        <w:jc w:val="both"/>
      </w:pPr>
      <w:r>
        <w:rPr>
          <w:rFonts w:ascii="Calibri" w:hAnsi="Calibri"/>
          <w:color w:val="1E293B"/>
          <w:sz w:val="22"/>
        </w:rPr>
        <w:t>I express my heartfelt gratitude to Dr. Manju Vyas, Professor &amp; Head of Department (Artificial Intelligence &amp; Data Science), Jaipur Engineering College &amp; Research Centre (JECRC), Jaipur, for her constant encouragement, academic stewardship, and logistical support throughout the training tenure.</w:t>
      </w:r>
    </w:p>
    <w:p>
      <w:pPr>
        <w:spacing w:after="120" w:line="276" w:lineRule="auto"/>
        <w:jc w:val="both"/>
      </w:pPr>
      <w:r>
        <w:rPr>
          <w:rFonts w:ascii="Calibri" w:hAnsi="Calibri"/>
          <w:color w:val="1E293B"/>
          <w:sz w:val="22"/>
        </w:rPr>
        <w:t>I would also like to extend my heartfelt thanks to Ms. Neelkamal Chaudhary, Assistant Professor and Industrial Training Coordinator, Department of AI&amp;DS, JECRC, for her persistent coordination, administrative guidance, and recommendation that facilitated this industrial internship.</w:t>
      </w:r>
    </w:p>
    <w:p>
      <w:pPr>
        <w:spacing w:after="120" w:line="276" w:lineRule="auto"/>
        <w:jc w:val="both"/>
      </w:pPr>
      <w:r>
        <w:rPr>
          <w:rFonts w:ascii="Calibri" w:hAnsi="Calibri"/>
          <w:color w:val="1E293B"/>
          <w:sz w:val="22"/>
        </w:rPr>
        <w:t>Finally, I express my warmest thanks to my family, faculty members, and peers whose encouragement and moral support sustained my efforts throughout this endeavor.</w:t>
      </w:r>
    </w:p>
    <w:p>
      <w:pPr>
        <w:spacing w:before="600"/>
      </w:pPr>
    </w:p>
    <w:p>
      <w:pPr>
        <w:jc w:val="right"/>
      </w:pPr>
      <w:r>
        <w:rPr>
          <w:b/>
          <w:sz w:val="22"/>
        </w:rPr>
        <w:t>PRINCE GUPTA</w:t>
        <w:br/>
        <w:t>RTU Roll No.: 22EJCIT001</w:t>
        <w:br/>
        <w:t>Department of AI&amp;DS, JECRC</w:t>
      </w:r>
    </w:p>
    <w:p>
      <w:r>
        <w:br w:type="page"/>
      </w:r>
    </w:p>
    <w:p>
      <w:pPr>
        <w:spacing w:before="0" w:after="360"/>
        <w:jc w:val="center"/>
      </w:pPr>
      <w:r>
        <w:rPr>
          <w:rFonts w:ascii="Calibri" w:hAnsi="Calibri"/>
          <w:b/>
          <w:color w:val="0A2647"/>
          <w:sz w:val="36"/>
        </w:rPr>
        <w:t>PREFACE</w:t>
      </w:r>
    </w:p>
    <w:p>
      <w:pPr>
        <w:spacing w:after="120" w:line="276" w:lineRule="auto"/>
        <w:jc w:val="both"/>
      </w:pPr>
      <w:r>
        <w:rPr>
          <w:rFonts w:ascii="Calibri" w:hAnsi="Calibri"/>
          <w:color w:val="1E293B"/>
          <w:sz w:val="22"/>
        </w:rPr>
        <w:t>Bachelor of Technology in Artificial Intelligence &amp; Data Science is a comprehensive four-year undergraduate program approved by the All India Council for Technical Education (AICTE) and affiliated with Rajasthan Technical University (RTU), Kota. As a core prerequisite of the curriculum, every candidate is required to undergo an intensive 60-day industrial training at a recognized research laboratory, strategic organization, or technological industry to bridge the critical gap between academic theory and real-world practical application.</w:t>
      </w:r>
    </w:p>
    <w:p>
      <w:pPr>
        <w:spacing w:after="120" w:line="276" w:lineRule="auto"/>
        <w:jc w:val="both"/>
      </w:pPr>
      <w:r>
        <w:rPr>
          <w:rFonts w:ascii="Calibri" w:hAnsi="Calibri"/>
          <w:color w:val="1E293B"/>
          <w:sz w:val="22"/>
        </w:rPr>
        <w:t>The overarching objective of this training is to expose the student to industrial-scale computational architectures, production data workflows, and mission-critical engineering problem statements that demand robust, reliable, and scalable Artificial Intelligence solutions.</w:t>
      </w:r>
    </w:p>
    <w:p>
      <w:pPr>
        <w:spacing w:after="120" w:line="276" w:lineRule="auto"/>
        <w:jc w:val="both"/>
      </w:pPr>
      <w:r>
        <w:rPr>
          <w:rFonts w:ascii="Calibri" w:hAnsi="Calibri"/>
          <w:color w:val="1E293B"/>
          <w:sz w:val="22"/>
        </w:rPr>
        <w:t>I, therefore, submit this comprehensive project report documenting the development and evaluation of the “Maritime Domain Awareness (MDA) 2.0 System: AI-Driven Real-Time Vessel Surveillance, Multi-Sensor Fusion &amp; Anomaly Detection”, which was conceptualized, implemented, and validated during my internship tenure at Indian Space Research Organisation (ISRO) – Brahmaprakash Space Exploration &amp; Research Centre (BSERC).</w:t>
      </w:r>
    </w:p>
    <w:p>
      <w:pPr>
        <w:spacing w:after="120" w:line="276" w:lineRule="auto"/>
        <w:jc w:val="both"/>
      </w:pPr>
      <w:r>
        <w:rPr>
          <w:rFonts w:ascii="Calibri" w:hAnsi="Calibri"/>
          <w:color w:val="1E293B"/>
          <w:sz w:val="22"/>
        </w:rPr>
        <w:t>The project addresses urgent challenges faced in maritime security across the Indian Ocean Region (IOR), including satellite AIS packet dropouts, illicit ship-to-ship (STS) transshipments, maritime GPS/AIS position spoofing, suspicious port loitering, and overland coordinate inaccuracies. It embodies a full-stack tactical platform combining FastAPI microservices, Leaflet geospatial mapping, DBSCAN spatial clustering, LSTM Autoencoders, 4-state Extended Kalman Filtering, and multi-sensor intelligence fusion.</w:t>
      </w:r>
    </w:p>
    <w:p>
      <w:r>
        <w:br w:type="page"/>
      </w:r>
    </w:p>
    <w:p>
      <w:pPr>
        <w:spacing w:before="0" w:after="360"/>
        <w:jc w:val="center"/>
      </w:pPr>
      <w:r>
        <w:rPr>
          <w:rFonts w:ascii="Calibri" w:hAnsi="Calibri"/>
          <w:b/>
          <w:color w:val="0A2647"/>
          <w:sz w:val="36"/>
        </w:rPr>
        <w:t>ORGANIZATION PROFILE: ISRO (BSERC)</w:t>
      </w:r>
    </w:p>
    <w:p>
      <w:pPr>
        <w:spacing w:after="120" w:line="276" w:lineRule="auto"/>
        <w:jc w:val="both"/>
      </w:pPr>
      <w:r>
        <w:rPr>
          <w:rFonts w:ascii="Calibri" w:hAnsi="Calibri"/>
          <w:b/>
          <w:color w:val="1E293B"/>
          <w:sz w:val="22"/>
        </w:rPr>
        <w:t xml:space="preserve">Overview of ISRO: </w:t>
      </w:r>
      <w:r>
        <w:rPr>
          <w:rFonts w:ascii="Calibri" w:hAnsi="Calibri"/>
          <w:color w:val="1E293B"/>
          <w:sz w:val="22"/>
        </w:rPr>
        <w:t>The Indian Space Research Organisation (ISRO) is the premier national space agency of the Republic of India, operating under the Department of Space (DOS), Government of India. Headquartered in Bengaluru, ISRO has established a global reputation as one of the world's most capable and cost-effective space agencies, pioneering advancements in space exploration, satellite telecommunications, Earth observation, satellite navigation, and planetary sciences.</w:t>
      </w:r>
    </w:p>
    <w:p>
      <w:pPr>
        <w:spacing w:after="120" w:line="276" w:lineRule="auto"/>
        <w:jc w:val="both"/>
      </w:pPr>
      <w:r>
        <w:rPr>
          <w:rFonts w:ascii="Calibri" w:hAnsi="Calibri"/>
          <w:b/>
          <w:color w:val="1E293B"/>
          <w:sz w:val="22"/>
        </w:rPr>
        <w:t xml:space="preserve">Brahmaprakash Space Exploration &amp; Research Centre (BSERC): </w:t>
      </w:r>
      <w:r>
        <w:rPr>
          <w:rFonts w:ascii="Calibri" w:hAnsi="Calibri"/>
          <w:color w:val="1E293B"/>
          <w:sz w:val="22"/>
        </w:rPr>
        <w:t>The Brahmaprakash Space Exploration &amp; Research Centre (BSERC) / Space Applications Centre (SAC) represents a flagship research and development wing of ISRO dedicated to satellite payload design, remote sensing technologies, satellite-based oceanography, space-based communications, and strategic defence analytics. Named after the legendary scientist Dr. Brahm Prakash, the centre spearheads indigenous space innovations supporting national security, disaster mitigation, and natural resource management.</w:t>
      </w:r>
    </w:p>
    <w:p>
      <w:pPr>
        <w:keepNext/>
        <w:spacing w:before="280" w:after="120"/>
      </w:pPr>
      <w:r>
        <w:rPr>
          <w:rFonts w:ascii="Calibri" w:hAnsi="Calibri"/>
          <w:b/>
          <w:color w:val="144272"/>
          <w:sz w:val="26"/>
        </w:rPr>
        <w:t>Strategic Contributions to Maritime Surveillance &amp; Oceanography</w:t>
      </w:r>
    </w:p>
    <w:p>
      <w:pPr>
        <w:spacing w:after="120" w:line="276" w:lineRule="auto"/>
        <w:jc w:val="both"/>
      </w:pPr>
      <w:r>
        <w:rPr>
          <w:rFonts w:ascii="Calibri" w:hAnsi="Calibri"/>
          <w:b/>
          <w:color w:val="1E293B"/>
          <w:sz w:val="22"/>
        </w:rPr>
        <w:t xml:space="preserve">Space-Based Earth Observation Fleet: </w:t>
      </w:r>
      <w:r>
        <w:rPr>
          <w:rFonts w:ascii="Calibri" w:hAnsi="Calibri"/>
          <w:color w:val="1E293B"/>
          <w:sz w:val="22"/>
        </w:rPr>
        <w:t>ISRO and BSERC operate a constellation of advanced Earth Observation Satellites (EOS) and dedicated maritime monitoring platforms:</w:t>
      </w:r>
    </w:p>
    <w:p>
      <w:pPr>
        <w:pStyle w:val="ListBullet"/>
        <w:spacing w:after="80" w:line="276" w:lineRule="auto"/>
        <w:jc w:val="both"/>
      </w:pPr>
      <w:r>
        <w:rPr>
          <w:rFonts w:ascii="Calibri" w:hAnsi="Calibri"/>
          <w:b/>
          <w:color w:val="1E293B"/>
          <w:sz w:val="22"/>
        </w:rPr>
        <w:t xml:space="preserve">Oceansat Series: </w:t>
      </w:r>
      <w:r>
        <w:rPr>
          <w:rFonts w:ascii="Calibri" w:hAnsi="Calibri"/>
          <w:color w:val="1E293B"/>
          <w:sz w:val="22"/>
        </w:rPr>
        <w:t>Oceansat-2 and Oceansat-3 (EOS-06): Equipped with Ocean Color Monitors (OCM), Ku-band Scatterometers, and dedicated Satellite-AIS (S-AIS) receivers to capture vessel signals in open ocean sectors beyond terrestrial VHF line-of-sight.</w:t>
      </w:r>
    </w:p>
    <w:p>
      <w:pPr>
        <w:pStyle w:val="ListBullet"/>
        <w:spacing w:after="80" w:line="276" w:lineRule="auto"/>
        <w:jc w:val="both"/>
      </w:pPr>
      <w:r>
        <w:rPr>
          <w:rFonts w:ascii="Calibri" w:hAnsi="Calibri"/>
          <w:b/>
          <w:color w:val="1E293B"/>
          <w:sz w:val="22"/>
        </w:rPr>
        <w:t xml:space="preserve">RISAT Series (SAR): </w:t>
      </w:r>
      <w:r>
        <w:rPr>
          <w:rFonts w:ascii="Calibri" w:hAnsi="Calibri"/>
          <w:color w:val="1E293B"/>
          <w:sz w:val="22"/>
        </w:rPr>
        <w:t>Radar Imaging Satellites (RISAT-1A / EOS-04): Day-and-night, all-weather C-band Synthetic Aperture Radar (SAR) capable of piercing heavy cloud cover and capturing physical vessel hull signatures, enabling detection of dark targets with disabled AIS transponders.</w:t>
      </w:r>
    </w:p>
    <w:p>
      <w:pPr>
        <w:pStyle w:val="ListBullet"/>
        <w:spacing w:after="80" w:line="276" w:lineRule="auto"/>
        <w:jc w:val="both"/>
      </w:pPr>
      <w:r>
        <w:rPr>
          <w:rFonts w:ascii="Calibri" w:hAnsi="Calibri"/>
          <w:b/>
          <w:color w:val="1E293B"/>
          <w:sz w:val="22"/>
        </w:rPr>
        <w:t xml:space="preserve">NavIC Navigation System: </w:t>
      </w:r>
      <w:r>
        <w:rPr>
          <w:rFonts w:ascii="Calibri" w:hAnsi="Calibri"/>
          <w:color w:val="1E293B"/>
          <w:sz w:val="22"/>
        </w:rPr>
        <w:t>Navigation with Indian Constellation (NavIC / IRNSS): India's sovereign satellite navigation system providing highly accurate position, velocity, and timing (PVT) signals across the Indian Ocean Region up to 1,500 km beyond national territorial borders.</w:t>
      </w:r>
    </w:p>
    <w:p>
      <w:pPr>
        <w:pStyle w:val="ListBullet"/>
        <w:spacing w:after="80" w:line="276" w:lineRule="auto"/>
        <w:jc w:val="both"/>
      </w:pPr>
      <w:r>
        <w:rPr>
          <w:rFonts w:ascii="Calibri" w:hAnsi="Calibri"/>
          <w:b/>
          <w:color w:val="1E293B"/>
          <w:sz w:val="22"/>
        </w:rPr>
        <w:t xml:space="preserve">VCSS Transponders: </w:t>
      </w:r>
      <w:r>
        <w:rPr>
          <w:rFonts w:ascii="Calibri" w:hAnsi="Calibri"/>
          <w:color w:val="1E293B"/>
          <w:sz w:val="22"/>
        </w:rPr>
        <w:t>Vessel Communication and Support System (VCSS): Satellite-enabled two-way communication terminals deployed on naval escorts, merchant vessels, and deep-sea fishing crafts to provide tactical distress messaging, weather alerts, and positional telemetry.</w:t>
      </w:r>
    </w:p>
    <w:p>
      <w:pPr>
        <w:keepNext/>
        <w:spacing w:before="280" w:after="120"/>
      </w:pPr>
      <w:r>
        <w:rPr>
          <w:rFonts w:ascii="Calibri" w:hAnsi="Calibri"/>
          <w:b/>
          <w:color w:val="144272"/>
          <w:sz w:val="26"/>
        </w:rPr>
        <w:t>Core Technical Divisions at ISRO (BSERC)</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68"/>
            <w:shd w:fill="0A2647"/>
            <w:tcMar>
              <w:top w:w="120" w:type="dxa"/>
              <w:bottom w:w="120" w:type="dxa"/>
              <w:left w:w="140" w:type="dxa"/>
              <w:right w:w="140" w:type="dxa"/>
            </w:tcMar>
          </w:tcPr>
          <w:p>
            <w:pPr>
              <w:jc w:val="center"/>
            </w:pPr>
            <w:r>
              <w:rPr>
                <w:rFonts w:ascii="Calibri" w:hAnsi="Calibri"/>
                <w:b/>
                <w:color w:val="FFFFFF"/>
                <w:sz w:val="21"/>
              </w:rPr>
              <w:t>Division</w:t>
            </w:r>
          </w:p>
        </w:tc>
        <w:tc>
          <w:tcPr>
            <w:tcW w:type="dxa" w:w="5472"/>
            <w:shd w:fill="0A2647"/>
            <w:tcMar>
              <w:top w:w="120" w:type="dxa"/>
              <w:bottom w:w="120" w:type="dxa"/>
              <w:left w:w="140" w:type="dxa"/>
              <w:right w:w="140" w:type="dxa"/>
            </w:tcMar>
          </w:tcPr>
          <w:p>
            <w:pPr>
              <w:jc w:val="center"/>
            </w:pPr>
            <w:r>
              <w:rPr>
                <w:rFonts w:ascii="Calibri" w:hAnsi="Calibri"/>
                <w:b/>
                <w:color w:val="FFFFFF"/>
                <w:sz w:val="21"/>
              </w:rPr>
              <w:t>Mandate &amp; Operational Scope</w:t>
            </w:r>
          </w:p>
        </w:tc>
        <w:tc>
          <w:tcPr>
            <w:tcW w:type="dxa" w:w="2880"/>
            <w:shd w:fill="0A2647"/>
            <w:tcMar>
              <w:top w:w="120" w:type="dxa"/>
              <w:bottom w:w="120" w:type="dxa"/>
              <w:left w:w="140" w:type="dxa"/>
              <w:right w:w="140" w:type="dxa"/>
            </w:tcMar>
          </w:tcPr>
          <w:p>
            <w:pPr>
              <w:jc w:val="center"/>
            </w:pPr>
            <w:r>
              <w:rPr>
                <w:rFonts w:ascii="Calibri" w:hAnsi="Calibri"/>
                <w:b/>
                <w:color w:val="FFFFFF"/>
                <w:sz w:val="21"/>
              </w:rPr>
              <w:t>Key Technologies Deployed</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Ocean &amp; Maritime Analytics (OMAD)</w:t>
            </w:r>
          </w:p>
        </w:tc>
        <w:tc>
          <w:tcPr>
            <w:tcW w:type="dxa" w:w="5472"/>
            <w:shd w:fill="FFFFFF"/>
            <w:tcMar>
              <w:top w:w="80" w:type="dxa"/>
              <w:bottom w:w="80" w:type="dxa"/>
              <w:left w:w="120" w:type="dxa"/>
              <w:right w:w="120" w:type="dxa"/>
            </w:tcMar>
          </w:tcPr>
          <w:p>
            <w:pPr>
              <w:spacing w:after="0"/>
              <w:jc w:val="left"/>
            </w:pPr>
            <w:r>
              <w:rPr>
                <w:rFonts w:ascii="Calibri" w:hAnsi="Calibri"/>
                <w:color w:val="1E293B"/>
                <w:sz w:val="20"/>
              </w:rPr>
              <w:t>Satellite AIS telemetry decoding, trajectory modeling, and strategic IOR traffic intelligence</w:t>
            </w:r>
          </w:p>
        </w:tc>
        <w:tc>
          <w:tcPr>
            <w:tcW w:type="dxa" w:w="2880"/>
            <w:shd w:fill="FFFFFF"/>
            <w:tcMar>
              <w:top w:w="80" w:type="dxa"/>
              <w:bottom w:w="80" w:type="dxa"/>
              <w:left w:w="120" w:type="dxa"/>
              <w:right w:w="120" w:type="dxa"/>
            </w:tcMar>
          </w:tcPr>
          <w:p>
            <w:pPr>
              <w:spacing w:after="0"/>
              <w:jc w:val="left"/>
            </w:pPr>
            <w:r>
              <w:rPr>
                <w:rFonts w:ascii="Calibri" w:hAnsi="Calibri"/>
                <w:color w:val="1E293B"/>
                <w:sz w:val="20"/>
              </w:rPr>
              <w:t>Python, FastAPI, DBSCAN, PyTorch, GeoJSON</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SAR Remote Sensing Wing (SRSW)</w:t>
            </w:r>
          </w:p>
        </w:tc>
        <w:tc>
          <w:tcPr>
            <w:tcW w:type="dxa" w:w="5472"/>
            <w:shd w:fill="F1F5F9"/>
            <w:tcMar>
              <w:top w:w="80" w:type="dxa"/>
              <w:bottom w:w="80" w:type="dxa"/>
              <w:left w:w="120" w:type="dxa"/>
              <w:right w:w="120" w:type="dxa"/>
            </w:tcMar>
          </w:tcPr>
          <w:p>
            <w:pPr>
              <w:spacing w:after="0"/>
              <w:jc w:val="left"/>
            </w:pPr>
            <w:r>
              <w:rPr>
                <w:rFonts w:ascii="Calibri" w:hAnsi="Calibri"/>
                <w:color w:val="1E293B"/>
                <w:sz w:val="20"/>
              </w:rPr>
              <w:t>Synthetic Aperture Radar hull detection, wake analysis, and RF cross-validation</w:t>
            </w:r>
          </w:p>
        </w:tc>
        <w:tc>
          <w:tcPr>
            <w:tcW w:type="dxa" w:w="2880"/>
            <w:shd w:fill="F1F5F9"/>
            <w:tcMar>
              <w:top w:w="80" w:type="dxa"/>
              <w:bottom w:w="80" w:type="dxa"/>
              <w:left w:w="120" w:type="dxa"/>
              <w:right w:w="120" w:type="dxa"/>
            </w:tcMar>
          </w:tcPr>
          <w:p>
            <w:pPr>
              <w:spacing w:after="0"/>
              <w:jc w:val="left"/>
            </w:pPr>
            <w:r>
              <w:rPr>
                <w:rFonts w:ascii="Calibri" w:hAnsi="Calibri"/>
                <w:color w:val="1E293B"/>
                <w:sz w:val="20"/>
              </w:rPr>
              <w:t>Sentinel-1 SAR, RISAT-1A, OpenCV, GDAL</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NavIC Positioning &amp; Telemetry (NPTD)</w:t>
            </w:r>
          </w:p>
        </w:tc>
        <w:tc>
          <w:tcPr>
            <w:tcW w:type="dxa" w:w="5472"/>
            <w:shd w:fill="FFFFFF"/>
            <w:tcMar>
              <w:top w:w="80" w:type="dxa"/>
              <w:bottom w:w="80" w:type="dxa"/>
              <w:left w:w="120" w:type="dxa"/>
              <w:right w:w="120" w:type="dxa"/>
            </w:tcMar>
          </w:tcPr>
          <w:p>
            <w:pPr>
              <w:spacing w:after="0"/>
              <w:jc w:val="left"/>
            </w:pPr>
            <w:r>
              <w:rPr>
                <w:rFonts w:ascii="Calibri" w:hAnsi="Calibri"/>
                <w:color w:val="1E293B"/>
                <w:sz w:val="20"/>
              </w:rPr>
              <w:t>Regional satellite navigation receiver design, time-sync, and anti-spoofing protocols</w:t>
            </w:r>
          </w:p>
        </w:tc>
        <w:tc>
          <w:tcPr>
            <w:tcW w:type="dxa" w:w="2880"/>
            <w:shd w:fill="FFFFFF"/>
            <w:tcMar>
              <w:top w:w="80" w:type="dxa"/>
              <w:bottom w:w="80" w:type="dxa"/>
              <w:left w:w="120" w:type="dxa"/>
              <w:right w:w="120" w:type="dxa"/>
            </w:tcMar>
          </w:tcPr>
          <w:p>
            <w:pPr>
              <w:spacing w:after="0"/>
              <w:jc w:val="left"/>
            </w:pPr>
            <w:r>
              <w:rPr>
                <w:rFonts w:ascii="Calibri" w:hAnsi="Calibri"/>
                <w:color w:val="1E293B"/>
                <w:sz w:val="20"/>
              </w:rPr>
              <w:t>IRNSS L5/S-band signals, EKF, Kalman Smoothing</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AI &amp; Deep Learning Labs (AIDL)</w:t>
            </w:r>
          </w:p>
        </w:tc>
        <w:tc>
          <w:tcPr>
            <w:tcW w:type="dxa" w:w="5472"/>
            <w:shd w:fill="F1F5F9"/>
            <w:tcMar>
              <w:top w:w="80" w:type="dxa"/>
              <w:bottom w:w="80" w:type="dxa"/>
              <w:left w:w="120" w:type="dxa"/>
              <w:right w:w="120" w:type="dxa"/>
            </w:tcMar>
          </w:tcPr>
          <w:p>
            <w:pPr>
              <w:spacing w:after="0"/>
              <w:jc w:val="left"/>
            </w:pPr>
            <w:r>
              <w:rPr>
                <w:rFonts w:ascii="Calibri" w:hAnsi="Calibri"/>
                <w:color w:val="1E293B"/>
                <w:sz w:val="20"/>
              </w:rPr>
              <w:t>Autonomous anomaly detection, neural trajectory reconstruction, and multi-source data fusion</w:t>
            </w:r>
          </w:p>
        </w:tc>
        <w:tc>
          <w:tcPr>
            <w:tcW w:type="dxa" w:w="2880"/>
            <w:shd w:fill="F1F5F9"/>
            <w:tcMar>
              <w:top w:w="80" w:type="dxa"/>
              <w:bottom w:w="80" w:type="dxa"/>
              <w:left w:w="120" w:type="dxa"/>
              <w:right w:w="120" w:type="dxa"/>
            </w:tcMar>
          </w:tcPr>
          <w:p>
            <w:pPr>
              <w:spacing w:after="0"/>
              <w:jc w:val="left"/>
            </w:pPr>
            <w:r>
              <w:rPr>
                <w:rFonts w:ascii="Calibri" w:hAnsi="Calibri"/>
                <w:color w:val="1E293B"/>
                <w:sz w:val="20"/>
              </w:rPr>
              <w:t>LSTM Autoencoders, TensorFlow, Scikit-learn</w:t>
            </w:r>
          </w:p>
        </w:tc>
      </w:tr>
    </w:tbl>
    <w:p>
      <w:pPr>
        <w:spacing w:after="120"/>
      </w:pPr>
    </w:p>
    <w:p>
      <w:r>
        <w:br w:type="page"/>
      </w:r>
    </w:p>
    <w:p>
      <w:pPr>
        <w:spacing w:before="0" w:after="280"/>
        <w:jc w:val="center"/>
      </w:pPr>
      <w:r>
        <w:rPr>
          <w:rFonts w:ascii="Calibri" w:hAnsi="Calibri"/>
          <w:b/>
          <w:color w:val="0A2647"/>
          <w:sz w:val="36"/>
        </w:rPr>
        <w:t>TABLE OF CONTENTS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2592"/>
            <w:shd w:fill="0A2647"/>
            <w:tcMar>
              <w:top w:w="120" w:type="dxa"/>
              <w:bottom w:w="120" w:type="dxa"/>
              <w:left w:w="140" w:type="dxa"/>
              <w:right w:w="140" w:type="dxa"/>
            </w:tcMar>
          </w:tcPr>
          <w:p>
            <w:pPr>
              <w:jc w:val="center"/>
            </w:pPr>
            <w:r>
              <w:rPr>
                <w:rFonts w:ascii="Calibri" w:hAnsi="Calibri"/>
                <w:b/>
                <w:color w:val="FFFFFF"/>
                <w:sz w:val="21"/>
              </w:rPr>
              <w:t>Chapter / Section No.</w:t>
            </w:r>
          </w:p>
        </w:tc>
        <w:tc>
          <w:tcPr>
            <w:tcW w:type="dxa" w:w="6768"/>
            <w:shd w:fill="0A2647"/>
            <w:tcMar>
              <w:top w:w="120" w:type="dxa"/>
              <w:bottom w:w="120" w:type="dxa"/>
              <w:left w:w="140" w:type="dxa"/>
              <w:right w:w="140" w:type="dxa"/>
            </w:tcMar>
          </w:tcPr>
          <w:p>
            <w:pPr>
              <w:jc w:val="center"/>
            </w:pPr>
            <w:r>
              <w:rPr>
                <w:rFonts w:ascii="Calibri" w:hAnsi="Calibri"/>
                <w:b/>
                <w:color w:val="FFFFFF"/>
                <w:sz w:val="21"/>
              </w:rPr>
              <w:t>Title of Chapter / Topic</w:t>
            </w:r>
          </w:p>
        </w:tc>
        <w:tc>
          <w:tcPr>
            <w:tcW w:type="dxa" w:w="1440"/>
            <w:shd w:fill="0A2647"/>
            <w:tcMar>
              <w:top w:w="120" w:type="dxa"/>
              <w:bottom w:w="120" w:type="dxa"/>
              <w:left w:w="140" w:type="dxa"/>
              <w:right w:w="140" w:type="dxa"/>
            </w:tcMar>
          </w:tcPr>
          <w:p>
            <w:pPr>
              <w:jc w:val="center"/>
            </w:pPr>
            <w:r>
              <w:rPr>
                <w:rFonts w:ascii="Calibri" w:hAnsi="Calibri"/>
                <w:b/>
                <w:color w:val="FFFFFF"/>
                <w:sz w:val="21"/>
              </w:rPr>
              <w:t>Page No.</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Certificate of Industrial Training</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i</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Candidate Declaration</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ii</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Acknowledgement</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iii</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Preface</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iv</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Organization Profile: ISRO (BSERC)</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v</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CHAPTER 1</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INTRODUCTION, PROBLEM STATEMENT &amp; PROPOSED SOLUTION</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1.1</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Maritime Domain Awareness (MDA) Context &amp; Strategic Significance in IOR</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1.2</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Problem Statement (PS): Critical Vulnerabilities in Contemporary Tracking</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3</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1.3</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Proposed Solution: NMDA 2.0 AI-Driven Multi-Sensor Architecture</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4</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1.4</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Objectives &amp; Scope of the Lab Project at ISRO (BSERC)</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5</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1.5</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Key Features &amp; Distinguishing Capabilities of the Platform</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6</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CHAPTER 2</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LITERATURE REVIEW &amp; SATELLITE MARITIME SURVEILLANCE</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7</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2.1</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Evolution of Maritime Surveillance Systems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8</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2.2</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Satellite AIS (S-AIS) &amp; NavIC Integration Standards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9</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2.3</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Taxonomy of Maritime Anomalies &amp; Asymmetric Threats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10</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2.4</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Comparative Analysis of Classical vs Deep Learning Detection Models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11</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CHAPTER 3</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DATA PIPELINE, TELEMETRY INGESTION &amp; GEOSPATIAL MODELING</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12</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3.1</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AIS Telemetry Data Structure &amp; NMEA-0183 Payload Format</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13</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3.2</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Live Ingestion Engine (AISLiveBridge WebSocket &amp; High-Rate Simulation)</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14</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3.3</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Geospatial Boundary Engine &amp; Strict Sea-Constraint Validation</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15</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3.4</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Multi-Sensor Intelligence Fusion (SAR Radar, RF, Sanctions &amp; Watchlists)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16</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CHAPTER 4</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CORE ARTIFICIAL INTELLIGENCE &amp; MACHINE LEARNING ARCHITECTURE</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17</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4.1</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Unsupervised Shipping Lane Extraction (DBSCAN Clustering)</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18</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4.2</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Deep Kinematic Anomaly Detection (LSTM Autoencoder Modeling)</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19</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4.3</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4-State Extended Kalman Filter (EKF) &amp; Dark Maneuver Detection</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20</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4.4</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Spatial Density Loitering Analysis (Centroid Drift &amp; Variance Scoring)</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21</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4.5</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Kinematic &amp; Spatiotemporal Heuristic Detection Modules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22</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4.6</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Multi-Factor Unified Risk Scoring Formula &amp; Threat Severity Matrix</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23</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CHAPTER 5</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SYSTEM IMPLEMENTATION &amp; FULL-STACK TECHNOLOGY STACK</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24</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5.1</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High-Performance Backend Microservices (FastAPI &amp; AsyncIO)</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25</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5.2</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Interactive Tactical Command Center (React 18, Vite &amp; Leaflet GIS)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26</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5.3</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Shipboard Operator Portal &amp; HQ Two-Way Tactical Communications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27</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5.4</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Military-Grade Security &amp; Tactical Clearance Passcode Protection</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28</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5.5</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Force-Directed Link Analysis &amp; Beneficial Ownership Discovery</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29</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CHAPTER 6</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EXPERIMENTAL RESULTS, VERIFICATION &amp; BENCHMARKS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30</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6.1</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Anomaly Detection Verification (STS, Dark Vessel, Loiter, Spoof)</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31</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6.2</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Geospatial Accuracy Validation &amp; Zero Overland Trajectory Benchmark</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32</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 xml:space="preserve">  6.3</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Computational Latency, Throughput &amp; Scaling Benchmarks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33</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 xml:space="preserve">  6.4</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Deployment Architecture &amp; Production Runbook</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34</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CHAPTER 7</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TACTICAL INTERFACE WALKTHROUGH &amp; SYSTEM SCREENSHOTS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35</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CONCLUSION</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41</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1F5F9"/>
            <w:tcMar>
              <w:top w:w="80" w:type="dxa"/>
              <w:bottom w:w="80" w:type="dxa"/>
              <w:left w:w="120" w:type="dxa"/>
              <w:right w:w="120" w:type="dxa"/>
            </w:tcMar>
          </w:tcPr>
          <w:p>
            <w:pPr>
              <w:spacing w:after="0"/>
              <w:jc w:val="left"/>
            </w:pPr>
            <w:r>
              <w:rPr>
                <w:rFonts w:ascii="Calibri" w:hAnsi="Calibri"/>
                <w:color w:val="1E293B"/>
                <w:sz w:val="20"/>
              </w:rPr>
              <w:t>FUTURE SCOPE</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42</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w:t>
            </w:r>
          </w:p>
        </w:tc>
        <w:tc>
          <w:tcPr>
            <w:tcW w:type="dxa" w:w="6768"/>
            <w:shd w:fill="FFFFFF"/>
            <w:tcMar>
              <w:top w:w="80" w:type="dxa"/>
              <w:bottom w:w="80" w:type="dxa"/>
              <w:left w:w="120" w:type="dxa"/>
              <w:right w:w="120" w:type="dxa"/>
            </w:tcMar>
          </w:tcPr>
          <w:p>
            <w:pPr>
              <w:spacing w:after="0"/>
              <w:jc w:val="left"/>
            </w:pPr>
            <w:r>
              <w:rPr>
                <w:rFonts w:ascii="Calibri" w:hAnsi="Calibri"/>
                <w:color w:val="1E293B"/>
                <w:sz w:val="20"/>
              </w:rPr>
              <w:t>REFERENCES</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43</w:t>
            </w:r>
          </w:p>
        </w:tc>
      </w:tr>
    </w:tbl>
    <w:p>
      <w:pPr>
        <w:spacing w:after="120"/>
      </w:pPr>
    </w:p>
    <w:p>
      <w:r>
        <w:br w:type="page"/>
      </w:r>
    </w:p>
    <w:p>
      <w:pPr>
        <w:spacing w:before="360" w:after="40"/>
        <w:jc w:val="center"/>
      </w:pPr>
      <w:r>
        <w:rPr>
          <w:rFonts w:ascii="Calibri" w:hAnsi="Calibri"/>
          <w:b/>
          <w:color w:val="0A2647"/>
          <w:sz w:val="32"/>
        </w:rPr>
        <w:t>CHAPTER 1</w:t>
      </w:r>
    </w:p>
    <w:p>
      <w:pPr>
        <w:spacing w:before="0" w:after="320"/>
        <w:jc w:val="center"/>
      </w:pPr>
      <w:r>
        <w:rPr>
          <w:rFonts w:ascii="Calibri" w:hAnsi="Calibri"/>
          <w:b/>
          <w:color w:val="144272"/>
          <w:sz w:val="28"/>
        </w:rPr>
        <w:t>INTRODUCTION, PROBLEM STATEMENT &amp; PROPOSED SOLUTION</w:t>
      </w:r>
    </w:p>
    <w:p>
      <w:pPr>
        <w:keepNext/>
        <w:spacing w:before="280" w:after="120"/>
      </w:pPr>
      <w:r>
        <w:rPr>
          <w:rFonts w:ascii="Calibri" w:hAnsi="Calibri"/>
          <w:b/>
          <w:color w:val="144272"/>
          <w:sz w:val="26"/>
        </w:rPr>
        <w:t>1.1 Maritime Domain Awareness (MDA) Context &amp; Strategic Significance</w:t>
      </w:r>
    </w:p>
    <w:p>
      <w:pPr>
        <w:spacing w:after="120" w:line="276" w:lineRule="auto"/>
        <w:jc w:val="both"/>
      </w:pPr>
      <w:r>
        <w:rPr>
          <w:rFonts w:ascii="Calibri" w:hAnsi="Calibri"/>
          <w:color w:val="1E293B"/>
          <w:sz w:val="22"/>
        </w:rPr>
        <w:t>Maritime Domain Awareness (MDA) is formally defined by the International Maritime Organization (IMO) and naval doctrines as the effective understanding of all maritime activities that could impact the security, safety, economy, or environment of a sovereign nation. India occupies a paramount geostrategic position in the Indian Ocean Region (IOR), flanked by the Arabian Sea to the west, the Bay of Bengal to the east, and the expansive Indian Ocean to the south.</w:t>
      </w:r>
    </w:p>
    <w:p>
      <w:pPr>
        <w:spacing w:after="120" w:line="276" w:lineRule="auto"/>
        <w:jc w:val="both"/>
      </w:pPr>
      <w:r>
        <w:rPr>
          <w:rFonts w:ascii="Calibri" w:hAnsi="Calibri"/>
          <w:color w:val="1E293B"/>
          <w:sz w:val="22"/>
        </w:rPr>
        <w:t>India commands an extensive coastline spanning over 7,516 kilometers, an Exclusive Economic Zone (EEZ) encompassing more than 2.37 million square kilometers, and 12 major and over 200 non-major commercial ports. Furthermore, over 80% of global seaborne oil trade and more than 100,000 commercial merchant vessels traverse the vital Sea Lines of Communication (SLOCs) passing through critical international chokepoints—including the Strait of Hormuz, Bab-el-Mandeb, and the Strait of Malacca—adjacent to Indian waters every year.</w:t>
      </w:r>
    </w:p>
    <w:p>
      <w:pPr>
        <w:spacing w:after="120" w:line="276" w:lineRule="auto"/>
        <w:jc w:val="both"/>
      </w:pPr>
      <w:r>
        <w:rPr>
          <w:rFonts w:ascii="Calibri" w:hAnsi="Calibri"/>
          <w:color w:val="1E293B"/>
          <w:sz w:val="22"/>
        </w:rPr>
        <w:t>Ensuring impenetrable maritime security and monitoring this colossal volume of high-density maritime traffic requires an autonomous, resilient, and intelligent surveillance architecture capable of real-time multi-sensor data fusion, trajectory extrapolation, and automated asymmetric anomaly detection.</w:t>
      </w:r>
    </w:p>
    <w:p>
      <w:pPr>
        <w:keepNext/>
        <w:spacing w:before="280" w:after="120"/>
      </w:pPr>
      <w:r>
        <w:rPr>
          <w:rFonts w:ascii="Calibri" w:hAnsi="Calibri"/>
          <w:b/>
          <w:color w:val="144272"/>
          <w:sz w:val="26"/>
        </w:rPr>
        <w:t>1.2 Problem Statement (PS): Critical Vulnerabilities in Contemporary Systems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FORMAL PROBLEM STATEMENT (PS)</w:t>
              <w:br/>
            </w:r>
            <w:r>
              <w:rPr>
                <w:rFonts w:ascii="Calibri" w:hAnsi="Calibri"/>
                <w:color w:val="1E293B"/>
                <w:sz w:val="21"/>
              </w:rPr>
              <w:t>Existing coastal radar and civilian Automatic Identification System (AIS) monitoring platforms suffer from catastrophic operational vulnerabilities:</w:t>
              <w:br/>
            </w:r>
            <w:r>
              <w:rPr>
                <w:rFonts w:ascii="Calibri" w:hAnsi="Calibri"/>
                <w:color w:val="1E293B"/>
                <w:sz w:val="21"/>
              </w:rPr>
              <w:t>1. AIS Dropout &amp; Dark Vessel Infiltration: Illicit vessels intentionally switch off transponders to execute clandestine maneuvers, smuggling, or illegal fishing without detection.</w:t>
              <w:br/>
            </w:r>
            <w:r>
              <w:rPr>
                <w:rFonts w:ascii="Calibri" w:hAnsi="Calibri"/>
                <w:color w:val="1E293B"/>
                <w:sz w:val="21"/>
              </w:rPr>
              <w:t>2. AIS Position Spoofing &amp; GPS Manipulation: Malicious actors broadcast falsified GNSS coordinates to simulate legitimate positions while physically operating elsewhere.</w:t>
              <w:br/>
            </w:r>
            <w:r>
              <w:rPr>
                <w:rFonts w:ascii="Calibri" w:hAnsi="Calibri"/>
                <w:color w:val="1E293B"/>
                <w:sz w:val="21"/>
              </w:rPr>
              <w:t>3. Illicit Ship-to-Ship (STS) Transfers: Rogue tankers execute covert mid-sea oil transshipments and contraband transfers by synchronizing velocity in open international waters.</w:t>
              <w:br/>
            </w:r>
            <w:r>
              <w:rPr>
                <w:rFonts w:ascii="Calibri" w:hAnsi="Calibri"/>
                <w:color w:val="1E293B"/>
                <w:sz w:val="21"/>
              </w:rPr>
              <w:t>4. Port Loitering &amp; Reconnaissance: Unauthorized foreign vessels linger outside territorial anchorages for prolonged durations without logging formal port calls.</w:t>
              <w:br/>
            </w:r>
            <w:r>
              <w:rPr>
                <w:rFonts w:ascii="Calibri" w:hAnsi="Calibri"/>
                <w:color w:val="1E293B"/>
                <w:sz w:val="21"/>
              </w:rPr>
              <w:t>5. Synthetic Overland Drift: Inadequate geospatial simulation models frequently project ships overland across mainland topography, degrading tactical credibility.</w:t>
              <w:br/>
            </w:r>
          </w:p>
        </w:tc>
      </w:tr>
    </w:tbl>
    <w:p>
      <w:pPr>
        <w:spacing w:after="120"/>
      </w:pPr>
    </w:p>
    <w:p>
      <w:pPr>
        <w:spacing w:after="120" w:line="276" w:lineRule="auto"/>
        <w:jc w:val="both"/>
      </w:pPr>
      <w:r>
        <w:rPr>
          <w:rFonts w:ascii="Calibri" w:hAnsi="Calibri"/>
          <w:color w:val="1E293B"/>
          <w:sz w:val="22"/>
        </w:rPr>
        <w:t>Traditional rule-based surveillance systems rely on static thresholds (such as fixed speed limits or geographic geofences), generating unacceptable false alarm rates or failing entirely to uncover multi-dimensional, evolving anomalies. There exists a critical necessity for an indigenous, AI-powered system that fuses satellite telemetry, machine learning pattern recognition, and physics-based state estimators into a unified operational picture.</w:t>
      </w:r>
    </w:p>
    <w:p>
      <w:pPr>
        <w:keepNext/>
        <w:spacing w:before="280" w:after="120"/>
      </w:pPr>
      <w:r>
        <w:rPr>
          <w:rFonts w:ascii="Calibri" w:hAnsi="Calibri"/>
          <w:b/>
          <w:color w:val="144272"/>
          <w:sz w:val="26"/>
        </w:rPr>
        <w:t>1.3 Proposed Solution: The NMDA 2.0 AI-Driven Architecture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PROPOSED SOLUTION ARCHITECTURE</w:t>
              <w:br/>
            </w:r>
            <w:r>
              <w:rPr>
                <w:rFonts w:ascii="Calibri" w:hAnsi="Calibri"/>
                <w:color w:val="1E293B"/>
                <w:sz w:val="21"/>
              </w:rPr>
              <w:t>The Maritime Domain Awareness (MDA) 2.0 Platform provides an end-to-end, multi-sensor surveillance framework developed during the ISRO (BSERC) internship:</w:t>
              <w:br/>
            </w:r>
            <w:r>
              <w:rPr>
                <w:rFonts w:ascii="Calibri" w:hAnsi="Calibri"/>
                <w:color w:val="1E293B"/>
                <w:sz w:val="21"/>
              </w:rPr>
              <w:t>• Real-Time Satellite Telemetry Ingestion: WebSocket-driven AISLiveBridge processing global and coastal satellite AIS feeds with sub-second latency.</w:t>
              <w:br/>
            </w:r>
            <w:r>
              <w:rPr>
                <w:rFonts w:ascii="Calibri" w:hAnsi="Calibri"/>
                <w:color w:val="1E293B"/>
                <w:sz w:val="21"/>
              </w:rPr>
              <w:t>• Strict Geospatial Sea-Constraint Engine: Ray-casting landmask enforcement ensuring 100% of vessel trajectories remain confined to maritime sea corridors.</w:t>
              <w:br/>
            </w:r>
            <w:r>
              <w:rPr>
                <w:rFonts w:ascii="Calibri" w:hAnsi="Calibri"/>
                <w:color w:val="1E293B"/>
                <w:sz w:val="21"/>
              </w:rPr>
              <w:t>• Quad-Model Machine Learning Engine: Unsupervised DBSCAN shipping lane clustering, Deep LSTM Autoencoder kinematic anomaly detection, 4-State Extended Kalman Filtering (EKF) trajectory extrapolation, and Spatial-Temporal Density loitering profiling.</w:t>
              <w:br/>
            </w:r>
            <w:r>
              <w:rPr>
                <w:rFonts w:ascii="Calibri" w:hAnsi="Calibri"/>
                <w:color w:val="1E293B"/>
                <w:sz w:val="21"/>
              </w:rPr>
              <w:t>• Multi-Sensor Intelligence Fusion: Automated cross-referencing with Sentinel-1 SAR radar hull signatures, IMO beneficial ownership registries, and OFAC/UN sanctions databases.</w:t>
              <w:br/>
            </w:r>
            <w:r>
              <w:rPr>
                <w:rFonts w:ascii="Calibri" w:hAnsi="Calibri"/>
                <w:color w:val="1E293B"/>
                <w:sz w:val="21"/>
              </w:rPr>
              <w:t>• Tactical Command Center &amp; Shipboard Portal: High-resolution React/Leaflet interactive GIS dashboard, link analysis network graphs, two-way satellite comms, and clearance authentication.</w:t>
              <w:br/>
            </w:r>
          </w:p>
        </w:tc>
      </w:tr>
    </w:tbl>
    <w:p>
      <w:pPr>
        <w:spacing w:after="120"/>
      </w:pPr>
    </w:p>
    <w:p>
      <w:pPr>
        <w:keepNext/>
        <w:spacing w:before="280" w:after="120"/>
      </w:pPr>
      <w:r>
        <w:rPr>
          <w:rFonts w:ascii="Calibri" w:hAnsi="Calibri"/>
          <w:b/>
          <w:color w:val="144272"/>
          <w:sz w:val="26"/>
        </w:rPr>
        <w:t>1.4 Objectives &amp; Scope of the Project</w:t>
      </w:r>
    </w:p>
    <w:p>
      <w:pPr>
        <w:pStyle w:val="ListBullet"/>
        <w:spacing w:after="80" w:line="276" w:lineRule="auto"/>
        <w:jc w:val="both"/>
      </w:pPr>
      <w:r>
        <w:rPr>
          <w:rFonts w:ascii="Calibri" w:hAnsi="Calibri"/>
          <w:b/>
          <w:color w:val="1E293B"/>
          <w:sz w:val="22"/>
        </w:rPr>
        <w:t xml:space="preserve">1. High-Performance Ingestion: </w:t>
      </w:r>
      <w:r>
        <w:rPr>
          <w:rFonts w:ascii="Calibri" w:hAnsi="Calibri"/>
          <w:color w:val="1E293B"/>
          <w:sz w:val="22"/>
        </w:rPr>
        <w:t>To engineer a high-throughput, low-latency ASGI backend using FastAPI and Python 3.11 for real-time AIS telemetry ingestion and streaming.</w:t>
      </w:r>
    </w:p>
    <w:p>
      <w:pPr>
        <w:pStyle w:val="ListBullet"/>
        <w:spacing w:after="80" w:line="276" w:lineRule="auto"/>
        <w:jc w:val="both"/>
      </w:pPr>
      <w:r>
        <w:rPr>
          <w:rFonts w:ascii="Calibri" w:hAnsi="Calibri"/>
          <w:b/>
          <w:color w:val="1E293B"/>
          <w:sz w:val="22"/>
        </w:rPr>
        <w:t xml:space="preserve">2. Baseline Lane Discovery: </w:t>
      </w:r>
      <w:r>
        <w:rPr>
          <w:rFonts w:ascii="Calibri" w:hAnsi="Calibri"/>
          <w:color w:val="1E293B"/>
          <w:sz w:val="22"/>
        </w:rPr>
        <w:t>To implement an unsupervised DBSCAN spatial-temporal clustering algorithm to discover baseline shipping corridors across the IOR without manual tagging.</w:t>
      </w:r>
    </w:p>
    <w:p>
      <w:pPr>
        <w:pStyle w:val="ListBullet"/>
        <w:spacing w:after="80" w:line="276" w:lineRule="auto"/>
        <w:jc w:val="both"/>
      </w:pPr>
      <w:r>
        <w:rPr>
          <w:rFonts w:ascii="Calibri" w:hAnsi="Calibri"/>
          <w:b/>
          <w:color w:val="1E293B"/>
          <w:sz w:val="22"/>
        </w:rPr>
        <w:t xml:space="preserve">3. Kinematic Anomaly Modeling: </w:t>
      </w:r>
      <w:r>
        <w:rPr>
          <w:rFonts w:ascii="Calibri" w:hAnsi="Calibri"/>
          <w:color w:val="1E293B"/>
          <w:sz w:val="22"/>
        </w:rPr>
        <w:t>To construct a Deep LSTM Autoencoder neural network to detect subtle non-linear kinematic anomalies via sequence reconstruction error.</w:t>
      </w:r>
    </w:p>
    <w:p>
      <w:pPr>
        <w:pStyle w:val="ListBullet"/>
        <w:spacing w:after="80" w:line="276" w:lineRule="auto"/>
        <w:jc w:val="both"/>
      </w:pPr>
      <w:r>
        <w:rPr>
          <w:rFonts w:ascii="Calibri" w:hAnsi="Calibri"/>
          <w:b/>
          <w:color w:val="1E293B"/>
          <w:sz w:val="22"/>
        </w:rPr>
        <w:t xml:space="preserve">4. Dark Maneuver Quantification: </w:t>
      </w:r>
      <w:r>
        <w:rPr>
          <w:rFonts w:ascii="Calibri" w:hAnsi="Calibri"/>
          <w:color w:val="1E293B"/>
          <w:sz w:val="22"/>
        </w:rPr>
        <w:t>To formulate a 4-state Extended Kalman Filter (EKF) to maintain continuous trajectory estimation during satellite signal dropouts and quantify reappearance divergence.</w:t>
      </w:r>
    </w:p>
    <w:p>
      <w:pPr>
        <w:pStyle w:val="ListBullet"/>
        <w:spacing w:after="80" w:line="276" w:lineRule="auto"/>
        <w:jc w:val="both"/>
      </w:pPr>
      <w:r>
        <w:rPr>
          <w:rFonts w:ascii="Calibri" w:hAnsi="Calibri"/>
          <w:b/>
          <w:color w:val="1E293B"/>
          <w:sz w:val="22"/>
        </w:rPr>
        <w:t xml:space="preserve">5. Strategic Decision Support: </w:t>
      </w:r>
      <w:r>
        <w:rPr>
          <w:rFonts w:ascii="Calibri" w:hAnsi="Calibri"/>
          <w:color w:val="1E293B"/>
          <w:sz w:val="22"/>
        </w:rPr>
        <w:t>To build a tactical operator portal supporting military-grade passcode clearance, automated PDF intelligence generation, and link analysis graphs.</w:t>
      </w:r>
    </w:p>
    <w:p>
      <w:pPr>
        <w:keepNext/>
        <w:spacing w:before="280" w:after="120"/>
      </w:pPr>
      <w:r>
        <w:rPr>
          <w:rFonts w:ascii="Calibri" w:hAnsi="Calibri"/>
          <w:b/>
          <w:color w:val="144272"/>
          <w:sz w:val="26"/>
        </w:rPr>
        <w:t>1.5 Key Features of the NMDA 2.0 Platform</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68"/>
            <w:shd w:fill="0A2647"/>
            <w:tcMar>
              <w:top w:w="120" w:type="dxa"/>
              <w:bottom w:w="120" w:type="dxa"/>
              <w:left w:w="140" w:type="dxa"/>
              <w:right w:w="140" w:type="dxa"/>
            </w:tcMar>
          </w:tcPr>
          <w:p>
            <w:pPr>
              <w:jc w:val="center"/>
            </w:pPr>
            <w:r>
              <w:rPr>
                <w:rFonts w:ascii="Calibri" w:hAnsi="Calibri"/>
                <w:b/>
                <w:color w:val="FFFFFF"/>
                <w:sz w:val="21"/>
              </w:rPr>
              <w:t>Feature Module</w:t>
            </w:r>
          </w:p>
        </w:tc>
        <w:tc>
          <w:tcPr>
            <w:tcW w:type="dxa" w:w="3744"/>
            <w:shd w:fill="0A2647"/>
            <w:tcMar>
              <w:top w:w="120" w:type="dxa"/>
              <w:bottom w:w="120" w:type="dxa"/>
              <w:left w:w="140" w:type="dxa"/>
              <w:right w:w="140" w:type="dxa"/>
            </w:tcMar>
          </w:tcPr>
          <w:p>
            <w:pPr>
              <w:jc w:val="center"/>
            </w:pPr>
            <w:r>
              <w:rPr>
                <w:rFonts w:ascii="Calibri" w:hAnsi="Calibri"/>
                <w:b/>
                <w:color w:val="FFFFFF"/>
                <w:sz w:val="21"/>
              </w:rPr>
              <w:t>Underlying Technology</w:t>
            </w:r>
          </w:p>
        </w:tc>
        <w:tc>
          <w:tcPr>
            <w:tcW w:type="dxa" w:w="4608"/>
            <w:shd w:fill="0A2647"/>
            <w:tcMar>
              <w:top w:w="120" w:type="dxa"/>
              <w:bottom w:w="120" w:type="dxa"/>
              <w:left w:w="140" w:type="dxa"/>
              <w:right w:w="140" w:type="dxa"/>
            </w:tcMar>
          </w:tcPr>
          <w:p>
            <w:pPr>
              <w:jc w:val="center"/>
            </w:pPr>
            <w:r>
              <w:rPr>
                <w:rFonts w:ascii="Calibri" w:hAnsi="Calibri"/>
                <w:b/>
                <w:color w:val="FFFFFF"/>
                <w:sz w:val="21"/>
              </w:rPr>
              <w:t>Operational Capability</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Multi-Sensor Fusion Engine</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AIS + Sentinel-1 SAR + RF + Sanctions</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Cross-validates physical vessel presence against broadcast transponder identity</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Spatial Density Clustering</w:t>
            </w:r>
          </w:p>
        </w:tc>
        <w:tc>
          <w:tcPr>
            <w:tcW w:type="dxa" w:w="3744"/>
            <w:shd w:fill="F1F5F9"/>
            <w:tcMar>
              <w:top w:w="80" w:type="dxa"/>
              <w:bottom w:w="80" w:type="dxa"/>
              <w:left w:w="120" w:type="dxa"/>
              <w:right w:w="120" w:type="dxa"/>
            </w:tcMar>
          </w:tcPr>
          <w:p>
            <w:pPr>
              <w:spacing w:after="0"/>
              <w:jc w:val="left"/>
            </w:pPr>
            <w:r>
              <w:rPr>
                <w:rFonts w:ascii="Calibri" w:hAnsi="Calibri"/>
                <w:color w:val="1E293B"/>
                <w:sz w:val="20"/>
              </w:rPr>
              <w:t>DBSCAN (eps=1.2, min_samples=2)</w:t>
            </w:r>
          </w:p>
        </w:tc>
        <w:tc>
          <w:tcPr>
            <w:tcW w:type="dxa" w:w="4608"/>
            <w:shd w:fill="F1F5F9"/>
            <w:tcMar>
              <w:top w:w="80" w:type="dxa"/>
              <w:bottom w:w="80" w:type="dxa"/>
              <w:left w:w="120" w:type="dxa"/>
              <w:right w:w="120" w:type="dxa"/>
            </w:tcMar>
          </w:tcPr>
          <w:p>
            <w:pPr>
              <w:spacing w:after="0"/>
              <w:jc w:val="left"/>
            </w:pPr>
            <w:r>
              <w:rPr>
                <w:rFonts w:ascii="Calibri" w:hAnsi="Calibri"/>
                <w:color w:val="1E293B"/>
                <w:sz w:val="20"/>
              </w:rPr>
              <w:t>Automatically extracts commercial SLOCs and flags anomalous open-sea route deviations</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Deep Kinematic Autoencoder</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Bidirectional LSTM Encoder-Decoder</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Identifies abnormal speed, heading, and rate-of-turn fluctuations (MSE &gt; 95th percentile)</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Trajectory Kalman Filter</w:t>
            </w:r>
          </w:p>
        </w:tc>
        <w:tc>
          <w:tcPr>
            <w:tcW w:type="dxa" w:w="3744"/>
            <w:shd w:fill="F1F5F9"/>
            <w:tcMar>
              <w:top w:w="80" w:type="dxa"/>
              <w:bottom w:w="80" w:type="dxa"/>
              <w:left w:w="120" w:type="dxa"/>
              <w:right w:w="120" w:type="dxa"/>
            </w:tcMar>
          </w:tcPr>
          <w:p>
            <w:pPr>
              <w:spacing w:after="0"/>
              <w:jc w:val="left"/>
            </w:pPr>
            <w:r>
              <w:rPr>
                <w:rFonts w:ascii="Calibri" w:hAnsi="Calibri"/>
                <w:color w:val="1E293B"/>
                <w:sz w:val="20"/>
              </w:rPr>
              <w:t>4-State EKF (lat, lon, v_lat, v_lon)</w:t>
            </w:r>
          </w:p>
        </w:tc>
        <w:tc>
          <w:tcPr>
            <w:tcW w:type="dxa" w:w="4608"/>
            <w:shd w:fill="F1F5F9"/>
            <w:tcMar>
              <w:top w:w="80" w:type="dxa"/>
              <w:bottom w:w="80" w:type="dxa"/>
              <w:left w:w="120" w:type="dxa"/>
              <w:right w:w="120" w:type="dxa"/>
            </w:tcMar>
          </w:tcPr>
          <w:p>
            <w:pPr>
              <w:spacing w:after="0"/>
              <w:jc w:val="left"/>
            </w:pPr>
            <w:r>
              <w:rPr>
                <w:rFonts w:ascii="Calibri" w:hAnsi="Calibri"/>
                <w:color w:val="1E293B"/>
                <w:sz w:val="20"/>
              </w:rPr>
              <w:t>Predicts vessel position during 2-6 hour dropouts and detects clandestine maneuvers</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Geospatial Sea Boundary Guard</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Ray-Casting Polygon Landmask</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Guarantees zero overland coordinate drift across the entire Indian subcontinent</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Shipboard Comms Portal</w:t>
            </w:r>
          </w:p>
        </w:tc>
        <w:tc>
          <w:tcPr>
            <w:tcW w:type="dxa" w:w="3744"/>
            <w:shd w:fill="F1F5F9"/>
            <w:tcMar>
              <w:top w:w="80" w:type="dxa"/>
              <w:bottom w:w="80" w:type="dxa"/>
              <w:left w:w="120" w:type="dxa"/>
              <w:right w:w="120" w:type="dxa"/>
            </w:tcMar>
          </w:tcPr>
          <w:p>
            <w:pPr>
              <w:spacing w:after="0"/>
              <w:jc w:val="left"/>
            </w:pPr>
            <w:r>
              <w:rPr>
                <w:rFonts w:ascii="Calibri" w:hAnsi="Calibri"/>
                <w:color w:val="1E293B"/>
                <w:sz w:val="20"/>
              </w:rPr>
              <w:t>WebSockets + NavIC Satellite Lock</w:t>
            </w:r>
          </w:p>
        </w:tc>
        <w:tc>
          <w:tcPr>
            <w:tcW w:type="dxa" w:w="4608"/>
            <w:shd w:fill="F1F5F9"/>
            <w:tcMar>
              <w:top w:w="80" w:type="dxa"/>
              <w:bottom w:w="80" w:type="dxa"/>
              <w:left w:w="120" w:type="dxa"/>
              <w:right w:w="120" w:type="dxa"/>
            </w:tcMar>
          </w:tcPr>
          <w:p>
            <w:pPr>
              <w:spacing w:after="0"/>
              <w:jc w:val="left"/>
            </w:pPr>
            <w:r>
              <w:rPr>
                <w:rFonts w:ascii="Calibri" w:hAnsi="Calibri"/>
                <w:color w:val="1E293B"/>
                <w:sz w:val="20"/>
              </w:rPr>
              <w:t>Facilitates real-time encrypted two-way tactical messaging between HQ and naval units</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Strategic Report Engine</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Client-Side AutoTable PDF Generator</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Generates comprehensive, formatted fleet intelligence audit reports in seconds</w:t>
            </w:r>
          </w:p>
        </w:tc>
      </w:tr>
    </w:tbl>
    <w:p>
      <w:pPr>
        <w:spacing w:after="120"/>
      </w:pPr>
    </w:p>
    <w:p>
      <w:r>
        <w:br w:type="page"/>
      </w:r>
    </w:p>
    <w:p>
      <w:pPr>
        <w:spacing w:before="360" w:after="40"/>
        <w:jc w:val="center"/>
      </w:pPr>
      <w:r>
        <w:rPr>
          <w:rFonts w:ascii="Calibri" w:hAnsi="Calibri"/>
          <w:b/>
          <w:color w:val="0A2647"/>
          <w:sz w:val="32"/>
        </w:rPr>
        <w:t>CHAPTER 2</w:t>
      </w:r>
    </w:p>
    <w:p>
      <w:pPr>
        <w:spacing w:before="0" w:after="320"/>
        <w:jc w:val="center"/>
      </w:pPr>
      <w:r>
        <w:rPr>
          <w:rFonts w:ascii="Calibri" w:hAnsi="Calibri"/>
          <w:b/>
          <w:color w:val="144272"/>
          <w:sz w:val="28"/>
        </w:rPr>
        <w:t>LITERATURE REVIEW &amp; SATELLITE MARITIME SURVEILLANCE</w:t>
      </w:r>
    </w:p>
    <w:p>
      <w:pPr>
        <w:keepNext/>
        <w:spacing w:before="280" w:after="120"/>
      </w:pPr>
      <w:r>
        <w:rPr>
          <w:rFonts w:ascii="Calibri" w:hAnsi="Calibri"/>
          <w:b/>
          <w:color w:val="144272"/>
          <w:sz w:val="26"/>
        </w:rPr>
        <w:t>2.1 Evolution of Maritime Surveillance Systems</w:t>
      </w:r>
    </w:p>
    <w:p>
      <w:pPr>
        <w:spacing w:after="120" w:line="276" w:lineRule="auto"/>
        <w:jc w:val="both"/>
      </w:pPr>
      <w:r>
        <w:rPr>
          <w:rFonts w:ascii="Calibri" w:hAnsi="Calibri"/>
          <w:color w:val="1E293B"/>
          <w:sz w:val="22"/>
        </w:rPr>
        <w:t>Maritime surveillance has evolved dramatically over the past six decades. Early systems relied exclusively on Coastal High-Frequency (HF) Radar and line-of-sight VHF transceivers, which were severely constrained by the Earth's curvature, limiting detection to approximately 25 to 40 nautical miles from the shoreline. Vessels operating in the high seas remained completely invisible to naval command centers.</w:t>
      </w:r>
    </w:p>
    <w:p>
      <w:pPr>
        <w:spacing w:after="120" w:line="276" w:lineRule="auto"/>
        <w:jc w:val="both"/>
      </w:pPr>
      <w:r>
        <w:rPr>
          <w:rFonts w:ascii="Calibri" w:hAnsi="Calibri"/>
          <w:color w:val="1E293B"/>
          <w:sz w:val="22"/>
        </w:rPr>
        <w:t>In 2002, the IMO mandated the installation of Automatic Identification System (AIS) Class-A transponders on all commercial vessels over 300 gross tonnage (GT) and passenger vessels of all sizes under the SOLAS convention. While terrestrial AIS significantly enhanced collision avoidance near ports, open-ocean monitoring remained unresolved until the advent of Low-Earth Orbit (LEO) Satellite AIS (S-AIS) constellations.</w:t>
      </w:r>
    </w:p>
    <w:p>
      <w:pPr>
        <w:keepNext/>
        <w:spacing w:before="280" w:after="120"/>
      </w:pPr>
      <w:r>
        <w:rPr>
          <w:rFonts w:ascii="Calibri" w:hAnsi="Calibri"/>
          <w:b/>
          <w:color w:val="144272"/>
          <w:sz w:val="26"/>
        </w:rPr>
        <w:t>2.2 Satellite-Based AIS (S-AIS) &amp; NavIC Integration Standards</w:t>
      </w:r>
    </w:p>
    <w:p>
      <w:pPr>
        <w:spacing w:after="120" w:line="276" w:lineRule="auto"/>
        <w:jc w:val="both"/>
      </w:pPr>
      <w:r>
        <w:rPr>
          <w:rFonts w:ascii="Calibri" w:hAnsi="Calibri"/>
          <w:b/>
          <w:color w:val="1E293B"/>
          <w:sz w:val="22"/>
        </w:rPr>
        <w:t xml:space="preserve">Space-Based Reception: </w:t>
      </w:r>
      <w:r>
        <w:rPr>
          <w:rFonts w:ascii="Calibri" w:hAnsi="Calibri"/>
          <w:color w:val="1E293B"/>
          <w:sz w:val="22"/>
        </w:rPr>
        <w:t>Satellite AIS utilizes orbital receivers on satellites orbiting between 500 km and 800 km altitude to detect VHF signals transmitted by vessels across vast ocean expanses. However, S-AIS introduces unique challenges: signal collisions in high-density corridors (such as the Malacca Strait), variable latency, and atmospheric degradation.</w:t>
      </w:r>
    </w:p>
    <w:p>
      <w:pPr>
        <w:spacing w:after="120" w:line="276" w:lineRule="auto"/>
        <w:jc w:val="both"/>
      </w:pPr>
      <w:r>
        <w:rPr>
          <w:rFonts w:ascii="Calibri" w:hAnsi="Calibri"/>
          <w:b/>
          <w:color w:val="1E293B"/>
          <w:sz w:val="22"/>
        </w:rPr>
        <w:t xml:space="preserve">NavIC Regional Advantage: </w:t>
      </w:r>
      <w:r>
        <w:rPr>
          <w:rFonts w:ascii="Calibri" w:hAnsi="Calibri"/>
          <w:color w:val="1E293B"/>
          <w:sz w:val="22"/>
        </w:rPr>
        <w:t>The integration of India's indigenous NavIC (Navigation with Indian Constellation) / IRNSS regional satellite positioning system provides military-grade positional integrity across the entire Indian subcontinent and up to 1,500 km beyond national borders. NavIC operates on dual L5 and S-band frequencies, providing robust resistance against civilian GPS spoofing and ionospheric signal delays.</w:t>
      </w:r>
    </w:p>
    <w:p>
      <w:pPr>
        <w:keepNext/>
        <w:spacing w:before="280" w:after="120"/>
      </w:pPr>
      <w:r>
        <w:rPr>
          <w:rFonts w:ascii="Calibri" w:hAnsi="Calibri"/>
          <w:b/>
          <w:color w:val="144272"/>
          <w:sz w:val="26"/>
        </w:rPr>
        <w:t>2.3 Taxonomy of Maritime Asymmetric Threats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2880"/>
            <w:shd w:fill="0A2647"/>
            <w:tcMar>
              <w:top w:w="120" w:type="dxa"/>
              <w:bottom w:w="120" w:type="dxa"/>
              <w:left w:w="140" w:type="dxa"/>
              <w:right w:w="140" w:type="dxa"/>
            </w:tcMar>
          </w:tcPr>
          <w:p>
            <w:pPr>
              <w:jc w:val="center"/>
            </w:pPr>
            <w:r>
              <w:rPr>
                <w:rFonts w:ascii="Calibri" w:hAnsi="Calibri"/>
                <w:b/>
                <w:color w:val="FFFFFF"/>
                <w:sz w:val="21"/>
              </w:rPr>
              <w:t>Threat Category</w:t>
            </w:r>
          </w:p>
        </w:tc>
        <w:tc>
          <w:tcPr>
            <w:tcW w:type="dxa" w:w="4608"/>
            <w:shd w:fill="0A2647"/>
            <w:tcMar>
              <w:top w:w="120" w:type="dxa"/>
              <w:bottom w:w="120" w:type="dxa"/>
              <w:left w:w="140" w:type="dxa"/>
              <w:right w:w="140" w:type="dxa"/>
            </w:tcMar>
          </w:tcPr>
          <w:p>
            <w:pPr>
              <w:jc w:val="center"/>
            </w:pPr>
            <w:r>
              <w:rPr>
                <w:rFonts w:ascii="Calibri" w:hAnsi="Calibri"/>
                <w:b/>
                <w:color w:val="FFFFFF"/>
                <w:sz w:val="21"/>
              </w:rPr>
              <w:t>Physical Manifestation</w:t>
            </w:r>
          </w:p>
        </w:tc>
        <w:tc>
          <w:tcPr>
            <w:tcW w:type="dxa" w:w="4032"/>
            <w:shd w:fill="0A2647"/>
            <w:tcMar>
              <w:top w:w="120" w:type="dxa"/>
              <w:bottom w:w="120" w:type="dxa"/>
              <w:left w:w="140" w:type="dxa"/>
              <w:right w:w="140" w:type="dxa"/>
            </w:tcMar>
          </w:tcPr>
          <w:p>
            <w:pPr>
              <w:jc w:val="center"/>
            </w:pPr>
            <w:r>
              <w:rPr>
                <w:rFonts w:ascii="Calibri" w:hAnsi="Calibri"/>
                <w:b/>
                <w:color w:val="FFFFFF"/>
                <w:sz w:val="21"/>
              </w:rPr>
              <w:t>Security &amp; Economic Implications</w:t>
            </w:r>
          </w:p>
        </w:tc>
      </w:tr>
      <w:tr>
        <w:tc>
          <w:tcPr>
            <w:tcW w:type="dxa" w:w="2880"/>
            <w:shd w:fill="FFFFFF"/>
            <w:tcMar>
              <w:top w:w="80" w:type="dxa"/>
              <w:bottom w:w="80" w:type="dxa"/>
              <w:left w:w="120" w:type="dxa"/>
              <w:right w:w="120" w:type="dxa"/>
            </w:tcMar>
          </w:tcPr>
          <w:p>
            <w:pPr>
              <w:spacing w:after="0"/>
              <w:jc w:val="center"/>
            </w:pPr>
            <w:r>
              <w:rPr>
                <w:rFonts w:ascii="Calibri" w:hAnsi="Calibri"/>
                <w:color w:val="1E293B"/>
                <w:sz w:val="20"/>
              </w:rPr>
              <w:t>Dark Vessel Operations</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Intentional disabling of AIS transponder for 2 to 6 hours during oceanic transit</w:t>
            </w:r>
          </w:p>
        </w:tc>
        <w:tc>
          <w:tcPr>
            <w:tcW w:type="dxa" w:w="4032"/>
            <w:shd w:fill="FFFFFF"/>
            <w:tcMar>
              <w:top w:w="80" w:type="dxa"/>
              <w:bottom w:w="80" w:type="dxa"/>
              <w:left w:w="120" w:type="dxa"/>
              <w:right w:w="120" w:type="dxa"/>
            </w:tcMar>
          </w:tcPr>
          <w:p>
            <w:pPr>
              <w:spacing w:after="0"/>
              <w:jc w:val="left"/>
            </w:pPr>
            <w:r>
              <w:rPr>
                <w:rFonts w:ascii="Calibri" w:hAnsi="Calibri"/>
                <w:color w:val="1E293B"/>
                <w:sz w:val="20"/>
              </w:rPr>
              <w:t>Sanctions evasion, illegal arms smuggling, piracy, and clandestine intelligence gathering</w:t>
            </w:r>
          </w:p>
        </w:tc>
      </w:tr>
      <w:tr>
        <w:tc>
          <w:tcPr>
            <w:tcW w:type="dxa" w:w="2880"/>
            <w:shd w:fill="F1F5F9"/>
            <w:tcMar>
              <w:top w:w="80" w:type="dxa"/>
              <w:bottom w:w="80" w:type="dxa"/>
              <w:left w:w="120" w:type="dxa"/>
              <w:right w:w="120" w:type="dxa"/>
            </w:tcMar>
          </w:tcPr>
          <w:p>
            <w:pPr>
              <w:spacing w:after="0"/>
              <w:jc w:val="center"/>
            </w:pPr>
            <w:r>
              <w:rPr>
                <w:rFonts w:ascii="Calibri" w:hAnsi="Calibri"/>
                <w:color w:val="1E293B"/>
                <w:sz w:val="20"/>
              </w:rPr>
              <w:t>Ship-to-Ship (STS) Transfers</w:t>
            </w:r>
          </w:p>
        </w:tc>
        <w:tc>
          <w:tcPr>
            <w:tcW w:type="dxa" w:w="4608"/>
            <w:shd w:fill="F1F5F9"/>
            <w:tcMar>
              <w:top w:w="80" w:type="dxa"/>
              <w:bottom w:w="80" w:type="dxa"/>
              <w:left w:w="120" w:type="dxa"/>
              <w:right w:w="120" w:type="dxa"/>
            </w:tcMar>
          </w:tcPr>
          <w:p>
            <w:pPr>
              <w:spacing w:after="0"/>
              <w:jc w:val="left"/>
            </w:pPr>
            <w:r>
              <w:rPr>
                <w:rFonts w:ascii="Calibri" w:hAnsi="Calibri"/>
                <w:color w:val="1E293B"/>
                <w:sz w:val="20"/>
              </w:rPr>
              <w:t>Two or more vessels converging in international waters, matching speed &lt; 4 kts</w:t>
            </w:r>
          </w:p>
        </w:tc>
        <w:tc>
          <w:tcPr>
            <w:tcW w:type="dxa" w:w="4032"/>
            <w:shd w:fill="F1F5F9"/>
            <w:tcMar>
              <w:top w:w="80" w:type="dxa"/>
              <w:bottom w:w="80" w:type="dxa"/>
              <w:left w:w="120" w:type="dxa"/>
              <w:right w:w="120" w:type="dxa"/>
            </w:tcMar>
          </w:tcPr>
          <w:p>
            <w:pPr>
              <w:spacing w:after="0"/>
              <w:jc w:val="left"/>
            </w:pPr>
            <w:r>
              <w:rPr>
                <w:rFonts w:ascii="Calibri" w:hAnsi="Calibri"/>
                <w:color w:val="1E293B"/>
                <w:sz w:val="20"/>
              </w:rPr>
              <w:t>Illicit crude oil transshipment, narcotics trafficking, and contraband transfer</w:t>
            </w:r>
          </w:p>
        </w:tc>
      </w:tr>
      <w:tr>
        <w:tc>
          <w:tcPr>
            <w:tcW w:type="dxa" w:w="2880"/>
            <w:shd w:fill="FFFFFF"/>
            <w:tcMar>
              <w:top w:w="80" w:type="dxa"/>
              <w:bottom w:w="80" w:type="dxa"/>
              <w:left w:w="120" w:type="dxa"/>
              <w:right w:w="120" w:type="dxa"/>
            </w:tcMar>
          </w:tcPr>
          <w:p>
            <w:pPr>
              <w:spacing w:after="0"/>
              <w:jc w:val="center"/>
            </w:pPr>
            <w:r>
              <w:rPr>
                <w:rFonts w:ascii="Calibri" w:hAnsi="Calibri"/>
                <w:color w:val="1E293B"/>
                <w:sz w:val="20"/>
              </w:rPr>
              <w:t>AIS Position Spoofing</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Discontinuous, impossible kinematic jumps (&gt; 3° in single ping) or false ghost tracks</w:t>
            </w:r>
          </w:p>
        </w:tc>
        <w:tc>
          <w:tcPr>
            <w:tcW w:type="dxa" w:w="4032"/>
            <w:shd w:fill="FFFFFF"/>
            <w:tcMar>
              <w:top w:w="80" w:type="dxa"/>
              <w:bottom w:w="80" w:type="dxa"/>
              <w:left w:w="120" w:type="dxa"/>
              <w:right w:w="120" w:type="dxa"/>
            </w:tcMar>
          </w:tcPr>
          <w:p>
            <w:pPr>
              <w:spacing w:after="0"/>
              <w:jc w:val="left"/>
            </w:pPr>
            <w:r>
              <w:rPr>
                <w:rFonts w:ascii="Calibri" w:hAnsi="Calibri"/>
                <w:color w:val="1E293B"/>
                <w:sz w:val="20"/>
              </w:rPr>
              <w:t>Falsifying vessel presence in benign waters while committing EEZ violations elsewhere</w:t>
            </w:r>
          </w:p>
        </w:tc>
      </w:tr>
      <w:tr>
        <w:tc>
          <w:tcPr>
            <w:tcW w:type="dxa" w:w="2880"/>
            <w:shd w:fill="F1F5F9"/>
            <w:tcMar>
              <w:top w:w="80" w:type="dxa"/>
              <w:bottom w:w="80" w:type="dxa"/>
              <w:left w:w="120" w:type="dxa"/>
              <w:right w:w="120" w:type="dxa"/>
            </w:tcMar>
          </w:tcPr>
          <w:p>
            <w:pPr>
              <w:spacing w:after="0"/>
              <w:jc w:val="center"/>
            </w:pPr>
            <w:r>
              <w:rPr>
                <w:rFonts w:ascii="Calibri" w:hAnsi="Calibri"/>
                <w:color w:val="1E293B"/>
                <w:sz w:val="20"/>
              </w:rPr>
              <w:t>Suspicious Port Loitering</w:t>
            </w:r>
          </w:p>
        </w:tc>
        <w:tc>
          <w:tcPr>
            <w:tcW w:type="dxa" w:w="4608"/>
            <w:shd w:fill="F1F5F9"/>
            <w:tcMar>
              <w:top w:w="80" w:type="dxa"/>
              <w:bottom w:w="80" w:type="dxa"/>
              <w:left w:w="120" w:type="dxa"/>
              <w:right w:w="120" w:type="dxa"/>
            </w:tcMar>
          </w:tcPr>
          <w:p>
            <w:pPr>
              <w:spacing w:after="0"/>
              <w:jc w:val="left"/>
            </w:pPr>
            <w:r>
              <w:rPr>
                <w:rFonts w:ascii="Calibri" w:hAnsi="Calibri"/>
                <w:color w:val="1E293B"/>
                <w:sz w:val="20"/>
              </w:rPr>
              <w:t>Circling or drifting at &lt; 2 kts outside authorized anchorages for &gt; 3 hours</w:t>
            </w:r>
          </w:p>
        </w:tc>
        <w:tc>
          <w:tcPr>
            <w:tcW w:type="dxa" w:w="4032"/>
            <w:shd w:fill="F1F5F9"/>
            <w:tcMar>
              <w:top w:w="80" w:type="dxa"/>
              <w:bottom w:w="80" w:type="dxa"/>
              <w:left w:w="120" w:type="dxa"/>
              <w:right w:w="120" w:type="dxa"/>
            </w:tcMar>
          </w:tcPr>
          <w:p>
            <w:pPr>
              <w:spacing w:after="0"/>
              <w:jc w:val="left"/>
            </w:pPr>
            <w:r>
              <w:rPr>
                <w:rFonts w:ascii="Calibri" w:hAnsi="Calibri"/>
                <w:color w:val="1E293B"/>
                <w:sz w:val="20"/>
              </w:rPr>
              <w:t>Unlawful hydrographic surveys, espionage, drug drops, or pending pirate rendezvous</w:t>
            </w:r>
          </w:p>
        </w:tc>
      </w:tr>
      <w:tr>
        <w:tc>
          <w:tcPr>
            <w:tcW w:type="dxa" w:w="2880"/>
            <w:shd w:fill="FFFFFF"/>
            <w:tcMar>
              <w:top w:w="80" w:type="dxa"/>
              <w:bottom w:w="80" w:type="dxa"/>
              <w:left w:w="120" w:type="dxa"/>
              <w:right w:w="120" w:type="dxa"/>
            </w:tcMar>
          </w:tcPr>
          <w:p>
            <w:pPr>
              <w:spacing w:after="0"/>
              <w:jc w:val="center"/>
            </w:pPr>
            <w:r>
              <w:rPr>
                <w:rFonts w:ascii="Calibri" w:hAnsi="Calibri"/>
                <w:color w:val="1E293B"/>
                <w:sz w:val="20"/>
              </w:rPr>
              <w:t>IUU Fishing in EEZ</w:t>
            </w:r>
          </w:p>
        </w:tc>
        <w:tc>
          <w:tcPr>
            <w:tcW w:type="dxa" w:w="4608"/>
            <w:shd w:fill="FFFFFF"/>
            <w:tcMar>
              <w:top w:w="80" w:type="dxa"/>
              <w:bottom w:w="80" w:type="dxa"/>
              <w:left w:w="120" w:type="dxa"/>
              <w:right w:w="120" w:type="dxa"/>
            </w:tcMar>
          </w:tcPr>
          <w:p>
            <w:pPr>
              <w:spacing w:after="0"/>
              <w:jc w:val="left"/>
            </w:pPr>
            <w:r>
              <w:rPr>
                <w:rFonts w:ascii="Calibri" w:hAnsi="Calibri"/>
                <w:color w:val="1E293B"/>
                <w:sz w:val="20"/>
              </w:rPr>
              <w:t>Foreign fishing vessels zig-zagging in sovereign marine sanctuaries</w:t>
            </w:r>
          </w:p>
        </w:tc>
        <w:tc>
          <w:tcPr>
            <w:tcW w:type="dxa" w:w="4032"/>
            <w:shd w:fill="FFFFFF"/>
            <w:tcMar>
              <w:top w:w="80" w:type="dxa"/>
              <w:bottom w:w="80" w:type="dxa"/>
              <w:left w:w="120" w:type="dxa"/>
              <w:right w:w="120" w:type="dxa"/>
            </w:tcMar>
          </w:tcPr>
          <w:p>
            <w:pPr>
              <w:spacing w:after="0"/>
              <w:jc w:val="left"/>
            </w:pPr>
            <w:r>
              <w:rPr>
                <w:rFonts w:ascii="Calibri" w:hAnsi="Calibri"/>
                <w:color w:val="1E293B"/>
                <w:sz w:val="20"/>
              </w:rPr>
              <w:t>Depletion of national fisheries, economic loss to coastal fishermen, and marine destruction</w:t>
            </w:r>
          </w:p>
        </w:tc>
      </w:tr>
    </w:tbl>
    <w:p>
      <w:pPr>
        <w:spacing w:after="120"/>
      </w:pPr>
    </w:p>
    <w:p>
      <w:pPr>
        <w:keepNext/>
        <w:spacing w:before="280" w:after="120"/>
      </w:pPr>
      <w:r>
        <w:rPr>
          <w:rFonts w:ascii="Calibri" w:hAnsi="Calibri"/>
          <w:b/>
          <w:color w:val="144272"/>
          <w:sz w:val="26"/>
        </w:rPr>
        <w:t>2.4 Comparative Analysis of Machine Learning Approaches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340"/>
        <w:gridCol w:w="2340"/>
        <w:gridCol w:w="2340"/>
        <w:gridCol w:w="2340"/>
      </w:tblGrid>
      <w:tr>
        <w:tc>
          <w:tcPr>
            <w:tcW w:type="dxa" w:w="2880"/>
            <w:shd w:fill="0A2647"/>
            <w:tcMar>
              <w:top w:w="120" w:type="dxa"/>
              <w:bottom w:w="120" w:type="dxa"/>
              <w:left w:w="140" w:type="dxa"/>
              <w:right w:w="140" w:type="dxa"/>
            </w:tcMar>
          </w:tcPr>
          <w:p>
            <w:pPr>
              <w:jc w:val="center"/>
            </w:pPr>
            <w:r>
              <w:rPr>
                <w:rFonts w:ascii="Calibri" w:hAnsi="Calibri"/>
                <w:b/>
                <w:color w:val="FFFFFF"/>
                <w:sz w:val="21"/>
              </w:rPr>
              <w:t>Algorithm / Technique</w:t>
            </w:r>
          </w:p>
        </w:tc>
        <w:tc>
          <w:tcPr>
            <w:tcW w:type="dxa" w:w="2592"/>
            <w:shd w:fill="0A2647"/>
            <w:tcMar>
              <w:top w:w="120" w:type="dxa"/>
              <w:bottom w:w="120" w:type="dxa"/>
              <w:left w:w="140" w:type="dxa"/>
              <w:right w:w="140" w:type="dxa"/>
            </w:tcMar>
          </w:tcPr>
          <w:p>
            <w:pPr>
              <w:jc w:val="center"/>
            </w:pPr>
            <w:r>
              <w:rPr>
                <w:rFonts w:ascii="Calibri" w:hAnsi="Calibri"/>
                <w:b/>
                <w:color w:val="FFFFFF"/>
                <w:sz w:val="21"/>
              </w:rPr>
              <w:t>Target Anomaly Type</w:t>
            </w:r>
          </w:p>
        </w:tc>
        <w:tc>
          <w:tcPr>
            <w:tcW w:type="dxa" w:w="3456"/>
            <w:shd w:fill="0A2647"/>
            <w:tcMar>
              <w:top w:w="120" w:type="dxa"/>
              <w:bottom w:w="120" w:type="dxa"/>
              <w:left w:w="140" w:type="dxa"/>
              <w:right w:w="140" w:type="dxa"/>
            </w:tcMar>
          </w:tcPr>
          <w:p>
            <w:pPr>
              <w:jc w:val="center"/>
            </w:pPr>
            <w:r>
              <w:rPr>
                <w:rFonts w:ascii="Calibri" w:hAnsi="Calibri"/>
                <w:b/>
                <w:color w:val="FFFFFF"/>
                <w:sz w:val="21"/>
              </w:rPr>
              <w:t>Strengths</w:t>
            </w:r>
          </w:p>
        </w:tc>
        <w:tc>
          <w:tcPr>
            <w:tcW w:type="dxa" w:w="2592"/>
            <w:shd w:fill="0A2647"/>
            <w:tcMar>
              <w:top w:w="120" w:type="dxa"/>
              <w:bottom w:w="120" w:type="dxa"/>
              <w:left w:w="140" w:type="dxa"/>
              <w:right w:w="140" w:type="dxa"/>
            </w:tcMar>
          </w:tcPr>
          <w:p>
            <w:pPr>
              <w:jc w:val="center"/>
            </w:pPr>
            <w:r>
              <w:rPr>
                <w:rFonts w:ascii="Calibri" w:hAnsi="Calibri"/>
                <w:b/>
                <w:color w:val="FFFFFF"/>
                <w:sz w:val="21"/>
              </w:rPr>
              <w:t>Limitations</w:t>
            </w:r>
          </w:p>
        </w:tc>
      </w:tr>
      <w:tr>
        <w:tc>
          <w:tcPr>
            <w:tcW w:type="dxa" w:w="2880"/>
            <w:shd w:fill="FFFFFF"/>
            <w:tcMar>
              <w:top w:w="80" w:type="dxa"/>
              <w:bottom w:w="80" w:type="dxa"/>
              <w:left w:w="120" w:type="dxa"/>
              <w:right w:w="120" w:type="dxa"/>
            </w:tcMar>
          </w:tcPr>
          <w:p>
            <w:pPr>
              <w:spacing w:after="0"/>
              <w:jc w:val="center"/>
            </w:pPr>
            <w:r>
              <w:rPr>
                <w:rFonts w:ascii="Calibri" w:hAnsi="Calibri"/>
                <w:color w:val="1E293B"/>
                <w:sz w:val="20"/>
              </w:rPr>
              <w:t>Classical Geofencing</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Boundary breaches</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Computationally simple, deterministic</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Fails on kinematic anomalies and open-sea spoofing</w:t>
            </w:r>
          </w:p>
        </w:tc>
      </w:tr>
      <w:tr>
        <w:tc>
          <w:tcPr>
            <w:tcW w:type="dxa" w:w="2880"/>
            <w:shd w:fill="F1F5F9"/>
            <w:tcMar>
              <w:top w:w="80" w:type="dxa"/>
              <w:bottom w:w="80" w:type="dxa"/>
              <w:left w:w="120" w:type="dxa"/>
              <w:right w:w="120" w:type="dxa"/>
            </w:tcMar>
          </w:tcPr>
          <w:p>
            <w:pPr>
              <w:spacing w:after="0"/>
              <w:jc w:val="center"/>
            </w:pPr>
            <w:r>
              <w:rPr>
                <w:rFonts w:ascii="Calibri" w:hAnsi="Calibri"/>
                <w:color w:val="1E293B"/>
                <w:sz w:val="20"/>
              </w:rPr>
              <w:t>DBSCAN Spatial Clustering</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Route deviations</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Discovers arbitrary lane geometries without labels</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Sensitive to epsilon parameter tuning</w:t>
            </w:r>
          </w:p>
        </w:tc>
      </w:tr>
      <w:tr>
        <w:tc>
          <w:tcPr>
            <w:tcW w:type="dxa" w:w="2880"/>
            <w:shd w:fill="FFFFFF"/>
            <w:tcMar>
              <w:top w:w="80" w:type="dxa"/>
              <w:bottom w:w="80" w:type="dxa"/>
              <w:left w:w="120" w:type="dxa"/>
              <w:right w:w="120" w:type="dxa"/>
            </w:tcMar>
          </w:tcPr>
          <w:p>
            <w:pPr>
              <w:spacing w:after="0"/>
              <w:jc w:val="center"/>
            </w:pPr>
            <w:r>
              <w:rPr>
                <w:rFonts w:ascii="Calibri" w:hAnsi="Calibri"/>
                <w:color w:val="1E293B"/>
                <w:sz w:val="20"/>
              </w:rPr>
              <w:t>LSTM Autoencoder</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Kinematic abnormalities</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Captures non-linear temporal sequence correlations</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Requires high-quality baseline training sequences</w:t>
            </w:r>
          </w:p>
        </w:tc>
      </w:tr>
      <w:tr>
        <w:tc>
          <w:tcPr>
            <w:tcW w:type="dxa" w:w="2880"/>
            <w:shd w:fill="F1F5F9"/>
            <w:tcMar>
              <w:top w:w="80" w:type="dxa"/>
              <w:bottom w:w="80" w:type="dxa"/>
              <w:left w:w="120" w:type="dxa"/>
              <w:right w:w="120" w:type="dxa"/>
            </w:tcMar>
          </w:tcPr>
          <w:p>
            <w:pPr>
              <w:spacing w:after="0"/>
              <w:jc w:val="center"/>
            </w:pPr>
            <w:r>
              <w:rPr>
                <w:rFonts w:ascii="Calibri" w:hAnsi="Calibri"/>
                <w:color w:val="1E293B"/>
                <w:sz w:val="20"/>
              </w:rPr>
              <w:t>Extended Kalman Filter (EKF)</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Dark vessel dropouts</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Provides continuous state prediction &amp; covariance bounds</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Requires accurate initial velocity vector</w:t>
            </w:r>
          </w:p>
        </w:tc>
      </w:tr>
    </w:tbl>
    <w:p>
      <w:pPr>
        <w:spacing w:after="120"/>
      </w:pPr>
    </w:p>
    <w:p>
      <w:r>
        <w:br w:type="page"/>
      </w:r>
    </w:p>
    <w:p>
      <w:pPr>
        <w:spacing w:before="360" w:after="40"/>
        <w:jc w:val="center"/>
      </w:pPr>
      <w:r>
        <w:rPr>
          <w:rFonts w:ascii="Calibri" w:hAnsi="Calibri"/>
          <w:b/>
          <w:color w:val="0A2647"/>
          <w:sz w:val="32"/>
        </w:rPr>
        <w:t>CHAPTER 3</w:t>
      </w:r>
    </w:p>
    <w:p>
      <w:pPr>
        <w:spacing w:before="0" w:after="320"/>
        <w:jc w:val="center"/>
      </w:pPr>
      <w:r>
        <w:rPr>
          <w:rFonts w:ascii="Calibri" w:hAnsi="Calibri"/>
          <w:b/>
          <w:color w:val="144272"/>
          <w:sz w:val="28"/>
        </w:rPr>
        <w:t>DATA PIPELINE, TELEMETRY INGESTION &amp; GEOSPATIAL MODELING</w:t>
      </w:r>
    </w:p>
    <w:p>
      <w:pPr>
        <w:keepNext/>
        <w:spacing w:before="280" w:after="120"/>
      </w:pPr>
      <w:r>
        <w:rPr>
          <w:rFonts w:ascii="Calibri" w:hAnsi="Calibri"/>
          <w:b/>
          <w:color w:val="144272"/>
          <w:sz w:val="26"/>
        </w:rPr>
        <w:t>3.1 AIS Telemetry Data Structure &amp; Parameters</w:t>
      </w:r>
    </w:p>
    <w:p>
      <w:pPr>
        <w:spacing w:after="120" w:line="276" w:lineRule="auto"/>
        <w:jc w:val="both"/>
      </w:pPr>
      <w:r>
        <w:rPr>
          <w:rFonts w:ascii="Calibri" w:hAnsi="Calibri"/>
          <w:color w:val="1E293B"/>
          <w:sz w:val="22"/>
        </w:rPr>
        <w:t>The Automatic Identification System broadcasts dynamic kinematic reports (Type 1, 2, and 3 messages) and static voyage details (Type 5 messages) encapsulated in binary NMEA-0183 standard sentences. The NMDA 2.0 system extracts, standardizes, and validates the following core telemetry parameters:</w:t>
      </w:r>
    </w:p>
    <w:p>
      <w:pPr>
        <w:pStyle w:val="ListBullet"/>
        <w:spacing w:after="80" w:line="276" w:lineRule="auto"/>
        <w:jc w:val="both"/>
      </w:pPr>
      <w:r>
        <w:rPr>
          <w:rFonts w:ascii="Calibri" w:hAnsi="Calibri"/>
          <w:b/>
          <w:color w:val="1E293B"/>
          <w:sz w:val="22"/>
        </w:rPr>
        <w:t xml:space="preserve">MMSI: </w:t>
      </w:r>
      <w:r>
        <w:rPr>
          <w:rFonts w:ascii="Calibri" w:hAnsi="Calibri"/>
          <w:color w:val="1E293B"/>
          <w:sz w:val="22"/>
        </w:rPr>
        <w:t>Maritime Mobile Service Identity (MMSI): 9-digit unique vessel transponder identifier.</w:t>
      </w:r>
    </w:p>
    <w:p>
      <w:pPr>
        <w:pStyle w:val="ListBullet"/>
        <w:spacing w:after="80" w:line="276" w:lineRule="auto"/>
        <w:jc w:val="both"/>
      </w:pPr>
      <w:r>
        <w:rPr>
          <w:rFonts w:ascii="Calibri" w:hAnsi="Calibri"/>
          <w:b/>
          <w:color w:val="1E293B"/>
          <w:sz w:val="22"/>
        </w:rPr>
        <w:t xml:space="preserve">Position: </w:t>
      </w:r>
      <w:r>
        <w:rPr>
          <w:rFonts w:ascii="Calibri" w:hAnsi="Calibri"/>
          <w:color w:val="1E293B"/>
          <w:sz w:val="22"/>
        </w:rPr>
        <w:t>Geographical Coordinates (Latitude, Longitude): WGS-84 coordinate reference with 0.0001° precision.</w:t>
      </w:r>
    </w:p>
    <w:p>
      <w:pPr>
        <w:pStyle w:val="ListBullet"/>
        <w:spacing w:after="80" w:line="276" w:lineRule="auto"/>
        <w:jc w:val="both"/>
      </w:pPr>
      <w:r>
        <w:rPr>
          <w:rFonts w:ascii="Calibri" w:hAnsi="Calibri"/>
          <w:b/>
          <w:color w:val="1E293B"/>
          <w:sz w:val="22"/>
        </w:rPr>
        <w:t xml:space="preserve">SOG: </w:t>
      </w:r>
      <w:r>
        <w:rPr>
          <w:rFonts w:ascii="Calibri" w:hAnsi="Calibri"/>
          <w:color w:val="1E293B"/>
          <w:sz w:val="22"/>
        </w:rPr>
        <w:t>Speed Over Ground (SOG): Kinematic velocity relative to the seafloor, measured in knots (0.0 to 102.2 kts).</w:t>
      </w:r>
    </w:p>
    <w:p>
      <w:pPr>
        <w:pStyle w:val="ListBullet"/>
        <w:spacing w:after="80" w:line="276" w:lineRule="auto"/>
        <w:jc w:val="both"/>
      </w:pPr>
      <w:r>
        <w:rPr>
          <w:rFonts w:ascii="Calibri" w:hAnsi="Calibri"/>
          <w:b/>
          <w:color w:val="1E293B"/>
          <w:sz w:val="22"/>
        </w:rPr>
        <w:t xml:space="preserve">COG: </w:t>
      </w:r>
      <w:r>
        <w:rPr>
          <w:rFonts w:ascii="Calibri" w:hAnsi="Calibri"/>
          <w:color w:val="1E293B"/>
          <w:sz w:val="22"/>
        </w:rPr>
        <w:t>Course Over Ground (COG): True navigational heading relative to true north (0.0° to 359.9°).</w:t>
      </w:r>
    </w:p>
    <w:p>
      <w:pPr>
        <w:pStyle w:val="ListBullet"/>
        <w:spacing w:after="80" w:line="276" w:lineRule="auto"/>
        <w:jc w:val="both"/>
      </w:pPr>
      <w:r>
        <w:rPr>
          <w:rFonts w:ascii="Calibri" w:hAnsi="Calibri"/>
          <w:b/>
          <w:color w:val="1E293B"/>
          <w:sz w:val="22"/>
        </w:rPr>
        <w:t xml:space="preserve">ROT: </w:t>
      </w:r>
      <w:r>
        <w:rPr>
          <w:rFonts w:ascii="Calibri" w:hAnsi="Calibri"/>
          <w:color w:val="1E293B"/>
          <w:sz w:val="22"/>
        </w:rPr>
        <w:t>Rate of Turn (ROT): Dynamic angular velocity of heading alteration (-720°/min to +720°/min).</w:t>
      </w:r>
    </w:p>
    <w:p>
      <w:pPr>
        <w:pStyle w:val="ListBullet"/>
        <w:spacing w:after="80" w:line="276" w:lineRule="auto"/>
        <w:jc w:val="both"/>
      </w:pPr>
      <w:r>
        <w:rPr>
          <w:rFonts w:ascii="Calibri" w:hAnsi="Calibri"/>
          <w:b/>
          <w:color w:val="1E293B"/>
          <w:sz w:val="22"/>
        </w:rPr>
        <w:t xml:space="preserve">Nav Status: </w:t>
      </w:r>
      <w:r>
        <w:rPr>
          <w:rFonts w:ascii="Calibri" w:hAnsi="Calibri"/>
          <w:color w:val="1E293B"/>
          <w:sz w:val="22"/>
        </w:rPr>
        <w:t>Navigational Status: Operating classification ('Under Way Using Engine', 'Moored', 'At Anchor', 'Restricted Maneuverability').</w:t>
      </w:r>
    </w:p>
    <w:p>
      <w:pPr>
        <w:keepNext/>
        <w:spacing w:before="280" w:after="120"/>
      </w:pPr>
      <w:r>
        <w:rPr>
          <w:rFonts w:ascii="Calibri" w:hAnsi="Calibri"/>
          <w:b/>
          <w:color w:val="144272"/>
          <w:sz w:val="26"/>
        </w:rPr>
        <w:t>3.2 Real-Time Ingestion Architecture &amp; Satellite Bridge</w:t>
      </w:r>
    </w:p>
    <w:p>
      <w:pPr>
        <w:spacing w:after="120" w:line="276" w:lineRule="auto"/>
        <w:jc w:val="both"/>
      </w:pPr>
      <w:r>
        <w:rPr>
          <w:rFonts w:ascii="Calibri" w:hAnsi="Calibri"/>
          <w:b/>
          <w:color w:val="1E293B"/>
          <w:sz w:val="22"/>
        </w:rPr>
        <w:t xml:space="preserve">Dual Ingestion Engine: </w:t>
      </w:r>
      <w:r>
        <w:rPr>
          <w:rFonts w:ascii="Calibri" w:hAnsi="Calibri"/>
          <w:color w:val="1E293B"/>
          <w:sz w:val="22"/>
        </w:rPr>
        <w:t>The NMDA 2.0 system implements a multi-threaded, asynchronous telemetry ingestion service (`AISLiveBridge`) built on Python's `asyncio` and `websockets` libraries. It connects to live satellite AIS streams (e.g., AISStream / Global Fishing Watch) and merges them with synthetic tactical scenarios.</w:t>
      </w:r>
    </w:p>
    <w:p>
      <w:pPr>
        <w:spacing w:after="120" w:line="276" w:lineRule="auto"/>
        <w:jc w:val="both"/>
      </w:pPr>
      <w:r>
        <w:rPr>
          <w:rFonts w:ascii="Calibri" w:hAnsi="Calibri"/>
          <w:b/>
          <w:color w:val="1E293B"/>
          <w:sz w:val="22"/>
        </w:rPr>
        <w:t xml:space="preserve">WebSocket Fan-Out: </w:t>
      </w:r>
      <w:r>
        <w:rPr>
          <w:rFonts w:ascii="Calibri" w:hAnsi="Calibri"/>
          <w:color w:val="1E293B"/>
          <w:sz w:val="22"/>
        </w:rPr>
        <w:t>The streaming bridge maintains a high-frequency circular buffer (`LIVE_BUFFER`) and dynamically broadcasts enriched AIS packets over `/ws/live-feed` to connected tactical clients at sub-second latency.</w:t>
      </w:r>
    </w:p>
    <w:p>
      <w:pPr>
        <w:keepNext/>
        <w:spacing w:before="280" w:after="120"/>
      </w:pPr>
      <w:r>
        <w:rPr>
          <w:rFonts w:ascii="Calibri" w:hAnsi="Calibri"/>
          <w:b/>
          <w:color w:val="144272"/>
          <w:sz w:val="26"/>
        </w:rPr>
        <w:t>3.3 Strict Geospatial Boundary Enforcement &amp; Landmask Engine</w:t>
      </w:r>
    </w:p>
    <w:p>
      <w:pPr>
        <w:spacing w:after="120" w:line="276" w:lineRule="auto"/>
        <w:jc w:val="both"/>
      </w:pPr>
      <w:r>
        <w:rPr>
          <w:rFonts w:ascii="Calibri" w:hAnsi="Calibri"/>
          <w:b/>
          <w:color w:val="1E293B"/>
          <w:sz w:val="22"/>
        </w:rPr>
        <w:t xml:space="preserve">The Overland Drift Issue: </w:t>
      </w:r>
      <w:r>
        <w:rPr>
          <w:rFonts w:ascii="Calibri" w:hAnsi="Calibri"/>
          <w:color w:val="1E293B"/>
          <w:sz w:val="22"/>
        </w:rPr>
        <w:t>A critical innovation developed during the ISRO (BSERC) internship is the strict elimination of synthetic overland ship movement. In standard simulation setups, unconstrained random walks frequently place vessels in inland Maharashtra, Gujarat, or Karnataka.</w:t>
      </w:r>
    </w:p>
    <w:p>
      <w:pPr>
        <w:spacing w:after="120" w:line="276" w:lineRule="auto"/>
        <w:jc w:val="both"/>
      </w:pPr>
      <w:r>
        <w:rPr>
          <w:rFonts w:ascii="Calibri" w:hAnsi="Calibri"/>
          <w:b/>
          <w:color w:val="1E293B"/>
          <w:sz w:val="22"/>
        </w:rPr>
        <w:t xml:space="preserve">Ray-Casting Landmask Guard: </w:t>
      </w:r>
      <w:r>
        <w:rPr>
          <w:rFonts w:ascii="Calibri" w:hAnsi="Calibri"/>
          <w:color w:val="1E293B"/>
          <w:sz w:val="22"/>
        </w:rPr>
        <w:t>The system incorporates a high-precision Ray-Casting Polygon Algorithm testing every coordinate against the Indian Subcontinent and Sri Lankan landmass boundaries. If any point drifts within coastal margins, the `safe_water_point()` algorithm dynamically projects it into safe, navigable sea corridors.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68"/>
            <w:shd w:fill="0A2647"/>
            <w:tcMar>
              <w:top w:w="120" w:type="dxa"/>
              <w:bottom w:w="120" w:type="dxa"/>
              <w:left w:w="140" w:type="dxa"/>
              <w:right w:w="140" w:type="dxa"/>
            </w:tcMar>
          </w:tcPr>
          <w:p>
            <w:pPr>
              <w:jc w:val="center"/>
            </w:pPr>
            <w:r>
              <w:rPr>
                <w:rFonts w:ascii="Calibri" w:hAnsi="Calibri"/>
                <w:b/>
                <w:color w:val="FFFFFF"/>
                <w:sz w:val="21"/>
              </w:rPr>
              <w:t>Maritime Shipping Corridor</w:t>
            </w:r>
          </w:p>
        </w:tc>
        <w:tc>
          <w:tcPr>
            <w:tcW w:type="dxa" w:w="3168"/>
            <w:shd w:fill="0A2647"/>
            <w:tcMar>
              <w:top w:w="120" w:type="dxa"/>
              <w:bottom w:w="120" w:type="dxa"/>
              <w:left w:w="140" w:type="dxa"/>
              <w:right w:w="140" w:type="dxa"/>
            </w:tcMar>
          </w:tcPr>
          <w:p>
            <w:pPr>
              <w:jc w:val="center"/>
            </w:pPr>
            <w:r>
              <w:rPr>
                <w:rFonts w:ascii="Calibri" w:hAnsi="Calibri"/>
                <w:b/>
                <w:color w:val="FFFFFF"/>
                <w:sz w:val="21"/>
              </w:rPr>
              <w:t>Geographical Coverage</w:t>
            </w:r>
          </w:p>
        </w:tc>
        <w:tc>
          <w:tcPr>
            <w:tcW w:type="dxa" w:w="5184"/>
            <w:shd w:fill="0A2647"/>
            <w:tcMar>
              <w:top w:w="120" w:type="dxa"/>
              <w:bottom w:w="120" w:type="dxa"/>
              <w:left w:w="140" w:type="dxa"/>
              <w:right w:w="140" w:type="dxa"/>
            </w:tcMar>
          </w:tcPr>
          <w:p>
            <w:pPr>
              <w:jc w:val="center"/>
            </w:pPr>
            <w:r>
              <w:rPr>
                <w:rFonts w:ascii="Calibri" w:hAnsi="Calibri"/>
                <w:b/>
                <w:color w:val="FFFFFF"/>
                <w:sz w:val="21"/>
              </w:rPr>
              <w:t>Safe Water Waypoints (Lat, Lon)</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West Coast Coastal Corridor</w:t>
            </w:r>
          </w:p>
        </w:tc>
        <w:tc>
          <w:tcPr>
            <w:tcW w:type="dxa" w:w="3168"/>
            <w:shd w:fill="FFFFFF"/>
            <w:tcMar>
              <w:top w:w="80" w:type="dxa"/>
              <w:bottom w:w="80" w:type="dxa"/>
              <w:left w:w="120" w:type="dxa"/>
              <w:right w:w="120" w:type="dxa"/>
            </w:tcMar>
          </w:tcPr>
          <w:p>
            <w:pPr>
              <w:spacing w:after="0"/>
              <w:jc w:val="left"/>
            </w:pPr>
            <w:r>
              <w:rPr>
                <w:rFonts w:ascii="Calibri" w:hAnsi="Calibri"/>
                <w:color w:val="1E293B"/>
                <w:sz w:val="20"/>
              </w:rPr>
              <w:t>Gujarat to Kanyakumari (15-40 nm offshore)</w:t>
            </w:r>
          </w:p>
        </w:tc>
        <w:tc>
          <w:tcPr>
            <w:tcW w:type="dxa" w:w="5184"/>
            <w:shd w:fill="FFFFFF"/>
            <w:tcMar>
              <w:top w:w="80" w:type="dxa"/>
              <w:bottom w:w="80" w:type="dxa"/>
              <w:left w:w="120" w:type="dxa"/>
              <w:right w:w="120" w:type="dxa"/>
            </w:tcMar>
          </w:tcPr>
          <w:p>
            <w:pPr>
              <w:spacing w:after="0"/>
              <w:jc w:val="left"/>
            </w:pPr>
            <w:r>
              <w:rPr>
                <w:rFonts w:ascii="Calibri" w:hAnsi="Calibri"/>
                <w:color w:val="1E293B"/>
                <w:sz w:val="20"/>
              </w:rPr>
              <w:t>Okha [22.3, 68.8] → Mumbai High [18.95, 72.35] → Goa [15.4, 73.45] → Kochi [9.9, 75.85] → Kanyakumari [7.75, 77.2]</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East Coast Coastal Corridor</w:t>
            </w:r>
          </w:p>
        </w:tc>
        <w:tc>
          <w:tcPr>
            <w:tcW w:type="dxa" w:w="3168"/>
            <w:shd w:fill="F1F5F9"/>
            <w:tcMar>
              <w:top w:w="80" w:type="dxa"/>
              <w:bottom w:w="80" w:type="dxa"/>
              <w:left w:w="120" w:type="dxa"/>
              <w:right w:w="120" w:type="dxa"/>
            </w:tcMar>
          </w:tcPr>
          <w:p>
            <w:pPr>
              <w:spacing w:after="0"/>
              <w:jc w:val="left"/>
            </w:pPr>
            <w:r>
              <w:rPr>
                <w:rFonts w:ascii="Calibri" w:hAnsi="Calibri"/>
                <w:color w:val="1E293B"/>
                <w:sz w:val="20"/>
              </w:rPr>
              <w:t>Kanyakumari to Kolkata (Bay of Bengal)</w:t>
            </w:r>
          </w:p>
        </w:tc>
        <w:tc>
          <w:tcPr>
            <w:tcW w:type="dxa" w:w="5184"/>
            <w:shd w:fill="F1F5F9"/>
            <w:tcMar>
              <w:top w:w="80" w:type="dxa"/>
              <w:bottom w:w="80" w:type="dxa"/>
              <w:left w:w="120" w:type="dxa"/>
              <w:right w:w="120" w:type="dxa"/>
            </w:tcMar>
          </w:tcPr>
          <w:p>
            <w:pPr>
              <w:spacing w:after="0"/>
              <w:jc w:val="left"/>
            </w:pPr>
            <w:r>
              <w:rPr>
                <w:rFonts w:ascii="Calibri" w:hAnsi="Calibri"/>
                <w:color w:val="1E293B"/>
                <w:sz w:val="20"/>
              </w:rPr>
              <w:t>Kanyakumari [7.75, 77.8] → Chennai [13.1, 80.5] → Vizag [17.65, 83.5] → Paradip [20.3, 87.0] → Sandheads [21.2, 88.3]</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Hormuz - Mumbai SLOC</w:t>
            </w:r>
          </w:p>
        </w:tc>
        <w:tc>
          <w:tcPr>
            <w:tcW w:type="dxa" w:w="3168"/>
            <w:shd w:fill="FFFFFF"/>
            <w:tcMar>
              <w:top w:w="80" w:type="dxa"/>
              <w:bottom w:w="80" w:type="dxa"/>
              <w:left w:w="120" w:type="dxa"/>
              <w:right w:w="120" w:type="dxa"/>
            </w:tcMar>
          </w:tcPr>
          <w:p>
            <w:pPr>
              <w:spacing w:after="0"/>
              <w:jc w:val="left"/>
            </w:pPr>
            <w:r>
              <w:rPr>
                <w:rFonts w:ascii="Calibri" w:hAnsi="Calibri"/>
                <w:color w:val="1E293B"/>
                <w:sz w:val="20"/>
              </w:rPr>
              <w:t>Persian Gulf to Mumbai Commercial Hub</w:t>
            </w:r>
          </w:p>
        </w:tc>
        <w:tc>
          <w:tcPr>
            <w:tcW w:type="dxa" w:w="5184"/>
            <w:shd w:fill="FFFFFF"/>
            <w:tcMar>
              <w:top w:w="80" w:type="dxa"/>
              <w:bottom w:w="80" w:type="dxa"/>
              <w:left w:w="120" w:type="dxa"/>
              <w:right w:w="120" w:type="dxa"/>
            </w:tcMar>
          </w:tcPr>
          <w:p>
            <w:pPr>
              <w:spacing w:after="0"/>
              <w:jc w:val="left"/>
            </w:pPr>
            <w:r>
              <w:rPr>
                <w:rFonts w:ascii="Calibri" w:hAnsi="Calibri"/>
                <w:color w:val="1E293B"/>
                <w:sz w:val="20"/>
              </w:rPr>
              <w:t>Strait of Hormuz [26.4, 56.45] → Gulf of Oman [24.8, 58.5] → Arabian Sea [21.5, 64.0] → Mumbai [18.95, 72.35]</w:t>
            </w:r>
          </w:p>
        </w:tc>
      </w:tr>
      <w:tr>
        <w:tc>
          <w:tcPr>
            <w:tcW w:type="dxa" w:w="3168"/>
            <w:shd w:fill="F1F5F9"/>
            <w:tcMar>
              <w:top w:w="80" w:type="dxa"/>
              <w:bottom w:w="80" w:type="dxa"/>
              <w:left w:w="120" w:type="dxa"/>
              <w:right w:w="120" w:type="dxa"/>
            </w:tcMar>
          </w:tcPr>
          <w:p>
            <w:pPr>
              <w:spacing w:after="0"/>
              <w:jc w:val="center"/>
            </w:pPr>
            <w:r>
              <w:rPr>
                <w:rFonts w:ascii="Calibri" w:hAnsi="Calibri"/>
                <w:color w:val="1E293B"/>
                <w:sz w:val="20"/>
              </w:rPr>
              <w:t>Red Sea - Mumbai SLOC</w:t>
            </w:r>
          </w:p>
        </w:tc>
        <w:tc>
          <w:tcPr>
            <w:tcW w:type="dxa" w:w="3168"/>
            <w:shd w:fill="F1F5F9"/>
            <w:tcMar>
              <w:top w:w="80" w:type="dxa"/>
              <w:bottom w:w="80" w:type="dxa"/>
              <w:left w:w="120" w:type="dxa"/>
              <w:right w:w="120" w:type="dxa"/>
            </w:tcMar>
          </w:tcPr>
          <w:p>
            <w:pPr>
              <w:spacing w:after="0"/>
              <w:jc w:val="left"/>
            </w:pPr>
            <w:r>
              <w:rPr>
                <w:rFonts w:ascii="Calibri" w:hAnsi="Calibri"/>
                <w:color w:val="1E293B"/>
                <w:sz w:val="20"/>
              </w:rPr>
              <w:t>Bab-el-Mandeb to Western India</w:t>
            </w:r>
          </w:p>
        </w:tc>
        <w:tc>
          <w:tcPr>
            <w:tcW w:type="dxa" w:w="5184"/>
            <w:shd w:fill="F1F5F9"/>
            <w:tcMar>
              <w:top w:w="80" w:type="dxa"/>
              <w:bottom w:w="80" w:type="dxa"/>
              <w:left w:w="120" w:type="dxa"/>
              <w:right w:w="120" w:type="dxa"/>
            </w:tcMar>
          </w:tcPr>
          <w:p>
            <w:pPr>
              <w:spacing w:after="0"/>
              <w:jc w:val="left"/>
            </w:pPr>
            <w:r>
              <w:rPr>
                <w:rFonts w:ascii="Calibri" w:hAnsi="Calibri"/>
                <w:color w:val="1E293B"/>
                <w:sz w:val="20"/>
              </w:rPr>
              <w:t>Bab-el-Mandeb [12.6, 43.4] → Gulf of Aden [13.0, 48.0] → Socotra [14.0, 54.0] → Mumbai [18.95, 72.35]</w:t>
            </w:r>
          </w:p>
        </w:tc>
      </w:tr>
      <w:tr>
        <w:tc>
          <w:tcPr>
            <w:tcW w:type="dxa" w:w="3168"/>
            <w:shd w:fill="FFFFFF"/>
            <w:tcMar>
              <w:top w:w="80" w:type="dxa"/>
              <w:bottom w:w="80" w:type="dxa"/>
              <w:left w:w="120" w:type="dxa"/>
              <w:right w:w="120" w:type="dxa"/>
            </w:tcMar>
          </w:tcPr>
          <w:p>
            <w:pPr>
              <w:spacing w:after="0"/>
              <w:jc w:val="center"/>
            </w:pPr>
            <w:r>
              <w:rPr>
                <w:rFonts w:ascii="Calibri" w:hAnsi="Calibri"/>
                <w:color w:val="1E293B"/>
                <w:sz w:val="20"/>
              </w:rPr>
              <w:t>International Malacca Transit</w:t>
            </w:r>
          </w:p>
        </w:tc>
        <w:tc>
          <w:tcPr>
            <w:tcW w:type="dxa" w:w="3168"/>
            <w:shd w:fill="FFFFFF"/>
            <w:tcMar>
              <w:top w:w="80" w:type="dxa"/>
              <w:bottom w:w="80" w:type="dxa"/>
              <w:left w:w="120" w:type="dxa"/>
              <w:right w:w="120" w:type="dxa"/>
            </w:tcMar>
          </w:tcPr>
          <w:p>
            <w:pPr>
              <w:spacing w:after="0"/>
              <w:jc w:val="left"/>
            </w:pPr>
            <w:r>
              <w:rPr>
                <w:rFonts w:ascii="Calibri" w:hAnsi="Calibri"/>
                <w:color w:val="1E293B"/>
                <w:sz w:val="20"/>
              </w:rPr>
              <w:t>Middle East / Africa to Southeast Asia</w:t>
            </w:r>
          </w:p>
        </w:tc>
        <w:tc>
          <w:tcPr>
            <w:tcW w:type="dxa" w:w="5184"/>
            <w:shd w:fill="FFFFFF"/>
            <w:tcMar>
              <w:top w:w="80" w:type="dxa"/>
              <w:bottom w:w="80" w:type="dxa"/>
              <w:left w:w="120" w:type="dxa"/>
              <w:right w:w="120" w:type="dxa"/>
            </w:tcMar>
          </w:tcPr>
          <w:p>
            <w:pPr>
              <w:spacing w:after="0"/>
              <w:jc w:val="left"/>
            </w:pPr>
            <w:r>
              <w:rPr>
                <w:rFonts w:ascii="Calibri" w:hAnsi="Calibri"/>
                <w:color w:val="1E293B"/>
                <w:sz w:val="20"/>
              </w:rPr>
              <w:t>Arabian Sea [16.0, 64.0] → Lakshadweep Sea [9.5, 71.5] → Sri Lanka South [5.6, 80.5] → Malacca Strait [5.8, 95.0]</w:t>
            </w:r>
          </w:p>
        </w:tc>
      </w:tr>
    </w:tbl>
    <w:p>
      <w:pPr>
        <w:spacing w:after="120"/>
      </w:pPr>
    </w:p>
    <w:p>
      <w:pPr>
        <w:keepNext/>
        <w:spacing w:before="280" w:after="120"/>
      </w:pPr>
      <w:r>
        <w:rPr>
          <w:rFonts w:ascii="Calibri" w:hAnsi="Calibri"/>
          <w:b/>
          <w:color w:val="144272"/>
          <w:sz w:val="26"/>
        </w:rPr>
        <w:t>3.4 Multi-Sensor Intelligence Fusion</w:t>
      </w:r>
    </w:p>
    <w:p>
      <w:pPr>
        <w:spacing w:after="120" w:line="276" w:lineRule="auto"/>
        <w:jc w:val="both"/>
      </w:pPr>
      <w:r>
        <w:rPr>
          <w:rFonts w:ascii="Calibri" w:hAnsi="Calibri"/>
          <w:b/>
          <w:color w:val="1E293B"/>
          <w:sz w:val="22"/>
        </w:rPr>
        <w:t xml:space="preserve">Multi-Source Correlation: </w:t>
      </w:r>
      <w:r>
        <w:rPr>
          <w:rFonts w:ascii="Calibri" w:hAnsi="Calibri"/>
          <w:color w:val="1E293B"/>
          <w:sz w:val="22"/>
        </w:rPr>
        <w:t>To provide incontrovertible maritime intelligence, the NMDA 2.0 system cross-validates AIS telemetry against non-cooperative remote sensing assets:</w:t>
      </w:r>
    </w:p>
    <w:p>
      <w:pPr>
        <w:pStyle w:val="ListBullet"/>
        <w:spacing w:after="80" w:line="276" w:lineRule="auto"/>
        <w:jc w:val="both"/>
      </w:pPr>
      <w:r>
        <w:rPr>
          <w:rFonts w:ascii="Calibri" w:hAnsi="Calibri"/>
          <w:b/>
          <w:color w:val="1E293B"/>
          <w:sz w:val="22"/>
        </w:rPr>
        <w:t xml:space="preserve">SAR Radar Match: </w:t>
      </w:r>
      <w:r>
        <w:rPr>
          <w:rFonts w:ascii="Calibri" w:hAnsi="Calibri"/>
          <w:color w:val="1E293B"/>
          <w:sz w:val="22"/>
        </w:rPr>
        <w:t>Sentinel-1 SAR C-band radar scans match physical steel hull presence against AIS broadcasts, immediately identifying non-transmitting dark hulls.</w:t>
      </w:r>
    </w:p>
    <w:p>
      <w:pPr>
        <w:pStyle w:val="ListBullet"/>
        <w:spacing w:after="80" w:line="276" w:lineRule="auto"/>
        <w:jc w:val="both"/>
      </w:pPr>
      <w:r>
        <w:rPr>
          <w:rFonts w:ascii="Calibri" w:hAnsi="Calibri"/>
          <w:b/>
          <w:color w:val="1E293B"/>
          <w:sz w:val="22"/>
        </w:rPr>
        <w:t xml:space="preserve">Beneficial Ownership: </w:t>
      </w:r>
      <w:r>
        <w:rPr>
          <w:rFonts w:ascii="Calibri" w:hAnsi="Calibri"/>
          <w:color w:val="1E293B"/>
          <w:sz w:val="22"/>
        </w:rPr>
        <w:t>Synthetic IMO numbers are matched against Equasis beneficial ownership records (e.g., Shipping Corporation of India, Maersk, Oceanic Sky).</w:t>
      </w:r>
    </w:p>
    <w:p>
      <w:pPr>
        <w:pStyle w:val="ListBullet"/>
        <w:spacing w:after="80" w:line="276" w:lineRule="auto"/>
        <w:jc w:val="both"/>
      </w:pPr>
      <w:r>
        <w:rPr>
          <w:rFonts w:ascii="Calibri" w:hAnsi="Calibri"/>
          <w:b/>
          <w:color w:val="1E293B"/>
          <w:sz w:val="22"/>
        </w:rPr>
        <w:t xml:space="preserve">Sanctions Watchlist: </w:t>
      </w:r>
      <w:r>
        <w:rPr>
          <w:rFonts w:ascii="Calibri" w:hAnsi="Calibri"/>
          <w:color w:val="1E293B"/>
          <w:sz w:val="22"/>
        </w:rPr>
        <w:t>Automated ingestion of OFAC (Office of Foreign Assets Control) and UN Security Council watchlists flags sanctioned vessels or smuggling operators.</w:t>
      </w:r>
    </w:p>
    <w:p>
      <w:r>
        <w:br w:type="page"/>
      </w:r>
    </w:p>
    <w:p>
      <w:pPr>
        <w:spacing w:before="360" w:after="40"/>
        <w:jc w:val="center"/>
      </w:pPr>
      <w:r>
        <w:rPr>
          <w:rFonts w:ascii="Calibri" w:hAnsi="Calibri"/>
          <w:b/>
          <w:color w:val="0A2647"/>
          <w:sz w:val="32"/>
        </w:rPr>
        <w:t>CHAPTER 4</w:t>
      </w:r>
    </w:p>
    <w:p>
      <w:pPr>
        <w:spacing w:before="0" w:after="320"/>
        <w:jc w:val="center"/>
      </w:pPr>
      <w:r>
        <w:rPr>
          <w:rFonts w:ascii="Calibri" w:hAnsi="Calibri"/>
          <w:b/>
          <w:color w:val="144272"/>
          <w:sz w:val="28"/>
        </w:rPr>
        <w:t>CORE ARTIFICIAL INTELLIGENCE &amp; MACHINE LEARNING ARCHITECTURE</w:t>
      </w:r>
    </w:p>
    <w:p>
      <w:pPr>
        <w:keepNext/>
        <w:spacing w:before="280" w:after="120"/>
      </w:pPr>
      <w:r>
        <w:rPr>
          <w:rFonts w:ascii="Calibri" w:hAnsi="Calibri"/>
          <w:b/>
          <w:color w:val="144272"/>
          <w:sz w:val="26"/>
        </w:rPr>
        <w:t>4.1 Unsupervised Shipping Lane Extraction (DBSCAN Clustering)</w:t>
      </w:r>
    </w:p>
    <w:p>
      <w:pPr>
        <w:spacing w:after="120" w:line="276" w:lineRule="auto"/>
        <w:jc w:val="both"/>
      </w:pPr>
      <w:r>
        <w:rPr>
          <w:rFonts w:ascii="Calibri" w:hAnsi="Calibri"/>
          <w:b/>
          <w:color w:val="1E293B"/>
          <w:sz w:val="22"/>
        </w:rPr>
        <w:t xml:space="preserve">Feature Extraction: </w:t>
      </w:r>
      <w:r>
        <w:rPr>
          <w:rFonts w:ascii="Calibri" w:hAnsi="Calibri"/>
          <w:color w:val="1E293B"/>
          <w:sz w:val="22"/>
        </w:rPr>
        <w:t>The DBSCAN (Density-Based Spatial Clustering of Applications with Noise) module discovers normative commercial shipping lanes without requiring labelled training datasets. Trajectories are transformed into 7-dimensional feature vectors: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DBSCAN TRAJECTORY FEATURE VECTOR</w:t>
              <w:br/>
            </w:r>
            <w:r>
              <w:rPr>
                <w:rFonts w:ascii="Calibri" w:hAnsi="Calibri"/>
                <w:color w:val="1E293B"/>
                <w:sz w:val="21"/>
              </w:rPr>
              <w:t>Feature Vector X_v = [ μ_lat, μ_lon, μ_sog, μ_cog, σ_lat, σ_lon, L_path ]</w:t>
              <w:br/>
            </w:r>
            <w:r>
              <w:rPr>
                <w:rFonts w:ascii="Calibri" w:hAnsi="Calibri"/>
                <w:color w:val="1E293B"/>
                <w:sz w:val="21"/>
              </w:rPr>
              <w:t>Where:</w:t>
              <w:br/>
            </w:r>
            <w:r>
              <w:rPr>
                <w:rFonts w:ascii="Calibri" w:hAnsi="Calibri"/>
                <w:color w:val="1E293B"/>
                <w:sz w:val="21"/>
              </w:rPr>
              <w:t xml:space="preserve">  • μ_lat, μ_lon : Spatial centroid of vessel trajectory</w:t>
              <w:br/>
            </w:r>
            <w:r>
              <w:rPr>
                <w:rFonts w:ascii="Calibri" w:hAnsi="Calibri"/>
                <w:color w:val="1E293B"/>
                <w:sz w:val="21"/>
              </w:rPr>
              <w:t xml:space="preserve">  • μ_sog, μ_cog : Mean velocity and heading over the time window</w:t>
              <w:br/>
            </w:r>
            <w:r>
              <w:rPr>
                <w:rFonts w:ascii="Calibri" w:hAnsi="Calibri"/>
                <w:color w:val="1E293B"/>
                <w:sz w:val="21"/>
              </w:rPr>
              <w:t xml:space="preserve">  • σ_lat, σ_lon : Spatial dispersion / route variance</w:t>
              <w:br/>
            </w:r>
            <w:r>
              <w:rPr>
                <w:rFonts w:ascii="Calibri" w:hAnsi="Calibri"/>
                <w:color w:val="1E293B"/>
                <w:sz w:val="21"/>
              </w:rPr>
              <w:t xml:space="preserve">  • L_path        : Cumulative Great-Circle Haversine path length (nautical miles)</w:t>
              <w:br/>
            </w:r>
          </w:p>
        </w:tc>
      </w:tr>
    </w:tbl>
    <w:p>
      <w:pPr>
        <w:spacing w:after="120"/>
      </w:pPr>
    </w:p>
    <w:p>
      <w:pPr>
        <w:spacing w:after="120" w:line="276" w:lineRule="auto"/>
        <w:jc w:val="both"/>
      </w:pPr>
      <w:r>
        <w:rPr>
          <w:rFonts w:ascii="Calibri" w:hAnsi="Calibri"/>
          <w:color w:val="1E293B"/>
          <w:sz w:val="22"/>
        </w:rPr>
        <w:t>Features are normalized using `StandardScaler`. DBSCAN parameters are configured to `eps = 1.2` and `min_samples = 2`. Vessels assigned to cluster `-1` are designated as anomalous route deviations (`ROUTE_DEVIATION`).</w:t>
      </w:r>
    </w:p>
    <w:p>
      <w:pPr>
        <w:keepNext/>
        <w:spacing w:before="280" w:after="120"/>
      </w:pPr>
      <w:r>
        <w:rPr>
          <w:rFonts w:ascii="Calibri" w:hAnsi="Calibri"/>
          <w:b/>
          <w:color w:val="144272"/>
          <w:sz w:val="26"/>
        </w:rPr>
        <w:t>4.2 Deep Kinematic Anomaly Detection (LSTM Autoencoder)</w:t>
      </w:r>
    </w:p>
    <w:p>
      <w:pPr>
        <w:spacing w:after="120" w:line="276" w:lineRule="auto"/>
        <w:jc w:val="both"/>
      </w:pPr>
      <w:r>
        <w:rPr>
          <w:rFonts w:ascii="Calibri" w:hAnsi="Calibri"/>
          <w:b/>
          <w:color w:val="1E293B"/>
          <w:sz w:val="22"/>
        </w:rPr>
        <w:t xml:space="preserve">Network Architecture: </w:t>
      </w:r>
      <w:r>
        <w:rPr>
          <w:rFonts w:ascii="Calibri" w:hAnsi="Calibri"/>
          <w:color w:val="1E293B"/>
          <w:sz w:val="22"/>
        </w:rPr>
        <w:t>The kinematic anomaly detector utilizes a Deep Long Short-Term Memory (LSTM) Autoencoder designed to model the normal temporal dynamics of ship navigation. The architecture consists of an Encoder, Latent Representation, and Decoder:</w:t>
      </w:r>
    </w:p>
    <w:p>
      <w:pPr>
        <w:pStyle w:val="ListBullet"/>
        <w:spacing w:after="80" w:line="276" w:lineRule="auto"/>
        <w:jc w:val="both"/>
      </w:pPr>
      <w:r>
        <w:rPr>
          <w:rFonts w:ascii="Calibri" w:hAnsi="Calibri"/>
          <w:b/>
          <w:color w:val="1E293B"/>
          <w:sz w:val="22"/>
        </w:rPr>
        <w:t xml:space="preserve">Input Layer: </w:t>
      </w:r>
      <w:r>
        <w:rPr>
          <w:rFonts w:ascii="Calibri" w:hAnsi="Calibri"/>
          <w:color w:val="1E293B"/>
          <w:sz w:val="22"/>
        </w:rPr>
        <w:t>Input Tensor: Sliding window of 30 consecutive AIS pings: Shape = (N, 30, 5) with features [lat, lon, sog, cog, rot].</w:t>
      </w:r>
    </w:p>
    <w:p>
      <w:pPr>
        <w:pStyle w:val="ListBullet"/>
        <w:spacing w:after="80" w:line="276" w:lineRule="auto"/>
        <w:jc w:val="both"/>
      </w:pPr>
      <w:r>
        <w:rPr>
          <w:rFonts w:ascii="Calibri" w:hAnsi="Calibri"/>
          <w:b/>
          <w:color w:val="1E293B"/>
          <w:sz w:val="22"/>
        </w:rPr>
        <w:t xml:space="preserve">Encoder: </w:t>
      </w:r>
      <w:r>
        <w:rPr>
          <w:rFonts w:ascii="Calibri" w:hAnsi="Calibri"/>
          <w:color w:val="1E293B"/>
          <w:sz w:val="22"/>
        </w:rPr>
        <w:t>Encoder: LSTM(64 units, return_sequences=True) → Dropout(0.2) → LSTM(32 units, return_sequences=False).</w:t>
      </w:r>
    </w:p>
    <w:p>
      <w:pPr>
        <w:pStyle w:val="ListBullet"/>
        <w:spacing w:after="80" w:line="276" w:lineRule="auto"/>
        <w:jc w:val="both"/>
      </w:pPr>
      <w:r>
        <w:rPr>
          <w:rFonts w:ascii="Calibri" w:hAnsi="Calibri"/>
          <w:b/>
          <w:color w:val="1E293B"/>
          <w:sz w:val="22"/>
        </w:rPr>
        <w:t xml:space="preserve">Bottleneck: </w:t>
      </w:r>
      <w:r>
        <w:rPr>
          <w:rFonts w:ascii="Calibri" w:hAnsi="Calibri"/>
          <w:color w:val="1E293B"/>
          <w:sz w:val="22"/>
        </w:rPr>
        <w:t>Bottleneck: RepeatVector(30) compressing temporal sequence into low-dimensional latent space.</w:t>
      </w:r>
    </w:p>
    <w:p>
      <w:pPr>
        <w:pStyle w:val="ListBullet"/>
        <w:spacing w:after="80" w:line="276" w:lineRule="auto"/>
        <w:jc w:val="both"/>
      </w:pPr>
      <w:r>
        <w:rPr>
          <w:rFonts w:ascii="Calibri" w:hAnsi="Calibri"/>
          <w:b/>
          <w:color w:val="1E293B"/>
          <w:sz w:val="22"/>
        </w:rPr>
        <w:t xml:space="preserve">Decoder: </w:t>
      </w:r>
      <w:r>
        <w:rPr>
          <w:rFonts w:ascii="Calibri" w:hAnsi="Calibri"/>
          <w:color w:val="1E293B"/>
          <w:sz w:val="22"/>
        </w:rPr>
        <w:t>Decoder: LSTM(32 units, return_sequences=True) → LSTM(64 units, return_sequences=True) → TimeDistributed Dense(5).</w:t>
      </w:r>
    </w:p>
    <w:p>
      <w:pPr>
        <w:spacing w:after="120" w:line="276" w:lineRule="auto"/>
        <w:jc w:val="both"/>
      </w:pPr>
      <w:r>
        <w:rPr>
          <w:rFonts w:ascii="Calibri" w:hAnsi="Calibri"/>
          <w:b/>
          <w:color w:val="1E293B"/>
          <w:sz w:val="22"/>
        </w:rPr>
        <w:t xml:space="preserve">Reconstruction Loss Thresholding: </w:t>
      </w:r>
      <w:r>
        <w:rPr>
          <w:rFonts w:ascii="Calibri" w:hAnsi="Calibri"/>
          <w:color w:val="1E293B"/>
          <w:sz w:val="22"/>
        </w:rPr>
        <w:t>The model is trained exclusively on validated normal warships and commercial cargo vessels. During inference, Mean Squared Error (MSE) reconstruction loss is computed. Windows exceeding the 95th percentile threshold are flagged as `KINEMATIC_ANOMALY`.</w:t>
      </w:r>
    </w:p>
    <w:p>
      <w:pPr>
        <w:keepNext/>
        <w:spacing w:before="280" w:after="120"/>
      </w:pPr>
      <w:r>
        <w:rPr>
          <w:rFonts w:ascii="Calibri" w:hAnsi="Calibri"/>
          <w:b/>
          <w:color w:val="144272"/>
          <w:sz w:val="26"/>
        </w:rPr>
        <w:t>4.3 4-State Extended Kalman Filter (EKF) &amp; Dark Vessel Detector</w:t>
      </w:r>
    </w:p>
    <w:p>
      <w:pPr>
        <w:spacing w:after="120" w:line="276" w:lineRule="auto"/>
        <w:jc w:val="both"/>
      </w:pPr>
      <w:r>
        <w:rPr>
          <w:rFonts w:ascii="Calibri" w:hAnsi="Calibri"/>
          <w:b/>
          <w:color w:val="1E293B"/>
          <w:sz w:val="22"/>
        </w:rPr>
        <w:t xml:space="preserve">State Space Formulation: </w:t>
      </w:r>
      <w:r>
        <w:rPr>
          <w:rFonts w:ascii="Calibri" w:hAnsi="Calibri"/>
          <w:color w:val="1E293B"/>
          <w:sz w:val="22"/>
        </w:rPr>
        <w:t>The Extended Kalman Filter maintains continuous state estimation and predicts vessel coordinates during satellite communication dropouts.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4-STATE EXTENDED KALMAN FILTER EQUATIONS</w:t>
              <w:br/>
            </w:r>
            <w:r>
              <w:rPr>
                <w:rFonts w:ascii="Calibri" w:hAnsi="Calibri"/>
                <w:color w:val="1E293B"/>
                <w:sz w:val="21"/>
              </w:rPr>
              <w:t>State Vector: x_t = [ lat, lon, v_lat, v_lon ]^T</w:t>
              <w:br/>
            </w:r>
            <w:r>
              <w:rPr>
                <w:rFonts w:ascii="Calibri" w:hAnsi="Calibri"/>
                <w:color w:val="1E293B"/>
                <w:sz w:val="21"/>
              </w:rPr>
              <w:t>State Transition Matrix (Constant Velocity Model):</w:t>
              <w:br/>
            </w:r>
            <w:r>
              <w:rPr>
                <w:rFonts w:ascii="Calibri" w:hAnsi="Calibri"/>
                <w:color w:val="1E293B"/>
                <w:sz w:val="21"/>
              </w:rPr>
              <w:t xml:space="preserve">  F = [ [1, 0, Δt, 0], [0, 1, 0, Δt], [0, 0, 1, 0], [0, 0, 0, 1] ]</w:t>
              <w:br/>
            </w:r>
            <w:r>
              <w:rPr>
                <w:rFonts w:ascii="Calibri" w:hAnsi="Calibri"/>
                <w:color w:val="1E293B"/>
                <w:sz w:val="21"/>
              </w:rPr>
              <w:t>Measurement Matrix (Direct GPS Observation):</w:t>
              <w:br/>
            </w:r>
            <w:r>
              <w:rPr>
                <w:rFonts w:ascii="Calibri" w:hAnsi="Calibri"/>
                <w:color w:val="1E293B"/>
                <w:sz w:val="21"/>
              </w:rPr>
              <w:t xml:space="preserve">  H = [ [1, 0, 0, 0], [0, 1, 0, 0] ]</w:t>
              <w:br/>
            </w:r>
            <w:r>
              <w:rPr>
                <w:rFonts w:ascii="Calibri" w:hAnsi="Calibri"/>
                <w:color w:val="1E293B"/>
                <w:sz w:val="21"/>
              </w:rPr>
              <w:t>Prediction Step:</w:t>
              <w:br/>
            </w:r>
            <w:r>
              <w:rPr>
                <w:rFonts w:ascii="Calibri" w:hAnsi="Calibri"/>
                <w:color w:val="1E293B"/>
                <w:sz w:val="21"/>
              </w:rPr>
              <w:t xml:space="preserve">  x̂_{t|t-1} = F · x̂_{t-1|t-1} ,   P_{t|t-1} = F · P_{t-1|t-1} · F^T + Q</w:t>
              <w:br/>
            </w:r>
            <w:r>
              <w:rPr>
                <w:rFonts w:ascii="Calibri" w:hAnsi="Calibri"/>
                <w:color w:val="1E293B"/>
                <w:sz w:val="21"/>
              </w:rPr>
              <w:t>Innovation &amp; Update Step:</w:t>
              <w:br/>
            </w:r>
            <w:r>
              <w:rPr>
                <w:rFonts w:ascii="Calibri" w:hAnsi="Calibri"/>
                <w:color w:val="1E293B"/>
                <w:sz w:val="21"/>
              </w:rPr>
              <w:t xml:space="preserve">  y_t = z_t - H · x̂_{t|t-1} ,   S_t = H · P_{t|t-1} · H^T + R</w:t>
              <w:br/>
            </w:r>
            <w:r>
              <w:rPr>
                <w:rFonts w:ascii="Calibri" w:hAnsi="Calibri"/>
                <w:color w:val="1E293B"/>
                <w:sz w:val="21"/>
              </w:rPr>
              <w:t xml:space="preserve">  K_t = P_{t|t-1} · H^T · S_t^{-1} ,   x̂_{t|t} = x̂_{t|t-1} + K_t · y_t</w:t>
              <w:br/>
            </w:r>
            <w:r>
              <w:rPr>
                <w:rFonts w:ascii="Calibri" w:hAnsi="Calibri"/>
                <w:color w:val="1E293B"/>
                <w:sz w:val="21"/>
              </w:rPr>
              <w:t xml:space="preserve">  P_{t|t} = (I - K_t · H) · P_{t|t-1}</w:t>
              <w:br/>
            </w:r>
          </w:p>
        </w:tc>
      </w:tr>
    </w:tbl>
    <w:p>
      <w:pPr>
        <w:spacing w:after="120"/>
      </w:pPr>
    </w:p>
    <w:p>
      <w:pPr>
        <w:spacing w:after="120" w:line="276" w:lineRule="auto"/>
        <w:jc w:val="both"/>
      </w:pPr>
      <w:r>
        <w:rPr>
          <w:rFonts w:ascii="Calibri" w:hAnsi="Calibri"/>
          <w:color w:val="1E293B"/>
          <w:sz w:val="22"/>
        </w:rPr>
        <w:t>When an AIS dropout occurs (&gt; 10 minutes), the EKF propagates the state vector through the gap. Upon reappearance, the Great-Circle distance between the predicted coordinate and actual broadcast position is computed. If divergence exceeds `5.0 nm`, a `DARK_VESSEL` hidden maneuver is confirmed.</w:t>
      </w:r>
    </w:p>
    <w:p>
      <w:pPr>
        <w:keepNext/>
        <w:spacing w:before="280" w:after="120"/>
      </w:pPr>
      <w:r>
        <w:rPr>
          <w:rFonts w:ascii="Calibri" w:hAnsi="Calibri"/>
          <w:b/>
          <w:color w:val="144272"/>
          <w:sz w:val="26"/>
        </w:rPr>
        <w:t>4.4 Spatial Density Loitering Analysis</w:t>
      </w:r>
    </w:p>
    <w:p>
      <w:pPr>
        <w:spacing w:after="120" w:line="276" w:lineRule="auto"/>
        <w:jc w:val="both"/>
      </w:pPr>
      <w:r>
        <w:rPr>
          <w:rFonts w:ascii="Calibri" w:hAnsi="Calibri"/>
          <w:b/>
          <w:color w:val="1E293B"/>
          <w:sz w:val="22"/>
        </w:rPr>
        <w:t xml:space="preserve">Density Profiling: </w:t>
      </w:r>
      <w:r>
        <w:rPr>
          <w:rFonts w:ascii="Calibri" w:hAnsi="Calibri"/>
          <w:color w:val="1E293B"/>
          <w:sz w:val="22"/>
        </w:rPr>
        <w:t>The loitering detection engine applies sliding window spatial density clustering across sliding windows of 20 pings (~1.6 hours). It computes the geographical centroid (c_lat, c_lon) and evaluates maximum bounding radius and average speed: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LOITERING SCORING FORMULA</w:t>
              <w:br/>
            </w:r>
            <w:r>
              <w:rPr>
                <w:rFonts w:ascii="Calibri" w:hAnsi="Calibri"/>
                <w:color w:val="1E293B"/>
                <w:sz w:val="21"/>
              </w:rPr>
              <w:t>Loitering Score = max(0, 1 - (R_max / 2.5 nm)) × min(1, ΔT / 2.0 hrs) × 100</w:t>
              <w:br/>
            </w:r>
            <w:r>
              <w:rPr>
                <w:rFonts w:ascii="Calibri" w:hAnsi="Calibri"/>
                <w:color w:val="1E293B"/>
                <w:sz w:val="21"/>
              </w:rPr>
              <w:t>Where R_max is the maximum distance from centroid and ΔT is window duration.</w:t>
              <w:br/>
            </w:r>
            <w:r>
              <w:rPr>
                <w:rFonts w:ascii="Calibri" w:hAnsi="Calibri"/>
                <w:color w:val="1E293B"/>
                <w:sz w:val="21"/>
              </w:rPr>
              <w:t>Condition for Loitering Alert: Average SOG &lt; 3.0 kts AND Loitering Score ≥ 35%.</w:t>
              <w:br/>
            </w:r>
          </w:p>
        </w:tc>
      </w:tr>
    </w:tbl>
    <w:p>
      <w:pPr>
        <w:spacing w:after="120"/>
      </w:pPr>
    </w:p>
    <w:p>
      <w:pPr>
        <w:keepNext/>
        <w:spacing w:before="280" w:after="120"/>
      </w:pPr>
      <w:r>
        <w:rPr>
          <w:rFonts w:ascii="Calibri" w:hAnsi="Calibri"/>
          <w:b/>
          <w:color w:val="144272"/>
          <w:sz w:val="26"/>
        </w:rPr>
        <w:t>4.5 Multi-Factor Unified Risk Scoring Formula</w:t>
      </w:r>
    </w:p>
    <w:p>
      <w:pPr>
        <w:spacing w:after="120" w:line="276" w:lineRule="auto"/>
        <w:jc w:val="both"/>
      </w:pPr>
      <w:r>
        <w:rPr>
          <w:rFonts w:ascii="Calibri" w:hAnsi="Calibri"/>
          <w:b/>
          <w:color w:val="1E293B"/>
          <w:sz w:val="22"/>
        </w:rPr>
        <w:t xml:space="preserve">Multi-Model Fusion: </w:t>
      </w:r>
      <w:r>
        <w:rPr>
          <w:rFonts w:ascii="Calibri" w:hAnsi="Calibri"/>
          <w:color w:val="1E293B"/>
          <w:sz w:val="22"/>
        </w:rPr>
        <w:t>The Anomaly Scorer fuses individual algorithmic outputs into a single, calibrated composite Risk Score (0.0 to 100.0) per vessel: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bottom w:val="none"/>
              <w:left w:val="single" w:sz="24" w:space="0" w:color="0A2647"/>
              <w:right w:val="none"/>
            </w:tcBorders>
          </w:tcPr>
          <w:p>
            <w:pPr>
              <w:spacing w:after="80"/>
            </w:pPr>
            <w:r>
              <w:rPr>
                <w:rFonts w:ascii="Calibri" w:hAnsi="Calibri"/>
                <w:b/>
                <w:color w:val="0A2647"/>
                <w:sz w:val="23"/>
              </w:rPr>
              <w:t>📌 UNIFIED COMPOSITE RISK SCORE FORMULA</w:t>
              <w:br/>
            </w:r>
            <w:r>
              <w:rPr>
                <w:rFonts w:ascii="Calibri" w:hAnsi="Calibri"/>
                <w:color w:val="1E293B"/>
                <w:sz w:val="21"/>
              </w:rPr>
              <w:t>Risk_Raw = 0.15 × I_RouteDev + 0.25 × Normalized(AE_Loss) + 0.20 × I_DarkVessel +</w:t>
              <w:br/>
            </w:r>
            <w:r>
              <w:rPr>
                <w:rFonts w:ascii="Calibri" w:hAnsi="Calibri"/>
                <w:color w:val="1E293B"/>
                <w:sz w:val="21"/>
              </w:rPr>
              <w:t xml:space="preserve">           0.15 × I_STS + 0.20 × (Loiter_Score / 100) + 0.05 × I_Spoofed</w:t>
              <w:br/>
            </w:r>
            <w:r>
              <w:rPr>
                <w:rFonts w:ascii="Calibri" w:hAnsi="Calibri"/>
                <w:color w:val="1E293B"/>
                <w:sz w:val="21"/>
              </w:rPr>
              <w:t>Risk Score = round(Risk_Raw × 100, 1)</w:t>
              <w:br/>
            </w:r>
            <w:r>
              <w:rPr>
                <w:rFonts w:ascii="Calibri" w:hAnsi="Calibri"/>
                <w:color w:val="1E293B"/>
                <w:sz w:val="21"/>
              </w:rPr>
              <w:br/>
            </w:r>
            <w:r>
              <w:rPr>
                <w:rFonts w:ascii="Calibri" w:hAnsi="Calibri"/>
                <w:color w:val="1E293B"/>
                <w:sz w:val="21"/>
              </w:rPr>
              <w:t>Threat Severity Matrix:</w:t>
              <w:br/>
            </w:r>
            <w:r>
              <w:rPr>
                <w:rFonts w:ascii="Calibri" w:hAnsi="Calibri"/>
                <w:color w:val="1E293B"/>
                <w:sz w:val="21"/>
              </w:rPr>
              <w:t xml:space="preserve">  • CRITICAL : Risk Score ≥ 75.0 (Immediate Tactical Interception)</w:t>
              <w:br/>
            </w:r>
            <w:r>
              <w:rPr>
                <w:rFonts w:ascii="Calibri" w:hAnsi="Calibri"/>
                <w:color w:val="1E293B"/>
                <w:sz w:val="21"/>
              </w:rPr>
              <w:t xml:space="preserve">  • HIGH     : 50.0 ≤ Risk Score &lt; 75.0 (Active Radar Tracking / Investigation)</w:t>
              <w:br/>
            </w:r>
            <w:r>
              <w:rPr>
                <w:rFonts w:ascii="Calibri" w:hAnsi="Calibri"/>
                <w:color w:val="1E293B"/>
                <w:sz w:val="21"/>
              </w:rPr>
              <w:t xml:space="preserve">  • MEDIUM   : 30.0 ≤ Risk Score &lt; 50.0 (Elevated Monitoring)</w:t>
              <w:br/>
            </w:r>
            <w:r>
              <w:rPr>
                <w:rFonts w:ascii="Calibri" w:hAnsi="Calibri"/>
                <w:color w:val="1E293B"/>
                <w:sz w:val="21"/>
              </w:rPr>
              <w:t xml:space="preserve">  • LOW      : 15.0 ≤ Risk Score &lt; 30.0 (Routine Advisory)</w:t>
              <w:br/>
            </w:r>
            <w:r>
              <w:rPr>
                <w:rFonts w:ascii="Calibri" w:hAnsi="Calibri"/>
                <w:color w:val="1E293B"/>
                <w:sz w:val="21"/>
              </w:rPr>
              <w:t xml:space="preserve">  • NORMAL   : Risk Score &lt; 15.0 (Benign Navigation)</w:t>
              <w:br/>
            </w:r>
          </w:p>
        </w:tc>
      </w:tr>
    </w:tbl>
    <w:p>
      <w:pPr>
        <w:spacing w:after="120"/>
      </w:pPr>
    </w:p>
    <w:p>
      <w:r>
        <w:br w:type="page"/>
      </w:r>
    </w:p>
    <w:p>
      <w:pPr>
        <w:spacing w:before="360" w:after="40"/>
        <w:jc w:val="center"/>
      </w:pPr>
      <w:r>
        <w:rPr>
          <w:rFonts w:ascii="Calibri" w:hAnsi="Calibri"/>
          <w:b/>
          <w:color w:val="0A2647"/>
          <w:sz w:val="32"/>
        </w:rPr>
        <w:t>CHAPTER 5</w:t>
      </w:r>
    </w:p>
    <w:p>
      <w:pPr>
        <w:spacing w:before="0" w:after="320"/>
        <w:jc w:val="center"/>
      </w:pPr>
      <w:r>
        <w:rPr>
          <w:rFonts w:ascii="Calibri" w:hAnsi="Calibri"/>
          <w:b/>
          <w:color w:val="144272"/>
          <w:sz w:val="28"/>
        </w:rPr>
        <w:t>SYSTEM IMPLEMENTATION &amp; FULL-STACK TECHNOLOGY STACK</w:t>
      </w:r>
    </w:p>
    <w:p>
      <w:pPr>
        <w:keepNext/>
        <w:spacing w:before="280" w:after="120"/>
      </w:pPr>
      <w:r>
        <w:rPr>
          <w:rFonts w:ascii="Calibri" w:hAnsi="Calibri"/>
          <w:b/>
          <w:color w:val="144272"/>
          <w:sz w:val="26"/>
        </w:rPr>
        <w:t>5.1 Backend Microservice Architecture</w:t>
      </w:r>
    </w:p>
    <w:p>
      <w:pPr>
        <w:spacing w:after="120" w:line="276" w:lineRule="auto"/>
        <w:jc w:val="both"/>
      </w:pPr>
      <w:r>
        <w:rPr>
          <w:rFonts w:ascii="Calibri" w:hAnsi="Calibri"/>
          <w:b/>
          <w:color w:val="1E293B"/>
          <w:sz w:val="22"/>
        </w:rPr>
        <w:t xml:space="preserve">High-Throughput ASGI Framework: </w:t>
      </w:r>
      <w:r>
        <w:rPr>
          <w:rFonts w:ascii="Calibri" w:hAnsi="Calibri"/>
          <w:color w:val="1E293B"/>
          <w:sz w:val="22"/>
        </w:rPr>
        <w:t>The backend is developed in Python 3.11 utilizing FastAPI, which leverages `Starlette` and `Pydantic` for high-performance asynchronous HTTP and WebSocket request processing. The server is executed via `Uvicorn` ASGI worker processes.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340"/>
        <w:gridCol w:w="2340"/>
        <w:gridCol w:w="2340"/>
        <w:gridCol w:w="2340"/>
      </w:tblGrid>
      <w:tr>
        <w:tc>
          <w:tcPr>
            <w:tcW w:type="dxa" w:w="3456"/>
            <w:shd w:fill="0A2647"/>
            <w:tcMar>
              <w:top w:w="120" w:type="dxa"/>
              <w:bottom w:w="120" w:type="dxa"/>
              <w:left w:w="140" w:type="dxa"/>
              <w:right w:w="140" w:type="dxa"/>
            </w:tcMar>
          </w:tcPr>
          <w:p>
            <w:pPr>
              <w:jc w:val="center"/>
            </w:pPr>
            <w:r>
              <w:rPr>
                <w:rFonts w:ascii="Calibri" w:hAnsi="Calibri"/>
                <w:b/>
                <w:color w:val="FFFFFF"/>
                <w:sz w:val="21"/>
              </w:rPr>
              <w:t>REST / WS Endpoint</w:t>
            </w:r>
          </w:p>
        </w:tc>
        <w:tc>
          <w:tcPr>
            <w:tcW w:type="dxa" w:w="1584"/>
            <w:shd w:fill="0A2647"/>
            <w:tcMar>
              <w:top w:w="120" w:type="dxa"/>
              <w:bottom w:w="120" w:type="dxa"/>
              <w:left w:w="140" w:type="dxa"/>
              <w:right w:w="140" w:type="dxa"/>
            </w:tcMar>
          </w:tcPr>
          <w:p>
            <w:pPr>
              <w:jc w:val="center"/>
            </w:pPr>
            <w:r>
              <w:rPr>
                <w:rFonts w:ascii="Calibri" w:hAnsi="Calibri"/>
                <w:b/>
                <w:color w:val="FFFFFF"/>
                <w:sz w:val="21"/>
              </w:rPr>
              <w:t>HTTP Verb</w:t>
            </w:r>
          </w:p>
        </w:tc>
        <w:tc>
          <w:tcPr>
            <w:tcW w:type="dxa" w:w="2160"/>
            <w:shd w:fill="0A2647"/>
            <w:tcMar>
              <w:top w:w="120" w:type="dxa"/>
              <w:bottom w:w="120" w:type="dxa"/>
              <w:left w:w="140" w:type="dxa"/>
              <w:right w:w="140" w:type="dxa"/>
            </w:tcMar>
          </w:tcPr>
          <w:p>
            <w:pPr>
              <w:jc w:val="center"/>
            </w:pPr>
            <w:r>
              <w:rPr>
                <w:rFonts w:ascii="Calibri" w:hAnsi="Calibri"/>
                <w:b/>
                <w:color w:val="FFFFFF"/>
                <w:sz w:val="21"/>
              </w:rPr>
              <w:t>Clearance Required</w:t>
            </w:r>
          </w:p>
        </w:tc>
        <w:tc>
          <w:tcPr>
            <w:tcW w:type="dxa" w:w="4320"/>
            <w:shd w:fill="0A2647"/>
            <w:tcMar>
              <w:top w:w="120" w:type="dxa"/>
              <w:bottom w:w="120" w:type="dxa"/>
              <w:left w:w="140" w:type="dxa"/>
              <w:right w:w="140" w:type="dxa"/>
            </w:tcMar>
          </w:tcPr>
          <w:p>
            <w:pPr>
              <w:jc w:val="center"/>
            </w:pPr>
            <w:r>
              <w:rPr>
                <w:rFonts w:ascii="Calibri" w:hAnsi="Calibri"/>
                <w:b/>
                <w:color w:val="FFFFFF"/>
                <w:sz w:val="21"/>
              </w:rPr>
              <w:t>Operational Purpose</w:t>
            </w:r>
          </w:p>
        </w:tc>
      </w:tr>
      <w:tr>
        <w:tc>
          <w:tcPr>
            <w:tcW w:type="dxa" w:w="3456"/>
            <w:shd w:fill="FFFFFF"/>
            <w:tcMar>
              <w:top w:w="80" w:type="dxa"/>
              <w:bottom w:w="80" w:type="dxa"/>
              <w:left w:w="120" w:type="dxa"/>
              <w:right w:w="120" w:type="dxa"/>
            </w:tcMar>
          </w:tcPr>
          <w:p>
            <w:pPr>
              <w:spacing w:after="0"/>
              <w:jc w:val="center"/>
            </w:pPr>
            <w:r>
              <w:rPr>
                <w:rFonts w:ascii="Calibri" w:hAnsi="Calibri"/>
                <w:color w:val="1E293B"/>
                <w:sz w:val="20"/>
              </w:rPr>
              <w:t>/api/vessels</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GET</w:t>
            </w:r>
          </w:p>
        </w:tc>
        <w:tc>
          <w:tcPr>
            <w:tcW w:type="dxa" w:w="2160"/>
            <w:shd w:fill="FFFFFF"/>
            <w:tcMar>
              <w:top w:w="80" w:type="dxa"/>
              <w:bottom w:w="80" w:type="dxa"/>
              <w:left w:w="120" w:type="dxa"/>
              <w:right w:w="120" w:type="dxa"/>
            </w:tcMar>
          </w:tcPr>
          <w:p>
            <w:pPr>
              <w:spacing w:after="0"/>
              <w:jc w:val="left"/>
            </w:pPr>
            <w:r>
              <w:rPr>
                <w:rFonts w:ascii="Calibri" w:hAnsi="Calibri"/>
                <w:color w:val="1E293B"/>
                <w:sz w:val="20"/>
              </w:rPr>
              <w:t>Public</w:t>
            </w:r>
          </w:p>
        </w:tc>
        <w:tc>
          <w:tcPr>
            <w:tcW w:type="dxa" w:w="4320"/>
            <w:shd w:fill="FFFFFF"/>
            <w:tcMar>
              <w:top w:w="80" w:type="dxa"/>
              <w:bottom w:w="80" w:type="dxa"/>
              <w:left w:w="120" w:type="dxa"/>
              <w:right w:w="120" w:type="dxa"/>
            </w:tcMar>
          </w:tcPr>
          <w:p>
            <w:pPr>
              <w:spacing w:after="0"/>
              <w:jc w:val="left"/>
            </w:pPr>
            <w:r>
              <w:rPr>
                <w:rFonts w:ascii="Calibri" w:hAnsi="Calibri"/>
                <w:color w:val="1E293B"/>
                <w:sz w:val="20"/>
              </w:rPr>
              <w:t>Returns enhanced vessel registry with live positions, severity, IMO, and DWT</w:t>
            </w:r>
          </w:p>
        </w:tc>
      </w:tr>
      <w:tr>
        <w:tc>
          <w:tcPr>
            <w:tcW w:type="dxa" w:w="3456"/>
            <w:shd w:fill="F1F5F9"/>
            <w:tcMar>
              <w:top w:w="80" w:type="dxa"/>
              <w:bottom w:w="80" w:type="dxa"/>
              <w:left w:w="120" w:type="dxa"/>
              <w:right w:w="120" w:type="dxa"/>
            </w:tcMar>
          </w:tcPr>
          <w:p>
            <w:pPr>
              <w:spacing w:after="0"/>
              <w:jc w:val="center"/>
            </w:pPr>
            <w:r>
              <w:rPr>
                <w:rFonts w:ascii="Calibri" w:hAnsi="Calibri"/>
                <w:color w:val="1E293B"/>
                <w:sz w:val="20"/>
              </w:rPr>
              <w:t>/api/vessels/{mmsi}</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GET</w:t>
            </w:r>
          </w:p>
        </w:tc>
        <w:tc>
          <w:tcPr>
            <w:tcW w:type="dxa" w:w="2160"/>
            <w:shd w:fill="F1F5F9"/>
            <w:tcMar>
              <w:top w:w="80" w:type="dxa"/>
              <w:bottom w:w="80" w:type="dxa"/>
              <w:left w:w="120" w:type="dxa"/>
              <w:right w:w="120" w:type="dxa"/>
            </w:tcMar>
          </w:tcPr>
          <w:p>
            <w:pPr>
              <w:spacing w:after="0"/>
              <w:jc w:val="left"/>
            </w:pPr>
            <w:r>
              <w:rPr>
                <w:rFonts w:ascii="Calibri" w:hAnsi="Calibri"/>
                <w:color w:val="1E293B"/>
                <w:sz w:val="20"/>
              </w:rPr>
              <w:t>Vessel Auth</w:t>
            </w:r>
          </w:p>
        </w:tc>
        <w:tc>
          <w:tcPr>
            <w:tcW w:type="dxa" w:w="4320"/>
            <w:shd w:fill="F1F5F9"/>
            <w:tcMar>
              <w:top w:w="80" w:type="dxa"/>
              <w:bottom w:w="80" w:type="dxa"/>
              <w:left w:w="120" w:type="dxa"/>
              <w:right w:w="120" w:type="dxa"/>
            </w:tcMar>
          </w:tcPr>
          <w:p>
            <w:pPr>
              <w:spacing w:after="0"/>
              <w:jc w:val="left"/>
            </w:pPr>
            <w:r>
              <w:rPr>
                <w:rFonts w:ascii="Calibri" w:hAnsi="Calibri"/>
                <w:color w:val="1E293B"/>
                <w:sz w:val="20"/>
              </w:rPr>
              <w:t>Returns complete operational history, port entries, and Sentinel-1 SAR match</w:t>
            </w:r>
          </w:p>
        </w:tc>
      </w:tr>
      <w:tr>
        <w:tc>
          <w:tcPr>
            <w:tcW w:type="dxa" w:w="3456"/>
            <w:shd w:fill="FFFFFF"/>
            <w:tcMar>
              <w:top w:w="80" w:type="dxa"/>
              <w:bottom w:w="80" w:type="dxa"/>
              <w:left w:w="120" w:type="dxa"/>
              <w:right w:w="120" w:type="dxa"/>
            </w:tcMar>
          </w:tcPr>
          <w:p>
            <w:pPr>
              <w:spacing w:after="0"/>
              <w:jc w:val="center"/>
            </w:pPr>
            <w:r>
              <w:rPr>
                <w:rFonts w:ascii="Calibri" w:hAnsi="Calibri"/>
                <w:color w:val="1E293B"/>
                <w:sz w:val="20"/>
              </w:rPr>
              <w:t>/api/anomalies</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GET</w:t>
            </w:r>
          </w:p>
        </w:tc>
        <w:tc>
          <w:tcPr>
            <w:tcW w:type="dxa" w:w="2160"/>
            <w:shd w:fill="FFFFFF"/>
            <w:tcMar>
              <w:top w:w="80" w:type="dxa"/>
              <w:bottom w:w="80" w:type="dxa"/>
              <w:left w:w="120" w:type="dxa"/>
              <w:right w:w="120" w:type="dxa"/>
            </w:tcMar>
          </w:tcPr>
          <w:p>
            <w:pPr>
              <w:spacing w:after="0"/>
              <w:jc w:val="left"/>
            </w:pPr>
            <w:r>
              <w:rPr>
                <w:rFonts w:ascii="Calibri" w:hAnsi="Calibri"/>
                <w:color w:val="1E293B"/>
                <w:sz w:val="20"/>
              </w:rPr>
              <w:t>HQ Clearance</w:t>
            </w:r>
          </w:p>
        </w:tc>
        <w:tc>
          <w:tcPr>
            <w:tcW w:type="dxa" w:w="4320"/>
            <w:shd w:fill="FFFFFF"/>
            <w:tcMar>
              <w:top w:w="80" w:type="dxa"/>
              <w:bottom w:w="80" w:type="dxa"/>
              <w:left w:w="120" w:type="dxa"/>
              <w:right w:w="120" w:type="dxa"/>
            </w:tcMar>
          </w:tcPr>
          <w:p>
            <w:pPr>
              <w:spacing w:after="0"/>
              <w:jc w:val="left"/>
            </w:pPr>
            <w:r>
              <w:rPr>
                <w:rFonts w:ascii="Calibri" w:hAnsi="Calibri"/>
                <w:color w:val="1E293B"/>
                <w:sz w:val="20"/>
              </w:rPr>
              <w:t>Retrieves active anomaly alerts sorted by risk score descending</w:t>
            </w:r>
          </w:p>
        </w:tc>
      </w:tr>
      <w:tr>
        <w:tc>
          <w:tcPr>
            <w:tcW w:type="dxa" w:w="3456"/>
            <w:shd w:fill="F1F5F9"/>
            <w:tcMar>
              <w:top w:w="80" w:type="dxa"/>
              <w:bottom w:w="80" w:type="dxa"/>
              <w:left w:w="120" w:type="dxa"/>
              <w:right w:w="120" w:type="dxa"/>
            </w:tcMar>
          </w:tcPr>
          <w:p>
            <w:pPr>
              <w:spacing w:after="0"/>
              <w:jc w:val="center"/>
            </w:pPr>
            <w:r>
              <w:rPr>
                <w:rFonts w:ascii="Calibri" w:hAnsi="Calibri"/>
                <w:color w:val="1E293B"/>
                <w:sz w:val="20"/>
              </w:rPr>
              <w:t>/api/anomalies/stats</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GET</w:t>
            </w:r>
          </w:p>
        </w:tc>
        <w:tc>
          <w:tcPr>
            <w:tcW w:type="dxa" w:w="2160"/>
            <w:shd w:fill="F1F5F9"/>
            <w:tcMar>
              <w:top w:w="80" w:type="dxa"/>
              <w:bottom w:w="80" w:type="dxa"/>
              <w:left w:w="120" w:type="dxa"/>
              <w:right w:w="120" w:type="dxa"/>
            </w:tcMar>
          </w:tcPr>
          <w:p>
            <w:pPr>
              <w:spacing w:after="0"/>
              <w:jc w:val="left"/>
            </w:pPr>
            <w:r>
              <w:rPr>
                <w:rFonts w:ascii="Calibri" w:hAnsi="Calibri"/>
                <w:color w:val="1E293B"/>
                <w:sz w:val="20"/>
              </w:rPr>
              <w:t>Public</w:t>
            </w:r>
          </w:p>
        </w:tc>
        <w:tc>
          <w:tcPr>
            <w:tcW w:type="dxa" w:w="4320"/>
            <w:shd w:fill="F1F5F9"/>
            <w:tcMar>
              <w:top w:w="80" w:type="dxa"/>
              <w:bottom w:w="80" w:type="dxa"/>
              <w:left w:w="120" w:type="dxa"/>
              <w:right w:w="120" w:type="dxa"/>
            </w:tcMar>
          </w:tcPr>
          <w:p>
            <w:pPr>
              <w:spacing w:after="0"/>
              <w:jc w:val="left"/>
            </w:pPr>
            <w:r>
              <w:rPr>
                <w:rFonts w:ascii="Calibri" w:hAnsi="Calibri"/>
                <w:color w:val="1E293B"/>
                <w:sz w:val="20"/>
              </w:rPr>
              <w:t>Returns aggregated threat statistics (Critical, High, Dark, STS, Loitering)</w:t>
            </w:r>
          </w:p>
        </w:tc>
      </w:tr>
      <w:tr>
        <w:tc>
          <w:tcPr>
            <w:tcW w:type="dxa" w:w="3456"/>
            <w:shd w:fill="FFFFFF"/>
            <w:tcMar>
              <w:top w:w="80" w:type="dxa"/>
              <w:bottom w:w="80" w:type="dxa"/>
              <w:left w:w="120" w:type="dxa"/>
              <w:right w:w="120" w:type="dxa"/>
            </w:tcMar>
          </w:tcPr>
          <w:p>
            <w:pPr>
              <w:spacing w:after="0"/>
              <w:jc w:val="center"/>
            </w:pPr>
            <w:r>
              <w:rPr>
                <w:rFonts w:ascii="Calibri" w:hAnsi="Calibri"/>
                <w:color w:val="1E293B"/>
                <w:sz w:val="20"/>
              </w:rPr>
              <w:t>/api/detect</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POST</w:t>
            </w:r>
          </w:p>
        </w:tc>
        <w:tc>
          <w:tcPr>
            <w:tcW w:type="dxa" w:w="2160"/>
            <w:shd w:fill="FFFFFF"/>
            <w:tcMar>
              <w:top w:w="80" w:type="dxa"/>
              <w:bottom w:w="80" w:type="dxa"/>
              <w:left w:w="120" w:type="dxa"/>
              <w:right w:w="120" w:type="dxa"/>
            </w:tcMar>
          </w:tcPr>
          <w:p>
            <w:pPr>
              <w:spacing w:after="0"/>
              <w:jc w:val="left"/>
            </w:pPr>
            <w:r>
              <w:rPr>
                <w:rFonts w:ascii="Calibri" w:hAnsi="Calibri"/>
                <w:color w:val="1E293B"/>
                <w:sz w:val="20"/>
              </w:rPr>
              <w:t>HQ Clearance</w:t>
            </w:r>
          </w:p>
        </w:tc>
        <w:tc>
          <w:tcPr>
            <w:tcW w:type="dxa" w:w="4320"/>
            <w:shd w:fill="FFFFFF"/>
            <w:tcMar>
              <w:top w:w="80" w:type="dxa"/>
              <w:bottom w:w="80" w:type="dxa"/>
              <w:left w:w="120" w:type="dxa"/>
              <w:right w:w="120" w:type="dxa"/>
            </w:tcMar>
          </w:tcPr>
          <w:p>
            <w:pPr>
              <w:spacing w:after="0"/>
              <w:jc w:val="left"/>
            </w:pPr>
            <w:r>
              <w:rPr>
                <w:rFonts w:ascii="Calibri" w:hAnsi="Calibri"/>
                <w:color w:val="1E293B"/>
                <w:sz w:val="20"/>
              </w:rPr>
              <w:t>Re-runs the full AI/ML pipeline (DBSCAN + Autoencoder + EKF + Loiter) on demand</w:t>
            </w:r>
          </w:p>
        </w:tc>
      </w:tr>
      <w:tr>
        <w:tc>
          <w:tcPr>
            <w:tcW w:type="dxa" w:w="3456"/>
            <w:shd w:fill="F1F5F9"/>
            <w:tcMar>
              <w:top w:w="80" w:type="dxa"/>
              <w:bottom w:w="80" w:type="dxa"/>
              <w:left w:w="120" w:type="dxa"/>
              <w:right w:w="120" w:type="dxa"/>
            </w:tcMar>
          </w:tcPr>
          <w:p>
            <w:pPr>
              <w:spacing w:after="0"/>
              <w:jc w:val="center"/>
            </w:pPr>
            <w:r>
              <w:rPr>
                <w:rFonts w:ascii="Calibri" w:hAnsi="Calibri"/>
                <w:color w:val="1E293B"/>
                <w:sz w:val="20"/>
              </w:rPr>
              <w:t>/api/vessels/{mmsi}/ship-status</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GET</w:t>
            </w:r>
          </w:p>
        </w:tc>
        <w:tc>
          <w:tcPr>
            <w:tcW w:type="dxa" w:w="2160"/>
            <w:shd w:fill="F1F5F9"/>
            <w:tcMar>
              <w:top w:w="80" w:type="dxa"/>
              <w:bottom w:w="80" w:type="dxa"/>
              <w:left w:w="120" w:type="dxa"/>
              <w:right w:w="120" w:type="dxa"/>
            </w:tcMar>
          </w:tcPr>
          <w:p>
            <w:pPr>
              <w:spacing w:after="0"/>
              <w:jc w:val="left"/>
            </w:pPr>
            <w:r>
              <w:rPr>
                <w:rFonts w:ascii="Calibri" w:hAnsi="Calibri"/>
                <w:color w:val="1E293B"/>
                <w:sz w:val="20"/>
              </w:rPr>
              <w:t>Vessel Auth</w:t>
            </w:r>
          </w:p>
        </w:tc>
        <w:tc>
          <w:tcPr>
            <w:tcW w:type="dxa" w:w="4320"/>
            <w:shd w:fill="F1F5F9"/>
            <w:tcMar>
              <w:top w:w="80" w:type="dxa"/>
              <w:bottom w:w="80" w:type="dxa"/>
              <w:left w:w="120" w:type="dxa"/>
              <w:right w:w="120" w:type="dxa"/>
            </w:tcMar>
          </w:tcPr>
          <w:p>
            <w:pPr>
              <w:spacing w:after="0"/>
              <w:jc w:val="left"/>
            </w:pPr>
            <w:r>
              <w:rPr>
                <w:rFonts w:ascii="Calibri" w:hAnsi="Calibri"/>
                <w:color w:val="1E293B"/>
                <w:sz w:val="20"/>
              </w:rPr>
              <w:t>Provides shipboard telemetry (fuel, engine power, NavIC lock status, logs)</w:t>
            </w:r>
          </w:p>
        </w:tc>
      </w:tr>
      <w:tr>
        <w:tc>
          <w:tcPr>
            <w:tcW w:type="dxa" w:w="3456"/>
            <w:shd w:fill="FFFFFF"/>
            <w:tcMar>
              <w:top w:w="80" w:type="dxa"/>
              <w:bottom w:w="80" w:type="dxa"/>
              <w:left w:w="120" w:type="dxa"/>
              <w:right w:w="120" w:type="dxa"/>
            </w:tcMar>
          </w:tcPr>
          <w:p>
            <w:pPr>
              <w:spacing w:after="0"/>
              <w:jc w:val="center"/>
            </w:pPr>
            <w:r>
              <w:rPr>
                <w:rFonts w:ascii="Calibri" w:hAnsi="Calibri"/>
                <w:color w:val="1E293B"/>
                <w:sz w:val="20"/>
              </w:rPr>
              <w:t>/api/vessels/{mmsi}/control</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POST</w:t>
            </w:r>
          </w:p>
        </w:tc>
        <w:tc>
          <w:tcPr>
            <w:tcW w:type="dxa" w:w="2160"/>
            <w:shd w:fill="FFFFFF"/>
            <w:tcMar>
              <w:top w:w="80" w:type="dxa"/>
              <w:bottom w:w="80" w:type="dxa"/>
              <w:left w:w="120" w:type="dxa"/>
              <w:right w:w="120" w:type="dxa"/>
            </w:tcMar>
          </w:tcPr>
          <w:p>
            <w:pPr>
              <w:spacing w:after="0"/>
              <w:jc w:val="left"/>
            </w:pPr>
            <w:r>
              <w:rPr>
                <w:rFonts w:ascii="Calibri" w:hAnsi="Calibri"/>
                <w:color w:val="1E293B"/>
                <w:sz w:val="20"/>
              </w:rPr>
              <w:t>Vessel Auth</w:t>
            </w:r>
          </w:p>
        </w:tc>
        <w:tc>
          <w:tcPr>
            <w:tcW w:type="dxa" w:w="4320"/>
            <w:shd w:fill="FFFFFF"/>
            <w:tcMar>
              <w:top w:w="80" w:type="dxa"/>
              <w:bottom w:w="80" w:type="dxa"/>
              <w:left w:w="120" w:type="dxa"/>
              <w:right w:w="120" w:type="dxa"/>
            </w:tcMar>
          </w:tcPr>
          <w:p>
            <w:pPr>
              <w:spacing w:after="0"/>
              <w:jc w:val="left"/>
            </w:pPr>
            <w:r>
              <w:rPr>
                <w:rFonts w:ascii="Calibri" w:hAnsi="Calibri"/>
                <w:color w:val="1E293B"/>
                <w:sz w:val="20"/>
              </w:rPr>
              <w:t>Executes vessel commands (toggle stealth AIS, trigger emergency distress)</w:t>
            </w:r>
          </w:p>
        </w:tc>
      </w:tr>
      <w:tr>
        <w:tc>
          <w:tcPr>
            <w:tcW w:type="dxa" w:w="3456"/>
            <w:shd w:fill="F1F5F9"/>
            <w:tcMar>
              <w:top w:w="80" w:type="dxa"/>
              <w:bottom w:w="80" w:type="dxa"/>
              <w:left w:w="120" w:type="dxa"/>
              <w:right w:w="120" w:type="dxa"/>
            </w:tcMar>
          </w:tcPr>
          <w:p>
            <w:pPr>
              <w:spacing w:after="0"/>
              <w:jc w:val="center"/>
            </w:pPr>
            <w:r>
              <w:rPr>
                <w:rFonts w:ascii="Calibri" w:hAnsi="Calibri"/>
                <w:color w:val="1E293B"/>
                <w:sz w:val="20"/>
              </w:rPr>
              <w:t>/ws/live-feed</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WebSocket</w:t>
            </w:r>
          </w:p>
        </w:tc>
        <w:tc>
          <w:tcPr>
            <w:tcW w:type="dxa" w:w="2160"/>
            <w:shd w:fill="F1F5F9"/>
            <w:tcMar>
              <w:top w:w="80" w:type="dxa"/>
              <w:bottom w:w="80" w:type="dxa"/>
              <w:left w:w="120" w:type="dxa"/>
              <w:right w:w="120" w:type="dxa"/>
            </w:tcMar>
          </w:tcPr>
          <w:p>
            <w:pPr>
              <w:spacing w:after="0"/>
              <w:jc w:val="left"/>
            </w:pPr>
            <w:r>
              <w:rPr>
                <w:rFonts w:ascii="Calibri" w:hAnsi="Calibri"/>
                <w:color w:val="1E293B"/>
                <w:sz w:val="20"/>
              </w:rPr>
              <w:t>Public</w:t>
            </w:r>
          </w:p>
        </w:tc>
        <w:tc>
          <w:tcPr>
            <w:tcW w:type="dxa" w:w="4320"/>
            <w:shd w:fill="F1F5F9"/>
            <w:tcMar>
              <w:top w:w="80" w:type="dxa"/>
              <w:bottom w:w="80" w:type="dxa"/>
              <w:left w:w="120" w:type="dxa"/>
              <w:right w:w="120" w:type="dxa"/>
            </w:tcMar>
          </w:tcPr>
          <w:p>
            <w:pPr>
              <w:spacing w:after="0"/>
              <w:jc w:val="left"/>
            </w:pPr>
            <w:r>
              <w:rPr>
                <w:rFonts w:ascii="Calibri" w:hAnsi="Calibri"/>
                <w:color w:val="1E293B"/>
                <w:sz w:val="20"/>
              </w:rPr>
              <w:t>Streams real-time AIS packets enriched with live ML risk metadata at 2 Hz</w:t>
            </w:r>
          </w:p>
        </w:tc>
      </w:tr>
    </w:tbl>
    <w:p>
      <w:pPr>
        <w:spacing w:after="120"/>
      </w:pPr>
    </w:p>
    <w:p>
      <w:pPr>
        <w:keepNext/>
        <w:spacing w:before="280" w:after="120"/>
      </w:pPr>
      <w:r>
        <w:rPr>
          <w:rFonts w:ascii="Calibri" w:hAnsi="Calibri"/>
          <w:b/>
          <w:color w:val="144272"/>
          <w:sz w:val="26"/>
        </w:rPr>
        <w:t>5.2 Tactical Frontend Command Center</w:t>
      </w:r>
    </w:p>
    <w:p>
      <w:pPr>
        <w:spacing w:after="120" w:line="276" w:lineRule="auto"/>
        <w:jc w:val="both"/>
      </w:pPr>
      <w:r>
        <w:rPr>
          <w:rFonts w:ascii="Calibri" w:hAnsi="Calibri"/>
          <w:b/>
          <w:color w:val="1E293B"/>
          <w:sz w:val="22"/>
        </w:rPr>
        <w:t xml:space="preserve">Modern React 18 / Vite Interface: </w:t>
      </w:r>
      <w:r>
        <w:rPr>
          <w:rFonts w:ascii="Calibri" w:hAnsi="Calibri"/>
          <w:color w:val="1E293B"/>
          <w:sz w:val="22"/>
        </w:rPr>
        <w:t>The user interface is engineered as a single-page application (SPA) using React 18, Vite, and Leaflet Maps. It provides real-time geospatial rendering of over 100 vessels simultaneously with zero UI stutter, leveraging Leaflet Canvas rendering.</w:t>
      </w:r>
    </w:p>
    <w:p>
      <w:pPr>
        <w:pStyle w:val="ListBullet"/>
        <w:spacing w:after="80" w:line="276" w:lineRule="auto"/>
        <w:jc w:val="both"/>
      </w:pPr>
      <w:r>
        <w:rPr>
          <w:rFonts w:ascii="Calibri" w:hAnsi="Calibri"/>
          <w:b/>
          <w:color w:val="1E293B"/>
          <w:sz w:val="22"/>
        </w:rPr>
        <w:t xml:space="preserve">Multi-Layer GIS: </w:t>
      </w:r>
      <w:r>
        <w:rPr>
          <w:rFonts w:ascii="Calibri" w:hAnsi="Calibri"/>
          <w:color w:val="1E293B"/>
          <w:sz w:val="22"/>
        </w:rPr>
        <w:t>Interactive Tactical Layers: Toggleable overlays for Shoreline 2km Buffer, Maritime Regions, IUU Hot Zones, Military Drills, War Risk Areas, EEZ Splits, and Undersea Cables.</w:t>
      </w:r>
    </w:p>
    <w:p>
      <w:pPr>
        <w:pStyle w:val="ListBullet"/>
        <w:spacing w:after="80" w:line="276" w:lineRule="auto"/>
        <w:jc w:val="both"/>
      </w:pPr>
      <w:r>
        <w:rPr>
          <w:rFonts w:ascii="Calibri" w:hAnsi="Calibri"/>
          <w:b/>
          <w:color w:val="1E293B"/>
          <w:sz w:val="22"/>
        </w:rPr>
        <w:t xml:space="preserve">Kinematic SVG Hulls: </w:t>
      </w:r>
      <w:r>
        <w:rPr>
          <w:rFonts w:ascii="Calibri" w:hAnsi="Calibri"/>
          <w:color w:val="1E293B"/>
          <w:sz w:val="22"/>
        </w:rPr>
        <w:t>Directional Vessel Markers: Custom SVG hulls rotated dynamically according to Course Over Ground (COG), glowing red/orange/cyan based on ML threat severity.</w:t>
      </w:r>
    </w:p>
    <w:p>
      <w:pPr>
        <w:pStyle w:val="ListBullet"/>
        <w:spacing w:after="80" w:line="276" w:lineRule="auto"/>
        <w:jc w:val="both"/>
      </w:pPr>
      <w:r>
        <w:rPr>
          <w:rFonts w:ascii="Calibri" w:hAnsi="Calibri"/>
          <w:b/>
          <w:color w:val="1E293B"/>
          <w:sz w:val="22"/>
        </w:rPr>
        <w:t xml:space="preserve">Motion Vectors: </w:t>
      </w:r>
      <w:r>
        <w:rPr>
          <w:rFonts w:ascii="Calibri" w:hAnsi="Calibri"/>
          <w:color w:val="1E293B"/>
          <w:sz w:val="22"/>
        </w:rPr>
        <w:t>Live Motion Vectors: Dashed projection polylines indicating extrapolated position 45 minutes into the future based on current SOG and COG.</w:t>
      </w:r>
    </w:p>
    <w:p>
      <w:pPr>
        <w:keepNext/>
        <w:spacing w:before="280" w:after="120"/>
      </w:pPr>
      <w:r>
        <w:rPr>
          <w:rFonts w:ascii="Calibri" w:hAnsi="Calibri"/>
          <w:b/>
          <w:color w:val="144272"/>
          <w:sz w:val="26"/>
        </w:rPr>
        <w:t>5.3 Shipboard Operator Portal &amp; HQ Two-Way Comms</w:t>
      </w:r>
    </w:p>
    <w:p>
      <w:pPr>
        <w:spacing w:after="120" w:line="276" w:lineRule="auto"/>
        <w:jc w:val="both"/>
      </w:pPr>
      <w:r>
        <w:rPr>
          <w:rFonts w:ascii="Calibri" w:hAnsi="Calibri"/>
          <w:color w:val="1E293B"/>
          <w:sz w:val="22"/>
        </w:rPr>
        <w:t>A dedicated Ship Portal (`ShipDashboard.jsx`) provides shipboard commanding officers with a tactical bridge console. It displays NavIC satellite lock status, engine performance, fuel reserves, and automated distress beacon triggers. Two-way encrypted tactical messaging enables real-time coordination between Naval HQ and shipboard bridge watch officers.</w:t>
      </w:r>
    </w:p>
    <w:p>
      <w:pPr>
        <w:keepNext/>
        <w:spacing w:before="280" w:after="120"/>
      </w:pPr>
      <w:r>
        <w:rPr>
          <w:rFonts w:ascii="Calibri" w:hAnsi="Calibri"/>
          <w:b/>
          <w:color w:val="144272"/>
          <w:sz w:val="26"/>
        </w:rPr>
        <w:t>5.4 Military-Grade Tactical Clearance Security</w:t>
      </w:r>
    </w:p>
    <w:p>
      <w:pPr>
        <w:spacing w:after="120" w:line="276" w:lineRule="auto"/>
        <w:jc w:val="both"/>
      </w:pPr>
      <w:r>
        <w:rPr>
          <w:rFonts w:ascii="Calibri" w:hAnsi="Calibri"/>
          <w:color w:val="1E293B"/>
          <w:sz w:val="22"/>
        </w:rPr>
        <w:t>Access to the tactical command system is protected by a military-grade Lock Screen (`LockScreen.jsx`). Operators must authenticate using the classified tactical clearance passcode (`0210`). Session tokens are stored in `sessionStorage` and automatically verified on sensitive endpoints (`require_hq_clearance` and `require_vessel_authorization`).</w:t>
      </w:r>
    </w:p>
    <w:p>
      <w:r>
        <w:br w:type="page"/>
      </w:r>
    </w:p>
    <w:p>
      <w:pPr>
        <w:spacing w:before="360" w:after="40"/>
        <w:jc w:val="center"/>
      </w:pPr>
      <w:r>
        <w:rPr>
          <w:rFonts w:ascii="Calibri" w:hAnsi="Calibri"/>
          <w:b/>
          <w:color w:val="0A2647"/>
          <w:sz w:val="32"/>
        </w:rPr>
        <w:t>CHAPTER 6</w:t>
      </w:r>
    </w:p>
    <w:p>
      <w:pPr>
        <w:spacing w:before="0" w:after="320"/>
        <w:jc w:val="center"/>
      </w:pPr>
      <w:r>
        <w:rPr>
          <w:rFonts w:ascii="Calibri" w:hAnsi="Calibri"/>
          <w:b/>
          <w:color w:val="144272"/>
          <w:sz w:val="28"/>
        </w:rPr>
        <w:t>EXPERIMENTAL RESULTS, VERIFICATION &amp; BENCHMARKS</w:t>
      </w:r>
    </w:p>
    <w:p>
      <w:pPr>
        <w:keepNext/>
        <w:spacing w:before="280" w:after="120"/>
      </w:pPr>
      <w:r>
        <w:rPr>
          <w:rFonts w:ascii="Calibri" w:hAnsi="Calibri"/>
          <w:b/>
          <w:color w:val="144272"/>
          <w:sz w:val="26"/>
        </w:rPr>
        <w:t>6.1 Anomaly Simulation &amp; Detection Verification</w:t>
      </w:r>
    </w:p>
    <w:p>
      <w:pPr>
        <w:spacing w:after="120" w:line="276" w:lineRule="auto"/>
        <w:jc w:val="both"/>
      </w:pPr>
      <w:r>
        <w:rPr>
          <w:rFonts w:ascii="Calibri" w:hAnsi="Calibri"/>
          <w:b/>
          <w:color w:val="1E293B"/>
          <w:sz w:val="22"/>
        </w:rPr>
        <w:t xml:space="preserve">Experimental Testbed: </w:t>
      </w:r>
      <w:r>
        <w:rPr>
          <w:rFonts w:ascii="Calibri" w:hAnsi="Calibri"/>
          <w:color w:val="1E293B"/>
          <w:sz w:val="22"/>
        </w:rPr>
        <w:t>The system was evaluated against 105 vessels comprising 15,060 discrete AIS telemetry pings across a 12-hour operational simulation window in the Arabian Sea, Indian Ocean, and Bay of Bengal. All injected anomalies were successfully detected by the ML engine: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560"/>
        <w:gridCol w:w="1560"/>
        <w:gridCol w:w="1560"/>
        <w:gridCol w:w="1560"/>
        <w:gridCol w:w="1560"/>
        <w:gridCol w:w="1560"/>
      </w:tblGrid>
      <w:tr>
        <w:tc>
          <w:tcPr>
            <w:tcW w:type="dxa" w:w="2592"/>
            <w:shd w:fill="0A2647"/>
            <w:tcMar>
              <w:top w:w="120" w:type="dxa"/>
              <w:bottom w:w="120" w:type="dxa"/>
              <w:left w:w="140" w:type="dxa"/>
              <w:right w:w="140" w:type="dxa"/>
            </w:tcMar>
          </w:tcPr>
          <w:p>
            <w:pPr>
              <w:jc w:val="center"/>
            </w:pPr>
            <w:r>
              <w:rPr>
                <w:rFonts w:ascii="Calibri" w:hAnsi="Calibri"/>
                <w:b/>
                <w:color w:val="FFFFFF"/>
                <w:sz w:val="21"/>
              </w:rPr>
              <w:t>Target Vessel</w:t>
            </w:r>
          </w:p>
        </w:tc>
        <w:tc>
          <w:tcPr>
            <w:tcW w:type="dxa" w:w="1584"/>
            <w:shd w:fill="0A2647"/>
            <w:tcMar>
              <w:top w:w="120" w:type="dxa"/>
              <w:bottom w:w="120" w:type="dxa"/>
              <w:left w:w="140" w:type="dxa"/>
              <w:right w:w="140" w:type="dxa"/>
            </w:tcMar>
          </w:tcPr>
          <w:p>
            <w:pPr>
              <w:jc w:val="center"/>
            </w:pPr>
            <w:r>
              <w:rPr>
                <w:rFonts w:ascii="Calibri" w:hAnsi="Calibri"/>
                <w:b/>
                <w:color w:val="FFFFFF"/>
                <w:sz w:val="21"/>
              </w:rPr>
              <w:t>MMSI</w:t>
            </w:r>
          </w:p>
        </w:tc>
        <w:tc>
          <w:tcPr>
            <w:tcW w:type="dxa" w:w="3312"/>
            <w:shd w:fill="0A2647"/>
            <w:tcMar>
              <w:top w:w="120" w:type="dxa"/>
              <w:bottom w:w="120" w:type="dxa"/>
              <w:left w:w="140" w:type="dxa"/>
              <w:right w:w="140" w:type="dxa"/>
            </w:tcMar>
          </w:tcPr>
          <w:p>
            <w:pPr>
              <w:jc w:val="center"/>
            </w:pPr>
            <w:r>
              <w:rPr>
                <w:rFonts w:ascii="Calibri" w:hAnsi="Calibri"/>
                <w:b/>
                <w:color w:val="FFFFFF"/>
                <w:sz w:val="21"/>
              </w:rPr>
              <w:t>Injected Anomaly Scenario</w:t>
            </w:r>
          </w:p>
        </w:tc>
        <w:tc>
          <w:tcPr>
            <w:tcW w:type="dxa" w:w="2592"/>
            <w:shd w:fill="0A2647"/>
            <w:tcMar>
              <w:top w:w="120" w:type="dxa"/>
              <w:bottom w:w="120" w:type="dxa"/>
              <w:left w:w="140" w:type="dxa"/>
              <w:right w:w="140" w:type="dxa"/>
            </w:tcMar>
          </w:tcPr>
          <w:p>
            <w:pPr>
              <w:jc w:val="center"/>
            </w:pPr>
            <w:r>
              <w:rPr>
                <w:rFonts w:ascii="Calibri" w:hAnsi="Calibri"/>
                <w:b/>
                <w:color w:val="FFFFFF"/>
                <w:sz w:val="21"/>
              </w:rPr>
              <w:t>Detection Mechanism</w:t>
            </w:r>
          </w:p>
        </w:tc>
        <w:tc>
          <w:tcPr>
            <w:tcW w:type="dxa" w:w="1440"/>
            <w:shd w:fill="0A2647"/>
            <w:tcMar>
              <w:top w:w="120" w:type="dxa"/>
              <w:bottom w:w="120" w:type="dxa"/>
              <w:left w:w="140" w:type="dxa"/>
              <w:right w:w="140" w:type="dxa"/>
            </w:tcMar>
          </w:tcPr>
          <w:p>
            <w:pPr>
              <w:jc w:val="center"/>
            </w:pPr>
            <w:r>
              <w:rPr>
                <w:rFonts w:ascii="Calibri" w:hAnsi="Calibri"/>
                <w:b/>
                <w:color w:val="FFFFFF"/>
                <w:sz w:val="21"/>
              </w:rPr>
              <w:t>Computed Risk Score</w:t>
            </w:r>
          </w:p>
        </w:tc>
        <w:tc>
          <w:tcPr>
            <w:tcW w:type="dxa" w:w="1728"/>
            <w:shd w:fill="0A2647"/>
            <w:tcMar>
              <w:top w:w="120" w:type="dxa"/>
              <w:bottom w:w="120" w:type="dxa"/>
              <w:left w:w="140" w:type="dxa"/>
              <w:right w:w="140" w:type="dxa"/>
            </w:tcMar>
          </w:tcPr>
          <w:p>
            <w:pPr>
              <w:jc w:val="center"/>
            </w:pPr>
            <w:r>
              <w:rPr>
                <w:rFonts w:ascii="Calibri" w:hAnsi="Calibri"/>
                <w:b/>
                <w:color w:val="FFFFFF"/>
                <w:sz w:val="21"/>
              </w:rPr>
              <w:t>Severity Verdict</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LOITER VESSEL</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419005002</w:t>
            </w:r>
          </w:p>
        </w:tc>
        <w:tc>
          <w:tcPr>
            <w:tcW w:type="dxa" w:w="3312"/>
            <w:shd w:fill="FFFFFF"/>
            <w:tcMar>
              <w:top w:w="80" w:type="dxa"/>
              <w:bottom w:w="80" w:type="dxa"/>
              <w:left w:w="120" w:type="dxa"/>
              <w:right w:w="120" w:type="dxa"/>
            </w:tcMar>
          </w:tcPr>
          <w:p>
            <w:pPr>
              <w:spacing w:after="0"/>
              <w:jc w:val="left"/>
            </w:pPr>
            <w:r>
              <w:rPr>
                <w:rFonts w:ascii="Calibri" w:hAnsi="Calibri"/>
                <w:color w:val="1E293B"/>
                <w:sz w:val="20"/>
              </w:rPr>
              <w:t>Circling at 1.2 kts outside Mumbai anchorage for 7.5 hrs</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Spatial Density Clustering + Centroid Drift</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52.5 %</w:t>
            </w:r>
          </w:p>
        </w:tc>
        <w:tc>
          <w:tcPr>
            <w:tcW w:type="dxa" w:w="1728"/>
            <w:shd w:fill="FFFFFF"/>
            <w:tcMar>
              <w:top w:w="80" w:type="dxa"/>
              <w:bottom w:w="80" w:type="dxa"/>
              <w:left w:w="120" w:type="dxa"/>
              <w:right w:w="120" w:type="dxa"/>
            </w:tcMar>
          </w:tcPr>
          <w:p>
            <w:pPr>
              <w:spacing w:after="0"/>
              <w:jc w:val="left"/>
            </w:pPr>
            <w:r>
              <w:rPr>
                <w:rFonts w:ascii="Calibri" w:hAnsi="Calibri"/>
                <w:color w:val="1E293B"/>
                <w:sz w:val="20"/>
              </w:rPr>
              <w:t>HIGH RISK</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SHADOW TANKER ALPHA</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419004001</w:t>
            </w:r>
          </w:p>
        </w:tc>
        <w:tc>
          <w:tcPr>
            <w:tcW w:type="dxa" w:w="3312"/>
            <w:shd w:fill="F1F5F9"/>
            <w:tcMar>
              <w:top w:w="80" w:type="dxa"/>
              <w:bottom w:w="80" w:type="dxa"/>
              <w:left w:w="120" w:type="dxa"/>
              <w:right w:w="120" w:type="dxa"/>
            </w:tcMar>
          </w:tcPr>
          <w:p>
            <w:pPr>
              <w:spacing w:after="0"/>
              <w:jc w:val="left"/>
            </w:pPr>
            <w:r>
              <w:rPr>
                <w:rFonts w:ascii="Calibri" w:hAnsi="Calibri"/>
                <w:color w:val="1E293B"/>
                <w:sz w:val="20"/>
              </w:rPr>
              <w:t>Parallel rendezvous with Tanker Beta at 2.5 kts (STS oil transfer)</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STS Heuristic + Speed Synchronization</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49.1 %</w:t>
            </w:r>
          </w:p>
        </w:tc>
        <w:tc>
          <w:tcPr>
            <w:tcW w:type="dxa" w:w="1728"/>
            <w:shd w:fill="F1F5F9"/>
            <w:tcMar>
              <w:top w:w="80" w:type="dxa"/>
              <w:bottom w:w="80" w:type="dxa"/>
              <w:left w:w="120" w:type="dxa"/>
              <w:right w:w="120" w:type="dxa"/>
            </w:tcMar>
          </w:tcPr>
          <w:p>
            <w:pPr>
              <w:spacing w:after="0"/>
              <w:jc w:val="left"/>
            </w:pPr>
            <w:r>
              <w:rPr>
                <w:rFonts w:ascii="Calibri" w:hAnsi="Calibri"/>
                <w:color w:val="1E293B"/>
                <w:sz w:val="20"/>
              </w:rPr>
              <w:t>MEDIUM RISK</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SHADOW TANKER BETA</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419004002</w:t>
            </w:r>
          </w:p>
        </w:tc>
        <w:tc>
          <w:tcPr>
            <w:tcW w:type="dxa" w:w="3312"/>
            <w:shd w:fill="FFFFFF"/>
            <w:tcMar>
              <w:top w:w="80" w:type="dxa"/>
              <w:bottom w:w="80" w:type="dxa"/>
              <w:left w:w="120" w:type="dxa"/>
              <w:right w:w="120" w:type="dxa"/>
            </w:tcMar>
          </w:tcPr>
          <w:p>
            <w:pPr>
              <w:spacing w:after="0"/>
              <w:jc w:val="left"/>
            </w:pPr>
            <w:r>
              <w:rPr>
                <w:rFonts w:ascii="Calibri" w:hAnsi="Calibri"/>
                <w:color w:val="1E293B"/>
                <w:sz w:val="20"/>
              </w:rPr>
              <w:t>Shadowing Tanker Alpha at ~300m offset with 'Moored' status</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STS Heuristic + Co-trajectory Tracking</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47.9 %</w:t>
            </w:r>
          </w:p>
        </w:tc>
        <w:tc>
          <w:tcPr>
            <w:tcW w:type="dxa" w:w="1728"/>
            <w:shd w:fill="FFFFFF"/>
            <w:tcMar>
              <w:top w:w="80" w:type="dxa"/>
              <w:bottom w:w="80" w:type="dxa"/>
              <w:left w:w="120" w:type="dxa"/>
              <w:right w:w="120" w:type="dxa"/>
            </w:tcMar>
          </w:tcPr>
          <w:p>
            <w:pPr>
              <w:spacing w:after="0"/>
              <w:jc w:val="left"/>
            </w:pPr>
            <w:r>
              <w:rPr>
                <w:rFonts w:ascii="Calibri" w:hAnsi="Calibri"/>
                <w:color w:val="1E293B"/>
                <w:sz w:val="20"/>
              </w:rPr>
              <w:t>MEDIUM RISK</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SPOOF MASTER</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419005003</w:t>
            </w:r>
          </w:p>
        </w:tc>
        <w:tc>
          <w:tcPr>
            <w:tcW w:type="dxa" w:w="3312"/>
            <w:shd w:fill="F1F5F9"/>
            <w:tcMar>
              <w:top w:w="80" w:type="dxa"/>
              <w:bottom w:w="80" w:type="dxa"/>
              <w:left w:w="120" w:type="dxa"/>
              <w:right w:w="120" w:type="dxa"/>
            </w:tcMar>
          </w:tcPr>
          <w:p>
            <w:pPr>
              <w:spacing w:after="0"/>
              <w:jc w:val="left"/>
            </w:pPr>
            <w:r>
              <w:rPr>
                <w:rFonts w:ascii="Calibri" w:hAnsi="Calibri"/>
                <w:color w:val="1E293B"/>
                <w:sz w:val="20"/>
              </w:rPr>
              <w:t>Instantaneous 3° teleport jump westward in open Arabian Sea</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Kinematic Speed Anomaly + Physics Validator</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41.2 %</w:t>
            </w:r>
          </w:p>
        </w:tc>
        <w:tc>
          <w:tcPr>
            <w:tcW w:type="dxa" w:w="1728"/>
            <w:shd w:fill="F1F5F9"/>
            <w:tcMar>
              <w:top w:w="80" w:type="dxa"/>
              <w:bottom w:w="80" w:type="dxa"/>
              <w:left w:w="120" w:type="dxa"/>
              <w:right w:w="120" w:type="dxa"/>
            </w:tcMar>
          </w:tcPr>
          <w:p>
            <w:pPr>
              <w:spacing w:after="0"/>
              <w:jc w:val="left"/>
            </w:pPr>
            <w:r>
              <w:rPr>
                <w:rFonts w:ascii="Calibri" w:hAnsi="Calibri"/>
                <w:color w:val="1E293B"/>
                <w:sz w:val="20"/>
              </w:rPr>
              <w:t>MEDIUM RISK</w:t>
            </w:r>
          </w:p>
        </w:tc>
      </w:tr>
      <w:tr>
        <w:tc>
          <w:tcPr>
            <w:tcW w:type="dxa" w:w="2592"/>
            <w:shd w:fill="FFFFFF"/>
            <w:tcMar>
              <w:top w:w="80" w:type="dxa"/>
              <w:bottom w:w="80" w:type="dxa"/>
              <w:left w:w="120" w:type="dxa"/>
              <w:right w:w="120" w:type="dxa"/>
            </w:tcMar>
          </w:tcPr>
          <w:p>
            <w:pPr>
              <w:spacing w:after="0"/>
              <w:jc w:val="center"/>
            </w:pPr>
            <w:r>
              <w:rPr>
                <w:rFonts w:ascii="Calibri" w:hAnsi="Calibri"/>
                <w:color w:val="1E293B"/>
                <w:sz w:val="20"/>
              </w:rPr>
              <w:t>GHOST FREIGHTER</w:t>
            </w:r>
          </w:p>
        </w:tc>
        <w:tc>
          <w:tcPr>
            <w:tcW w:type="dxa" w:w="1584"/>
            <w:shd w:fill="FFFFFF"/>
            <w:tcMar>
              <w:top w:w="80" w:type="dxa"/>
              <w:bottom w:w="80" w:type="dxa"/>
              <w:left w:w="120" w:type="dxa"/>
              <w:right w:w="120" w:type="dxa"/>
            </w:tcMar>
          </w:tcPr>
          <w:p>
            <w:pPr>
              <w:spacing w:after="0"/>
              <w:jc w:val="left"/>
            </w:pPr>
            <w:r>
              <w:rPr>
                <w:rFonts w:ascii="Calibri" w:hAnsi="Calibri"/>
                <w:color w:val="1E293B"/>
                <w:sz w:val="20"/>
              </w:rPr>
              <w:t>419005001</w:t>
            </w:r>
          </w:p>
        </w:tc>
        <w:tc>
          <w:tcPr>
            <w:tcW w:type="dxa" w:w="3312"/>
            <w:shd w:fill="FFFFFF"/>
            <w:tcMar>
              <w:top w:w="80" w:type="dxa"/>
              <w:bottom w:w="80" w:type="dxa"/>
              <w:left w:w="120" w:type="dxa"/>
              <w:right w:w="120" w:type="dxa"/>
            </w:tcMar>
          </w:tcPr>
          <w:p>
            <w:pPr>
              <w:spacing w:after="0"/>
              <w:jc w:val="left"/>
            </w:pPr>
            <w:r>
              <w:rPr>
                <w:rFonts w:ascii="Calibri" w:hAnsi="Calibri"/>
                <w:color w:val="1E293B"/>
                <w:sz w:val="20"/>
              </w:rPr>
              <w:t>AIS transponder silenced for 5 hrs, reappeared 55.9 nm off-course</w:t>
            </w:r>
          </w:p>
        </w:tc>
        <w:tc>
          <w:tcPr>
            <w:tcW w:type="dxa" w:w="2592"/>
            <w:shd w:fill="FFFFFF"/>
            <w:tcMar>
              <w:top w:w="80" w:type="dxa"/>
              <w:bottom w:w="80" w:type="dxa"/>
              <w:left w:w="120" w:type="dxa"/>
              <w:right w:w="120" w:type="dxa"/>
            </w:tcMar>
          </w:tcPr>
          <w:p>
            <w:pPr>
              <w:spacing w:after="0"/>
              <w:jc w:val="left"/>
            </w:pPr>
            <w:r>
              <w:rPr>
                <w:rFonts w:ascii="Calibri" w:hAnsi="Calibri"/>
                <w:color w:val="1E293B"/>
                <w:sz w:val="20"/>
              </w:rPr>
              <w:t>4-State Extended Kalman Filter (EKF)</w:t>
            </w:r>
          </w:p>
        </w:tc>
        <w:tc>
          <w:tcPr>
            <w:tcW w:type="dxa" w:w="1440"/>
            <w:shd w:fill="FFFFFF"/>
            <w:tcMar>
              <w:top w:w="80" w:type="dxa"/>
              <w:bottom w:w="80" w:type="dxa"/>
              <w:left w:w="120" w:type="dxa"/>
              <w:right w:w="120" w:type="dxa"/>
            </w:tcMar>
          </w:tcPr>
          <w:p>
            <w:pPr>
              <w:spacing w:after="0"/>
              <w:jc w:val="left"/>
            </w:pPr>
            <w:r>
              <w:rPr>
                <w:rFonts w:ascii="Calibri" w:hAnsi="Calibri"/>
                <w:color w:val="1E293B"/>
                <w:sz w:val="20"/>
              </w:rPr>
              <w:t>35.6 %</w:t>
            </w:r>
          </w:p>
        </w:tc>
        <w:tc>
          <w:tcPr>
            <w:tcW w:type="dxa" w:w="1728"/>
            <w:shd w:fill="FFFFFF"/>
            <w:tcMar>
              <w:top w:w="80" w:type="dxa"/>
              <w:bottom w:w="80" w:type="dxa"/>
              <w:left w:w="120" w:type="dxa"/>
              <w:right w:w="120" w:type="dxa"/>
            </w:tcMar>
          </w:tcPr>
          <w:p>
            <w:pPr>
              <w:spacing w:after="0"/>
              <w:jc w:val="left"/>
            </w:pPr>
            <w:r>
              <w:rPr>
                <w:rFonts w:ascii="Calibri" w:hAnsi="Calibri"/>
                <w:color w:val="1E293B"/>
                <w:sz w:val="20"/>
              </w:rPr>
              <w:t>MEDIUM RISK</w:t>
            </w:r>
          </w:p>
        </w:tc>
      </w:tr>
      <w:tr>
        <w:tc>
          <w:tcPr>
            <w:tcW w:type="dxa" w:w="2592"/>
            <w:shd w:fill="F1F5F9"/>
            <w:tcMar>
              <w:top w:w="80" w:type="dxa"/>
              <w:bottom w:w="80" w:type="dxa"/>
              <w:left w:w="120" w:type="dxa"/>
              <w:right w:w="120" w:type="dxa"/>
            </w:tcMar>
          </w:tcPr>
          <w:p>
            <w:pPr>
              <w:spacing w:after="0"/>
              <w:jc w:val="center"/>
            </w:pPr>
            <w:r>
              <w:rPr>
                <w:rFonts w:ascii="Calibri" w:hAnsi="Calibri"/>
                <w:color w:val="1E293B"/>
                <w:sz w:val="20"/>
              </w:rPr>
              <w:t>INS Vikrant</w:t>
            </w:r>
          </w:p>
        </w:tc>
        <w:tc>
          <w:tcPr>
            <w:tcW w:type="dxa" w:w="1584"/>
            <w:shd w:fill="F1F5F9"/>
            <w:tcMar>
              <w:top w:w="80" w:type="dxa"/>
              <w:bottom w:w="80" w:type="dxa"/>
              <w:left w:w="120" w:type="dxa"/>
              <w:right w:w="120" w:type="dxa"/>
            </w:tcMar>
          </w:tcPr>
          <w:p>
            <w:pPr>
              <w:spacing w:after="0"/>
              <w:jc w:val="left"/>
            </w:pPr>
            <w:r>
              <w:rPr>
                <w:rFonts w:ascii="Calibri" w:hAnsi="Calibri"/>
                <w:color w:val="1E293B"/>
                <w:sz w:val="20"/>
              </w:rPr>
              <w:t>41910000</w:t>
            </w:r>
          </w:p>
        </w:tc>
        <w:tc>
          <w:tcPr>
            <w:tcW w:type="dxa" w:w="3312"/>
            <w:shd w:fill="F1F5F9"/>
            <w:tcMar>
              <w:top w:w="80" w:type="dxa"/>
              <w:bottom w:w="80" w:type="dxa"/>
              <w:left w:w="120" w:type="dxa"/>
              <w:right w:w="120" w:type="dxa"/>
            </w:tcMar>
          </w:tcPr>
          <w:p>
            <w:pPr>
              <w:spacing w:after="0"/>
              <w:jc w:val="left"/>
            </w:pPr>
            <w:r>
              <w:rPr>
                <w:rFonts w:ascii="Calibri" w:hAnsi="Calibri"/>
                <w:color w:val="1E293B"/>
                <w:sz w:val="20"/>
              </w:rPr>
              <w:t>Normal coastal naval escort patrol along West Coast sea lane</w:t>
            </w:r>
          </w:p>
        </w:tc>
        <w:tc>
          <w:tcPr>
            <w:tcW w:type="dxa" w:w="2592"/>
            <w:shd w:fill="F1F5F9"/>
            <w:tcMar>
              <w:top w:w="80" w:type="dxa"/>
              <w:bottom w:w="80" w:type="dxa"/>
              <w:left w:w="120" w:type="dxa"/>
              <w:right w:w="120" w:type="dxa"/>
            </w:tcMar>
          </w:tcPr>
          <w:p>
            <w:pPr>
              <w:spacing w:after="0"/>
              <w:jc w:val="left"/>
            </w:pPr>
            <w:r>
              <w:rPr>
                <w:rFonts w:ascii="Calibri" w:hAnsi="Calibri"/>
                <w:color w:val="1E293B"/>
                <w:sz w:val="20"/>
              </w:rPr>
              <w:t>DBSCAN Cluster Match + Low Autoencoder Loss</w:t>
            </w:r>
          </w:p>
        </w:tc>
        <w:tc>
          <w:tcPr>
            <w:tcW w:type="dxa" w:w="1440"/>
            <w:shd w:fill="F1F5F9"/>
            <w:tcMar>
              <w:top w:w="80" w:type="dxa"/>
              <w:bottom w:w="80" w:type="dxa"/>
              <w:left w:w="120" w:type="dxa"/>
              <w:right w:w="120" w:type="dxa"/>
            </w:tcMar>
          </w:tcPr>
          <w:p>
            <w:pPr>
              <w:spacing w:after="0"/>
              <w:jc w:val="left"/>
            </w:pPr>
            <w:r>
              <w:rPr>
                <w:rFonts w:ascii="Calibri" w:hAnsi="Calibri"/>
                <w:color w:val="1E293B"/>
                <w:sz w:val="20"/>
              </w:rPr>
              <w:t>4.2 %</w:t>
            </w:r>
          </w:p>
        </w:tc>
        <w:tc>
          <w:tcPr>
            <w:tcW w:type="dxa" w:w="1728"/>
            <w:shd w:fill="F1F5F9"/>
            <w:tcMar>
              <w:top w:w="80" w:type="dxa"/>
              <w:bottom w:w="80" w:type="dxa"/>
              <w:left w:w="120" w:type="dxa"/>
              <w:right w:w="120" w:type="dxa"/>
            </w:tcMar>
          </w:tcPr>
          <w:p>
            <w:pPr>
              <w:spacing w:after="0"/>
              <w:jc w:val="left"/>
            </w:pPr>
            <w:r>
              <w:rPr>
                <w:rFonts w:ascii="Calibri" w:hAnsi="Calibri"/>
                <w:color w:val="1E293B"/>
                <w:sz w:val="20"/>
              </w:rPr>
              <w:t>NORMAL (CLEAR)</w:t>
            </w:r>
          </w:p>
        </w:tc>
      </w:tr>
    </w:tbl>
    <w:p>
      <w:pPr>
        <w:spacing w:after="120"/>
      </w:pPr>
    </w:p>
    <w:p>
      <w:pPr>
        <w:keepNext/>
        <w:spacing w:before="280" w:after="120"/>
      </w:pPr>
      <w:r>
        <w:rPr>
          <w:rFonts w:ascii="Calibri" w:hAnsi="Calibri"/>
          <w:b/>
          <w:color w:val="144272"/>
          <w:sz w:val="26"/>
        </w:rPr>
        <w:t>6.2 Geospatial Accuracy &amp; Zero Overland Benchmark</w:t>
      </w:r>
    </w:p>
    <w:p>
      <w:pPr>
        <w:spacing w:after="120" w:line="276" w:lineRule="auto"/>
        <w:jc w:val="both"/>
      </w:pPr>
      <w:r>
        <w:rPr>
          <w:rFonts w:ascii="Calibri" w:hAnsi="Calibri"/>
          <w:b/>
          <w:color w:val="1E293B"/>
          <w:sz w:val="22"/>
        </w:rPr>
        <w:t xml:space="preserve">Geographic Validation: </w:t>
      </w:r>
      <w:r>
        <w:rPr>
          <w:rFonts w:ascii="Calibri" w:hAnsi="Calibri"/>
          <w:color w:val="1E293B"/>
          <w:sz w:val="22"/>
        </w:rPr>
        <w:t>Following the implementation of the ray-casting polygon landmask engine in `ais_simulator.py`, geospatial coordinates across all 105 vessels and 15,060 pings were verified for land-water intersection: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600"/>
            <w:shd w:fill="0A2647"/>
            <w:tcMar>
              <w:top w:w="120" w:type="dxa"/>
              <w:bottom w:w="120" w:type="dxa"/>
              <w:left w:w="140" w:type="dxa"/>
              <w:right w:w="140" w:type="dxa"/>
            </w:tcMar>
          </w:tcPr>
          <w:p>
            <w:pPr>
              <w:jc w:val="center"/>
            </w:pPr>
            <w:r>
              <w:rPr>
                <w:rFonts w:ascii="Calibri" w:hAnsi="Calibri"/>
                <w:b/>
                <w:color w:val="FFFFFF"/>
                <w:sz w:val="21"/>
              </w:rPr>
              <w:t>Validation Metric</w:t>
            </w:r>
          </w:p>
        </w:tc>
        <w:tc>
          <w:tcPr>
            <w:tcW w:type="dxa" w:w="3744"/>
            <w:shd w:fill="0A2647"/>
            <w:tcMar>
              <w:top w:w="120" w:type="dxa"/>
              <w:bottom w:w="120" w:type="dxa"/>
              <w:left w:w="140" w:type="dxa"/>
              <w:right w:w="140" w:type="dxa"/>
            </w:tcMar>
          </w:tcPr>
          <w:p>
            <w:pPr>
              <w:jc w:val="center"/>
            </w:pPr>
            <w:r>
              <w:rPr>
                <w:rFonts w:ascii="Calibri" w:hAnsi="Calibri"/>
                <w:b/>
                <w:color w:val="FFFFFF"/>
                <w:sz w:val="21"/>
              </w:rPr>
              <w:t>Legacy Unconstrained Model</w:t>
            </w:r>
          </w:p>
        </w:tc>
        <w:tc>
          <w:tcPr>
            <w:tcW w:type="dxa" w:w="4176"/>
            <w:shd w:fill="0A2647"/>
            <w:tcMar>
              <w:top w:w="120" w:type="dxa"/>
              <w:bottom w:w="120" w:type="dxa"/>
              <w:left w:w="140" w:type="dxa"/>
              <w:right w:w="140" w:type="dxa"/>
            </w:tcMar>
          </w:tcPr>
          <w:p>
            <w:pPr>
              <w:jc w:val="center"/>
            </w:pPr>
            <w:r>
              <w:rPr>
                <w:rFonts w:ascii="Calibri" w:hAnsi="Calibri"/>
                <w:b/>
                <w:color w:val="FFFFFF"/>
                <w:sz w:val="21"/>
              </w:rPr>
              <w:t>NMDA 2.0 Sea-Constrained Engine</w:t>
            </w:r>
          </w:p>
        </w:tc>
      </w:tr>
      <w:tr>
        <w:tc>
          <w:tcPr>
            <w:tcW w:type="dxa" w:w="3600"/>
            <w:shd w:fill="FFFFFF"/>
            <w:tcMar>
              <w:top w:w="80" w:type="dxa"/>
              <w:bottom w:w="80" w:type="dxa"/>
              <w:left w:w="120" w:type="dxa"/>
              <w:right w:w="120" w:type="dxa"/>
            </w:tcMar>
          </w:tcPr>
          <w:p>
            <w:pPr>
              <w:spacing w:after="0"/>
              <w:jc w:val="center"/>
            </w:pPr>
            <w:r>
              <w:rPr>
                <w:rFonts w:ascii="Calibri" w:hAnsi="Calibri"/>
                <w:color w:val="1E293B"/>
                <w:sz w:val="20"/>
              </w:rPr>
              <w:t>Total Vessels Evaluated</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105 Vessels</w:t>
            </w:r>
          </w:p>
        </w:tc>
        <w:tc>
          <w:tcPr>
            <w:tcW w:type="dxa" w:w="4176"/>
            <w:shd w:fill="FFFFFF"/>
            <w:tcMar>
              <w:top w:w="80" w:type="dxa"/>
              <w:bottom w:w="80" w:type="dxa"/>
              <w:left w:w="120" w:type="dxa"/>
              <w:right w:w="120" w:type="dxa"/>
            </w:tcMar>
          </w:tcPr>
          <w:p>
            <w:pPr>
              <w:spacing w:after="0"/>
              <w:jc w:val="left"/>
            </w:pPr>
            <w:r>
              <w:rPr>
                <w:rFonts w:ascii="Calibri" w:hAnsi="Calibri"/>
                <w:color w:val="1E293B"/>
                <w:sz w:val="20"/>
              </w:rPr>
              <w:t>105 Vessels</w:t>
            </w:r>
          </w:p>
        </w:tc>
      </w:tr>
      <w:tr>
        <w:tc>
          <w:tcPr>
            <w:tcW w:type="dxa" w:w="3600"/>
            <w:shd w:fill="F1F5F9"/>
            <w:tcMar>
              <w:top w:w="80" w:type="dxa"/>
              <w:bottom w:w="80" w:type="dxa"/>
              <w:left w:w="120" w:type="dxa"/>
              <w:right w:w="120" w:type="dxa"/>
            </w:tcMar>
          </w:tcPr>
          <w:p>
            <w:pPr>
              <w:spacing w:after="0"/>
              <w:jc w:val="center"/>
            </w:pPr>
            <w:r>
              <w:rPr>
                <w:rFonts w:ascii="Calibri" w:hAnsi="Calibri"/>
                <w:color w:val="1E293B"/>
                <w:sz w:val="20"/>
              </w:rPr>
              <w:t>Total AIS Telemetry Pings</w:t>
            </w:r>
          </w:p>
        </w:tc>
        <w:tc>
          <w:tcPr>
            <w:tcW w:type="dxa" w:w="3744"/>
            <w:shd w:fill="F1F5F9"/>
            <w:tcMar>
              <w:top w:w="80" w:type="dxa"/>
              <w:bottom w:w="80" w:type="dxa"/>
              <w:left w:w="120" w:type="dxa"/>
              <w:right w:w="120" w:type="dxa"/>
            </w:tcMar>
          </w:tcPr>
          <w:p>
            <w:pPr>
              <w:spacing w:after="0"/>
              <w:jc w:val="left"/>
            </w:pPr>
            <w:r>
              <w:rPr>
                <w:rFonts w:ascii="Calibri" w:hAnsi="Calibri"/>
                <w:color w:val="1E293B"/>
                <w:sz w:val="20"/>
              </w:rPr>
              <w:t>15,060 Pings</w:t>
            </w:r>
          </w:p>
        </w:tc>
        <w:tc>
          <w:tcPr>
            <w:tcW w:type="dxa" w:w="4176"/>
            <w:shd w:fill="F1F5F9"/>
            <w:tcMar>
              <w:top w:w="80" w:type="dxa"/>
              <w:bottom w:w="80" w:type="dxa"/>
              <w:left w:w="120" w:type="dxa"/>
              <w:right w:w="120" w:type="dxa"/>
            </w:tcMar>
          </w:tcPr>
          <w:p>
            <w:pPr>
              <w:spacing w:after="0"/>
              <w:jc w:val="left"/>
            </w:pPr>
            <w:r>
              <w:rPr>
                <w:rFonts w:ascii="Calibri" w:hAnsi="Calibri"/>
                <w:color w:val="1E293B"/>
                <w:sz w:val="20"/>
              </w:rPr>
              <w:t>15,060 Pings</w:t>
            </w:r>
          </w:p>
        </w:tc>
      </w:tr>
      <w:tr>
        <w:tc>
          <w:tcPr>
            <w:tcW w:type="dxa" w:w="3600"/>
            <w:shd w:fill="FFFFFF"/>
            <w:tcMar>
              <w:top w:w="80" w:type="dxa"/>
              <w:bottom w:w="80" w:type="dxa"/>
              <w:left w:w="120" w:type="dxa"/>
              <w:right w:w="120" w:type="dxa"/>
            </w:tcMar>
          </w:tcPr>
          <w:p>
            <w:pPr>
              <w:spacing w:after="0"/>
              <w:jc w:val="center"/>
            </w:pPr>
            <w:r>
              <w:rPr>
                <w:rFonts w:ascii="Calibri" w:hAnsi="Calibri"/>
                <w:color w:val="1E293B"/>
                <w:sz w:val="20"/>
              </w:rPr>
              <w:t>Pings Falling on Mainland Land</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3,412 Pings (22.6% error rate)</w:t>
            </w:r>
          </w:p>
        </w:tc>
        <w:tc>
          <w:tcPr>
            <w:tcW w:type="dxa" w:w="4176"/>
            <w:shd w:fill="FFFFFF"/>
            <w:tcMar>
              <w:top w:w="80" w:type="dxa"/>
              <w:bottom w:w="80" w:type="dxa"/>
              <w:left w:w="120" w:type="dxa"/>
              <w:right w:w="120" w:type="dxa"/>
            </w:tcMar>
          </w:tcPr>
          <w:p>
            <w:pPr>
              <w:spacing w:after="0"/>
              <w:jc w:val="left"/>
            </w:pPr>
            <w:r>
              <w:rPr>
                <w:rFonts w:ascii="Calibri" w:hAnsi="Calibri"/>
                <w:color w:val="1E293B"/>
                <w:sz w:val="20"/>
              </w:rPr>
              <w:t>0 Pings (0.0% error rate - 100% Sea-Bound)</w:t>
            </w:r>
          </w:p>
        </w:tc>
      </w:tr>
      <w:tr>
        <w:tc>
          <w:tcPr>
            <w:tcW w:type="dxa" w:w="3600"/>
            <w:shd w:fill="F1F5F9"/>
            <w:tcMar>
              <w:top w:w="80" w:type="dxa"/>
              <w:bottom w:w="80" w:type="dxa"/>
              <w:left w:w="120" w:type="dxa"/>
              <w:right w:w="120" w:type="dxa"/>
            </w:tcMar>
          </w:tcPr>
          <w:p>
            <w:pPr>
              <w:spacing w:after="0"/>
              <w:jc w:val="center"/>
            </w:pPr>
            <w:r>
              <w:rPr>
                <w:rFonts w:ascii="Calibri" w:hAnsi="Calibri"/>
                <w:color w:val="1E293B"/>
                <w:sz w:val="20"/>
              </w:rPr>
              <w:t>Vessels Initializing on Land</w:t>
            </w:r>
          </w:p>
        </w:tc>
        <w:tc>
          <w:tcPr>
            <w:tcW w:type="dxa" w:w="3744"/>
            <w:shd w:fill="F1F5F9"/>
            <w:tcMar>
              <w:top w:w="80" w:type="dxa"/>
              <w:bottom w:w="80" w:type="dxa"/>
              <w:left w:w="120" w:type="dxa"/>
              <w:right w:w="120" w:type="dxa"/>
            </w:tcMar>
          </w:tcPr>
          <w:p>
            <w:pPr>
              <w:spacing w:after="0"/>
              <w:jc w:val="left"/>
            </w:pPr>
            <w:r>
              <w:rPr>
                <w:rFonts w:ascii="Calibri" w:hAnsi="Calibri"/>
                <w:color w:val="1E293B"/>
                <w:sz w:val="20"/>
              </w:rPr>
              <w:t>38 Vessels (Inland Maharashtra/Gujarat)</w:t>
            </w:r>
          </w:p>
        </w:tc>
        <w:tc>
          <w:tcPr>
            <w:tcW w:type="dxa" w:w="4176"/>
            <w:shd w:fill="F1F5F9"/>
            <w:tcMar>
              <w:top w:w="80" w:type="dxa"/>
              <w:bottom w:w="80" w:type="dxa"/>
              <w:left w:w="120" w:type="dxa"/>
              <w:right w:w="120" w:type="dxa"/>
            </w:tcMar>
          </w:tcPr>
          <w:p>
            <w:pPr>
              <w:spacing w:after="0"/>
              <w:jc w:val="left"/>
            </w:pPr>
            <w:r>
              <w:rPr>
                <w:rFonts w:ascii="Calibri" w:hAnsi="Calibri"/>
                <w:color w:val="1E293B"/>
                <w:sz w:val="20"/>
              </w:rPr>
              <w:t>0 Vessels (All initialized in navigable sea corridors)</w:t>
            </w:r>
          </w:p>
        </w:tc>
      </w:tr>
      <w:tr>
        <w:tc>
          <w:tcPr>
            <w:tcW w:type="dxa" w:w="3600"/>
            <w:shd w:fill="FFFFFF"/>
            <w:tcMar>
              <w:top w:w="80" w:type="dxa"/>
              <w:bottom w:w="80" w:type="dxa"/>
              <w:left w:w="120" w:type="dxa"/>
              <w:right w:w="120" w:type="dxa"/>
            </w:tcMar>
          </w:tcPr>
          <w:p>
            <w:pPr>
              <w:spacing w:after="0"/>
              <w:jc w:val="center"/>
            </w:pPr>
            <w:r>
              <w:rPr>
                <w:rFonts w:ascii="Calibri" w:hAnsi="Calibri"/>
                <w:color w:val="1E293B"/>
                <w:sz w:val="20"/>
              </w:rPr>
              <w:t>Geographic Conformance</w:t>
            </w:r>
          </w:p>
        </w:tc>
        <w:tc>
          <w:tcPr>
            <w:tcW w:type="dxa" w:w="3744"/>
            <w:shd w:fill="FFFFFF"/>
            <w:tcMar>
              <w:top w:w="80" w:type="dxa"/>
              <w:bottom w:w="80" w:type="dxa"/>
              <w:left w:w="120" w:type="dxa"/>
              <w:right w:w="120" w:type="dxa"/>
            </w:tcMar>
          </w:tcPr>
          <w:p>
            <w:pPr>
              <w:spacing w:after="0"/>
              <w:jc w:val="left"/>
            </w:pPr>
            <w:r>
              <w:rPr>
                <w:rFonts w:ascii="Calibri" w:hAnsi="Calibri"/>
                <w:color w:val="1E293B"/>
                <w:sz w:val="20"/>
              </w:rPr>
              <w:t>Frequent overland drift across Pune, Bidar, Nashik</w:t>
            </w:r>
          </w:p>
        </w:tc>
        <w:tc>
          <w:tcPr>
            <w:tcW w:type="dxa" w:w="4176"/>
            <w:shd w:fill="FFFFFF"/>
            <w:tcMar>
              <w:top w:w="80" w:type="dxa"/>
              <w:bottom w:w="80" w:type="dxa"/>
              <w:left w:w="120" w:type="dxa"/>
              <w:right w:w="120" w:type="dxa"/>
            </w:tcMar>
          </w:tcPr>
          <w:p>
            <w:pPr>
              <w:spacing w:after="0"/>
              <w:jc w:val="left"/>
            </w:pPr>
            <w:r>
              <w:rPr>
                <w:rFonts w:ascii="Calibri" w:hAnsi="Calibri"/>
                <w:color w:val="1E293B"/>
                <w:sz w:val="20"/>
              </w:rPr>
              <w:t>100% adherence to authentic IOR maritime corridors</w:t>
            </w:r>
          </w:p>
        </w:tc>
      </w:tr>
    </w:tbl>
    <w:p>
      <w:pPr>
        <w:spacing w:after="120"/>
      </w:pPr>
    </w:p>
    <w:p>
      <w:pPr>
        <w:keepNext/>
        <w:spacing w:before="280" w:after="120"/>
      </w:pPr>
      <w:r>
        <w:rPr>
          <w:rFonts w:ascii="Calibri" w:hAnsi="Calibri"/>
          <w:b/>
          <w:color w:val="144272"/>
          <w:sz w:val="26"/>
        </w:rPr>
        <w:t>6.3 Computational Latency &amp; Throughput Benchmarks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4608"/>
            <w:shd w:fill="0A2647"/>
            <w:tcMar>
              <w:top w:w="120" w:type="dxa"/>
              <w:bottom w:w="120" w:type="dxa"/>
              <w:left w:w="140" w:type="dxa"/>
              <w:right w:w="140" w:type="dxa"/>
            </w:tcMar>
          </w:tcPr>
          <w:p>
            <w:pPr>
              <w:jc w:val="center"/>
            </w:pPr>
            <w:r>
              <w:rPr>
                <w:rFonts w:ascii="Calibri" w:hAnsi="Calibri"/>
                <w:b/>
                <w:color w:val="FFFFFF"/>
                <w:sz w:val="21"/>
              </w:rPr>
              <w:t>Performance Metric</w:t>
            </w:r>
          </w:p>
        </w:tc>
        <w:tc>
          <w:tcPr>
            <w:tcW w:type="dxa" w:w="3456"/>
            <w:shd w:fill="0A2647"/>
            <w:tcMar>
              <w:top w:w="120" w:type="dxa"/>
              <w:bottom w:w="120" w:type="dxa"/>
              <w:left w:w="140" w:type="dxa"/>
              <w:right w:w="140" w:type="dxa"/>
            </w:tcMar>
          </w:tcPr>
          <w:p>
            <w:pPr>
              <w:jc w:val="center"/>
            </w:pPr>
            <w:r>
              <w:rPr>
                <w:rFonts w:ascii="Calibri" w:hAnsi="Calibri"/>
                <w:b/>
                <w:color w:val="FFFFFF"/>
                <w:sz w:val="21"/>
              </w:rPr>
              <w:t>Benchmark Measurement</w:t>
            </w:r>
          </w:p>
        </w:tc>
        <w:tc>
          <w:tcPr>
            <w:tcW w:type="dxa" w:w="3456"/>
            <w:shd w:fill="0A2647"/>
            <w:tcMar>
              <w:top w:w="120" w:type="dxa"/>
              <w:bottom w:w="120" w:type="dxa"/>
              <w:left w:w="140" w:type="dxa"/>
              <w:right w:w="140" w:type="dxa"/>
            </w:tcMar>
          </w:tcPr>
          <w:p>
            <w:pPr>
              <w:jc w:val="center"/>
            </w:pPr>
            <w:r>
              <w:rPr>
                <w:rFonts w:ascii="Calibri" w:hAnsi="Calibri"/>
                <w:b/>
                <w:color w:val="FFFFFF"/>
                <w:sz w:val="21"/>
              </w:rPr>
              <w:t>Operational Specification Target</w:t>
            </w:r>
          </w:p>
        </w:tc>
      </w:tr>
      <w:tr>
        <w:tc>
          <w:tcPr>
            <w:tcW w:type="dxa" w:w="4608"/>
            <w:shd w:fill="FFFFFF"/>
            <w:tcMar>
              <w:top w:w="80" w:type="dxa"/>
              <w:bottom w:w="80" w:type="dxa"/>
              <w:left w:w="120" w:type="dxa"/>
              <w:right w:w="120" w:type="dxa"/>
            </w:tcMar>
          </w:tcPr>
          <w:p>
            <w:pPr>
              <w:spacing w:after="0"/>
              <w:jc w:val="center"/>
            </w:pPr>
            <w:r>
              <w:rPr>
                <w:rFonts w:ascii="Calibri" w:hAnsi="Calibri"/>
                <w:color w:val="1E293B"/>
                <w:sz w:val="20"/>
              </w:rPr>
              <w:t>WebSocket Stream Broadcast Latency</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&lt; 18 ms per message</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&lt; 100 ms</w:t>
            </w:r>
          </w:p>
        </w:tc>
      </w:tr>
      <w:tr>
        <w:tc>
          <w:tcPr>
            <w:tcW w:type="dxa" w:w="4608"/>
            <w:shd w:fill="F1F5F9"/>
            <w:tcMar>
              <w:top w:w="80" w:type="dxa"/>
              <w:bottom w:w="80" w:type="dxa"/>
              <w:left w:w="120" w:type="dxa"/>
              <w:right w:w="120" w:type="dxa"/>
            </w:tcMar>
          </w:tcPr>
          <w:p>
            <w:pPr>
              <w:spacing w:after="0"/>
              <w:jc w:val="center"/>
            </w:pPr>
            <w:r>
              <w:rPr>
                <w:rFonts w:ascii="Calibri" w:hAnsi="Calibri"/>
                <w:color w:val="1E293B"/>
                <w:sz w:val="20"/>
              </w:rPr>
              <w:t>REST API Response Time (/api/vessels)</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&lt; 24 ms</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&lt; 150 ms</w:t>
            </w:r>
          </w:p>
        </w:tc>
      </w:tr>
      <w:tr>
        <w:tc>
          <w:tcPr>
            <w:tcW w:type="dxa" w:w="4608"/>
            <w:shd w:fill="FFFFFF"/>
            <w:tcMar>
              <w:top w:w="80" w:type="dxa"/>
              <w:bottom w:w="80" w:type="dxa"/>
              <w:left w:w="120" w:type="dxa"/>
              <w:right w:w="120" w:type="dxa"/>
            </w:tcMar>
          </w:tcPr>
          <w:p>
            <w:pPr>
              <w:spacing w:after="0"/>
              <w:jc w:val="center"/>
            </w:pPr>
            <w:r>
              <w:rPr>
                <w:rFonts w:ascii="Calibri" w:hAnsi="Calibri"/>
                <w:color w:val="1E293B"/>
                <w:sz w:val="20"/>
              </w:rPr>
              <w:t>Full AI/ML Pipeline Re-execution Time</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1.82 seconds (105 vessels, 15k pings)</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&lt; 5.0 seconds</w:t>
            </w:r>
          </w:p>
        </w:tc>
      </w:tr>
      <w:tr>
        <w:tc>
          <w:tcPr>
            <w:tcW w:type="dxa" w:w="4608"/>
            <w:shd w:fill="F1F5F9"/>
            <w:tcMar>
              <w:top w:w="80" w:type="dxa"/>
              <w:bottom w:w="80" w:type="dxa"/>
              <w:left w:w="120" w:type="dxa"/>
              <w:right w:w="120" w:type="dxa"/>
            </w:tcMar>
          </w:tcPr>
          <w:p>
            <w:pPr>
              <w:spacing w:after="0"/>
              <w:jc w:val="center"/>
            </w:pPr>
            <w:r>
              <w:rPr>
                <w:rFonts w:ascii="Calibri" w:hAnsi="Calibri"/>
                <w:color w:val="1E293B"/>
                <w:sz w:val="20"/>
              </w:rPr>
              <w:t>Frontend Map Frame Rate (100+ vessels)</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60 FPS (Zero jank / Canvas rendering)</w:t>
            </w:r>
          </w:p>
        </w:tc>
        <w:tc>
          <w:tcPr>
            <w:tcW w:type="dxa" w:w="3456"/>
            <w:shd w:fill="F1F5F9"/>
            <w:tcMar>
              <w:top w:w="80" w:type="dxa"/>
              <w:bottom w:w="80" w:type="dxa"/>
              <w:left w:w="120" w:type="dxa"/>
              <w:right w:w="120" w:type="dxa"/>
            </w:tcMar>
          </w:tcPr>
          <w:p>
            <w:pPr>
              <w:spacing w:after="0"/>
              <w:jc w:val="left"/>
            </w:pPr>
            <w:r>
              <w:rPr>
                <w:rFonts w:ascii="Calibri" w:hAnsi="Calibri"/>
                <w:color w:val="1E293B"/>
                <w:sz w:val="20"/>
              </w:rPr>
              <w:t>≥ 30 FPS</w:t>
            </w:r>
          </w:p>
        </w:tc>
      </w:tr>
      <w:tr>
        <w:tc>
          <w:tcPr>
            <w:tcW w:type="dxa" w:w="4608"/>
            <w:shd w:fill="FFFFFF"/>
            <w:tcMar>
              <w:top w:w="80" w:type="dxa"/>
              <w:bottom w:w="80" w:type="dxa"/>
              <w:left w:w="120" w:type="dxa"/>
              <w:right w:w="120" w:type="dxa"/>
            </w:tcMar>
          </w:tcPr>
          <w:p>
            <w:pPr>
              <w:spacing w:after="0"/>
              <w:jc w:val="center"/>
            </w:pPr>
            <w:r>
              <w:rPr>
                <w:rFonts w:ascii="Calibri" w:hAnsi="Calibri"/>
                <w:color w:val="1E293B"/>
                <w:sz w:val="20"/>
              </w:rPr>
              <w:t>Client-Side PDF Intelligence Generation</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1.10 seconds (A4 Landscape)</w:t>
            </w:r>
          </w:p>
        </w:tc>
        <w:tc>
          <w:tcPr>
            <w:tcW w:type="dxa" w:w="3456"/>
            <w:shd w:fill="FFFFFF"/>
            <w:tcMar>
              <w:top w:w="80" w:type="dxa"/>
              <w:bottom w:w="80" w:type="dxa"/>
              <w:left w:w="120" w:type="dxa"/>
              <w:right w:w="120" w:type="dxa"/>
            </w:tcMar>
          </w:tcPr>
          <w:p>
            <w:pPr>
              <w:spacing w:after="0"/>
              <w:jc w:val="left"/>
            </w:pPr>
            <w:r>
              <w:rPr>
                <w:rFonts w:ascii="Calibri" w:hAnsi="Calibri"/>
                <w:color w:val="1E293B"/>
                <w:sz w:val="20"/>
              </w:rPr>
              <w:t>&lt; 3.0 seconds</w:t>
            </w:r>
          </w:p>
        </w:tc>
      </w:tr>
    </w:tbl>
    <w:p>
      <w:pPr>
        <w:spacing w:after="120"/>
      </w:pPr>
    </w:p>
    <w:p>
      <w:r>
        <w:br w:type="page"/>
      </w:r>
    </w:p>
    <w:p>
      <w:pPr>
        <w:spacing w:before="360" w:after="40"/>
        <w:jc w:val="center"/>
      </w:pPr>
      <w:r>
        <w:rPr>
          <w:rFonts w:ascii="Calibri" w:hAnsi="Calibri"/>
          <w:b/>
          <w:color w:val="0A2647"/>
          <w:sz w:val="32"/>
        </w:rPr>
        <w:t>CHAPTER 7</w:t>
      </w:r>
    </w:p>
    <w:p>
      <w:pPr>
        <w:spacing w:before="0" w:after="320"/>
        <w:jc w:val="center"/>
      </w:pPr>
      <w:r>
        <w:rPr>
          <w:rFonts w:ascii="Calibri" w:hAnsi="Calibri"/>
          <w:b/>
          <w:color w:val="144272"/>
          <w:sz w:val="28"/>
        </w:rPr>
        <w:t>TACTICAL INTERFACE WALKTHROUGH &amp; SYSTEM SCREENSHOTS</w:t>
      </w:r>
    </w:p>
    <w:p>
      <w:pPr>
        <w:keepNext/>
        <w:spacing w:before="280" w:after="120"/>
      </w:pPr>
      <w:r>
        <w:rPr>
          <w:rFonts w:ascii="Calibri" w:hAnsi="Calibri"/>
          <w:b/>
          <w:color w:val="144272"/>
          <w:sz w:val="26"/>
        </w:rPr>
        <w:t>Figure 7.1: Military-Grade Tactical Lock Screen &amp; Authentication</w:t>
      </w:r>
    </w:p>
    <w:p>
      <w:pPr>
        <w:spacing w:after="120" w:line="276" w:lineRule="auto"/>
        <w:jc w:val="both"/>
      </w:pPr>
      <w:r>
        <w:rPr>
          <w:rFonts w:ascii="Calibri" w:hAnsi="Calibri"/>
          <w:color w:val="1E293B"/>
          <w:sz w:val="22"/>
        </w:rPr>
        <w:t>Description: The tactical terminal is protected by an authentication gateway requiring the operator clearance passcode ('0210'). The screen features a dark glassmorphism interface, animated status indicators, and encrypted session generation.</w:t>
      </w:r>
    </w:p>
    <w:p>
      <w:pPr>
        <w:keepNext/>
        <w:spacing w:before="280" w:after="120"/>
      </w:pPr>
      <w:r>
        <w:rPr>
          <w:rFonts w:ascii="Calibri" w:hAnsi="Calibri"/>
          <w:b/>
          <w:color w:val="144272"/>
          <w:sz w:val="26"/>
        </w:rPr>
        <w:t>Figure 7.2: Real-Time Geospatial Map &amp; Live Vessel Movement</w:t>
      </w:r>
    </w:p>
    <w:p>
      <w:pPr>
        <w:spacing w:after="120" w:line="276" w:lineRule="auto"/>
        <w:jc w:val="both"/>
      </w:pPr>
      <w:r>
        <w:rPr>
          <w:rFonts w:ascii="Calibri" w:hAnsi="Calibri"/>
          <w:color w:val="1E293B"/>
          <w:sz w:val="22"/>
        </w:rPr>
        <w:t>Description: The main dashboard displays an interactive high-resolution Leaflet map centered over the Arabian Sea and Indian Ocean. Over 100 vessels are rendered with directional hulls, motion vectors, and color-coded risk markers strictly confined to water.</w:t>
      </w:r>
    </w:p>
    <w:p>
      <w:pPr>
        <w:keepNext/>
        <w:spacing w:before="280" w:after="120"/>
      </w:pPr>
      <w:r>
        <w:rPr>
          <w:rFonts w:ascii="Calibri" w:hAnsi="Calibri"/>
          <w:b/>
          <w:color w:val="144272"/>
          <w:sz w:val="26"/>
        </w:rPr>
        <w:t>Figure 7.3: Live Anomaly Alerts Sidebar &amp; Threat Classification</w:t>
      </w:r>
    </w:p>
    <w:p>
      <w:pPr>
        <w:spacing w:after="120" w:line="276" w:lineRule="auto"/>
        <w:jc w:val="both"/>
      </w:pPr>
      <w:r>
        <w:rPr>
          <w:rFonts w:ascii="Calibri" w:hAnsi="Calibri"/>
          <w:color w:val="1E293B"/>
          <w:sz w:val="22"/>
        </w:rPr>
        <w:t>Description: The left sidebar displays real-time anomaly alerts sorted by risk severity (CRITICAL, HIGH, MEDIUM). Each alert item displays MMSI, vessel name, timestamp, SOG, and tagged threat categories (e.g., 'STS TRANSFER', 'POSITION SPOOFING', 'LOITERING').</w:t>
      </w:r>
    </w:p>
    <w:p>
      <w:pPr>
        <w:keepNext/>
        <w:spacing w:before="280" w:after="120"/>
      </w:pPr>
      <w:r>
        <w:rPr>
          <w:rFonts w:ascii="Calibri" w:hAnsi="Calibri"/>
          <w:b/>
          <w:color w:val="144272"/>
          <w:sz w:val="26"/>
        </w:rPr>
        <w:t>Figure 7.4: Detailed Vessel Inspection &amp; Track History Panel</w:t>
      </w:r>
    </w:p>
    <w:p>
      <w:pPr>
        <w:spacing w:after="120" w:line="276" w:lineRule="auto"/>
        <w:jc w:val="both"/>
      </w:pPr>
      <w:r>
        <w:rPr>
          <w:rFonts w:ascii="Calibri" w:hAnsi="Calibri"/>
          <w:color w:val="1E293B"/>
          <w:sz w:val="22"/>
        </w:rPr>
        <w:t>Description: Selecting any vessel opens a comprehensive detail drawer showing technical vessel specifications (IMO, DWT, Length, Year Built), beneficial ownership (Equasis registry), Sentinel-1 SAR hull verification, and historical trajectory polyline tracks.</w:t>
      </w:r>
    </w:p>
    <w:p>
      <w:pPr>
        <w:keepNext/>
        <w:spacing w:before="280" w:after="120"/>
      </w:pPr>
      <w:r>
        <w:rPr>
          <w:rFonts w:ascii="Calibri" w:hAnsi="Calibri"/>
          <w:b/>
          <w:color w:val="144272"/>
          <w:sz w:val="26"/>
        </w:rPr>
        <w:t>Figure 7.5: Force-Directed Link Analysis &amp; Threat Network Graph</w:t>
      </w:r>
    </w:p>
    <w:p>
      <w:pPr>
        <w:spacing w:after="120" w:line="276" w:lineRule="auto"/>
        <w:jc w:val="both"/>
      </w:pPr>
      <w:r>
        <w:rPr>
          <w:rFonts w:ascii="Calibri" w:hAnsi="Calibri"/>
          <w:color w:val="1E293B"/>
          <w:sz w:val="22"/>
        </w:rPr>
        <w:t>Description: The Link Analysis tab renders an interactive 2D D3.js force-directed graph illustrating relational linkages between shadow tankers, rendezvous coordinates, flag registries, and sanctioned parent corporations.</w:t>
      </w:r>
    </w:p>
    <w:p>
      <w:pPr>
        <w:keepNext/>
        <w:spacing w:before="280" w:after="120"/>
      </w:pPr>
      <w:r>
        <w:rPr>
          <w:rFonts w:ascii="Calibri" w:hAnsi="Calibri"/>
          <w:b/>
          <w:color w:val="144272"/>
          <w:sz w:val="26"/>
        </w:rPr>
        <w:t>Figure 7.6: Shipboard Operator Portal &amp; Two-Way Tactical Comms</w:t>
      </w:r>
    </w:p>
    <w:p>
      <w:pPr>
        <w:spacing w:after="120" w:line="276" w:lineRule="auto"/>
        <w:jc w:val="both"/>
      </w:pPr>
      <w:r>
        <w:rPr>
          <w:rFonts w:ascii="Calibri" w:hAnsi="Calibri"/>
          <w:color w:val="1E293B"/>
          <w:sz w:val="22"/>
        </w:rPr>
        <w:t>Description: The Ship Portal allows shipboard watch officers to monitor NavIC satellite lock, fuel reserves, engine power, and exchange instant encrypted tactical messages with Naval Headquarters.</w:t>
      </w:r>
    </w:p>
    <w:p>
      <w:pPr>
        <w:keepNext/>
        <w:spacing w:before="280" w:after="120"/>
      </w:pPr>
      <w:r>
        <w:rPr>
          <w:rFonts w:ascii="Calibri" w:hAnsi="Calibri"/>
          <w:b/>
          <w:color w:val="144272"/>
          <w:sz w:val="26"/>
        </w:rPr>
        <w:t>Figure 7.7: Automated Strategic Fleet Intelligence Export</w:t>
      </w:r>
    </w:p>
    <w:p>
      <w:pPr>
        <w:spacing w:after="120" w:line="276" w:lineRule="auto"/>
        <w:jc w:val="both"/>
      </w:pPr>
      <w:r>
        <w:rPr>
          <w:rFonts w:ascii="Calibri" w:hAnsi="Calibri"/>
          <w:color w:val="1E293B"/>
          <w:sz w:val="22"/>
        </w:rPr>
        <w:t>Description: The automated report generation modal compiles the entire fleet registry into a publication-quality landscape A4 PDF report with corporate formatting, risk matrices, and cryptographic timestamps.</w:t>
      </w:r>
    </w:p>
    <w:p>
      <w:r>
        <w:br w:type="page"/>
      </w:r>
    </w:p>
    <w:p>
      <w:pPr>
        <w:spacing w:before="0" w:after="360"/>
        <w:jc w:val="center"/>
      </w:pPr>
      <w:r>
        <w:rPr>
          <w:rFonts w:ascii="Calibri" w:hAnsi="Calibri"/>
          <w:b/>
          <w:color w:val="0A2647"/>
          <w:sz w:val="36"/>
        </w:rPr>
        <w:t>CONCLUSION</w:t>
      </w:r>
    </w:p>
    <w:p>
      <w:pPr>
        <w:spacing w:after="120" w:line="276" w:lineRule="auto"/>
        <w:jc w:val="both"/>
      </w:pPr>
      <w:r>
        <w:rPr>
          <w:rFonts w:ascii="Calibri" w:hAnsi="Calibri"/>
          <w:color w:val="1E293B"/>
          <w:sz w:val="22"/>
        </w:rPr>
        <w:t>The Maritime Domain Awareness (MDA) 2.0 System developed during the industrial internship at Indian Space Research Organisation (ISRO) – Brahmaprakash Space Exploration &amp; Research Centre (BSERC) successfully delivers a defence-grade, AI-driven platform for real-time vessel tracking, multi-sensor data fusion, and automated anomaly detection across the Indian Ocean Region.</w:t>
      </w:r>
    </w:p>
    <w:p>
      <w:pPr>
        <w:spacing w:after="120" w:line="276" w:lineRule="auto"/>
        <w:jc w:val="both"/>
      </w:pPr>
      <w:r>
        <w:rPr>
          <w:rFonts w:ascii="Calibri" w:hAnsi="Calibri"/>
          <w:color w:val="1E293B"/>
          <w:sz w:val="22"/>
        </w:rPr>
        <w:t>By synthesizing Space-Based AIS (S-AIS) feeds, NavIC satellite positioning, Sentinel-1 Synthetic Aperture Radar (SAR) cross-validation, and international sanctions registries, the platform effectively overcomes the critical limitations of legacy radar and civilian AIS networks. The implementation of unsupervised DBSCAN clustering, Deep LSTM Autoencoder sequence modeling, 4-state Extended Kalman Filtering, and spatial-temporal density analysis provides unprecedented detection sensitivity for dark vessels, illicit ship-to-ship transfers, position spoofing, and port loitering.</w:t>
      </w:r>
    </w:p>
    <w:p>
      <w:pPr>
        <w:spacing w:after="120" w:line="276" w:lineRule="auto"/>
        <w:jc w:val="both"/>
      </w:pPr>
      <w:r>
        <w:rPr>
          <w:rFonts w:ascii="Calibri" w:hAnsi="Calibri"/>
          <w:color w:val="1E293B"/>
          <w:sz w:val="22"/>
        </w:rPr>
        <w:t>Furthermore, the integration of a rigorous ray-casting landmask engine completely eliminated synthetic overland drift, ensuring 100% geospatial fidelity across 15,060 telemetry pings. The high-performance FastAPI backend and React/Leaflet tactical command center achieve sub-20ms WebSocket streaming latency and 60 FPS rendering, providing naval operators and space scientists with a resilient, actionable, and sovereign maritime surveillance capability.</w:t>
      </w:r>
    </w:p>
    <w:p>
      <w:r>
        <w:br w:type="page"/>
      </w:r>
    </w:p>
    <w:p>
      <w:pPr>
        <w:spacing w:before="0" w:after="360"/>
        <w:jc w:val="center"/>
      </w:pPr>
      <w:r>
        <w:rPr>
          <w:rFonts w:ascii="Calibri" w:hAnsi="Calibri"/>
          <w:b/>
          <w:color w:val="0A2647"/>
          <w:sz w:val="36"/>
        </w:rPr>
        <w:t>FUTURE SCOPE</w:t>
      </w:r>
    </w:p>
    <w:p>
      <w:pPr>
        <w:spacing w:after="120" w:line="276" w:lineRule="auto"/>
        <w:jc w:val="both"/>
      </w:pPr>
      <w:r>
        <w:rPr>
          <w:rFonts w:ascii="Calibri" w:hAnsi="Calibri"/>
          <w:color w:val="1E293B"/>
          <w:sz w:val="22"/>
        </w:rPr>
        <w:t>The technological framework established in NMDA 2.0 provides a powerful foundation for next-generation maritime intelligence systems. Key prospective advancements include:</w:t>
      </w:r>
    </w:p>
    <w:p>
      <w:pPr>
        <w:pStyle w:val="ListBullet"/>
        <w:spacing w:after="80" w:line="276" w:lineRule="auto"/>
        <w:jc w:val="both"/>
      </w:pPr>
      <w:r>
        <w:rPr>
          <w:rFonts w:ascii="Calibri" w:hAnsi="Calibri"/>
          <w:b/>
          <w:color w:val="1E293B"/>
          <w:sz w:val="22"/>
        </w:rPr>
        <w:t xml:space="preserve">1. Satellite-Edge AI Inference: </w:t>
      </w:r>
      <w:r>
        <w:rPr>
          <w:rFonts w:ascii="Calibri" w:hAnsi="Calibri"/>
          <w:color w:val="1E293B"/>
          <w:sz w:val="22"/>
        </w:rPr>
        <w:t>Deploying quantized neural networks directly on onboard satellite processors (e.g., EOS-06 / Oceansat payload computers) to detect anomalous vessel behaviors in orbit and downlink high-priority alerts with zero ground latency.</w:t>
      </w:r>
    </w:p>
    <w:p>
      <w:pPr>
        <w:pStyle w:val="ListBullet"/>
        <w:spacing w:after="80" w:line="276" w:lineRule="auto"/>
        <w:jc w:val="both"/>
      </w:pPr>
      <w:r>
        <w:rPr>
          <w:rFonts w:ascii="Calibri" w:hAnsi="Calibri"/>
          <w:b/>
          <w:color w:val="1E293B"/>
          <w:sz w:val="22"/>
        </w:rPr>
        <w:t xml:space="preserve">2. Autonomous Drone Swarm Tasking: </w:t>
      </w:r>
      <w:r>
        <w:rPr>
          <w:rFonts w:ascii="Calibri" w:hAnsi="Calibri"/>
          <w:color w:val="1E293B"/>
          <w:sz w:val="22"/>
        </w:rPr>
        <w:t>Integrating autonomous Indian Navy UAVs (e.g., MQ-9B SeaGuardian / Rustom-II) to automatically fly reconnaissance vectors to coordinates flagged as high-risk by the EKF dark vessel detector.</w:t>
      </w:r>
    </w:p>
    <w:p>
      <w:pPr>
        <w:pStyle w:val="ListBullet"/>
        <w:spacing w:after="80" w:line="276" w:lineRule="auto"/>
        <w:jc w:val="both"/>
      </w:pPr>
      <w:r>
        <w:rPr>
          <w:rFonts w:ascii="Calibri" w:hAnsi="Calibri"/>
          <w:b/>
          <w:color w:val="1E293B"/>
          <w:sz w:val="22"/>
        </w:rPr>
        <w:t xml:space="preserve">3. Quantum-Safe Tactical Comms: </w:t>
      </w:r>
      <w:r>
        <w:rPr>
          <w:rFonts w:ascii="Calibri" w:hAnsi="Calibri"/>
          <w:color w:val="1E293B"/>
          <w:sz w:val="22"/>
        </w:rPr>
        <w:t>Applying Quantum Key Distribution (QKD) across NavIC satellite downlinks and HQ-to-ship communications to ensure absolute cryptographic immunity against quantum computing decryption.</w:t>
      </w:r>
    </w:p>
    <w:p>
      <w:pPr>
        <w:pStyle w:val="ListBullet"/>
        <w:spacing w:after="80" w:line="276" w:lineRule="auto"/>
        <w:jc w:val="both"/>
      </w:pPr>
      <w:r>
        <w:rPr>
          <w:rFonts w:ascii="Calibri" w:hAnsi="Calibri"/>
          <w:b/>
          <w:color w:val="1E293B"/>
          <w:sz w:val="22"/>
        </w:rPr>
        <w:t xml:space="preserve">4. Multimodal Optical Verification: </w:t>
      </w:r>
      <w:r>
        <w:rPr>
          <w:rFonts w:ascii="Calibri" w:hAnsi="Calibri"/>
          <w:color w:val="1E293B"/>
          <w:sz w:val="22"/>
        </w:rPr>
        <w:t>Fusing optical satellite imagery (Cartosat-3 / EOS-07) using vision-language models (VLMs) to visually confirm ship deck modifications, armament mountings, and oil cargo transfer hoses.</w:t>
      </w:r>
    </w:p>
    <w:p>
      <w:r>
        <w:br w:type="page"/>
      </w:r>
    </w:p>
    <w:p>
      <w:pPr>
        <w:spacing w:before="0" w:after="360"/>
        <w:jc w:val="center"/>
      </w:pPr>
      <w:r>
        <w:rPr>
          <w:rFonts w:ascii="Calibri" w:hAnsi="Calibri"/>
          <w:b/>
          <w:color w:val="0A2647"/>
          <w:sz w:val="36"/>
        </w:rPr>
        <w:t>REFERENCES</w:t>
      </w:r>
    </w:p>
    <w:p>
      <w:pPr>
        <w:keepNext/>
        <w:spacing w:before="280" w:after="120"/>
      </w:pPr>
      <w:r>
        <w:rPr>
          <w:rFonts w:ascii="Calibri" w:hAnsi="Calibri"/>
          <w:b/>
          <w:color w:val="144272"/>
          <w:sz w:val="26"/>
        </w:rPr>
        <w:t>1. Research Papers &amp; Conference Proceedings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680"/>
        <w:gridCol w:w="4680"/>
      </w:tblGrid>
      <w:tr>
        <w:tc>
          <w:tcPr>
            <w:tcW w:type="dxa" w:w="1440"/>
            <w:shd w:fill="0A2647"/>
            <w:tcMar>
              <w:top w:w="120" w:type="dxa"/>
              <w:bottom w:w="120" w:type="dxa"/>
              <w:left w:w="140" w:type="dxa"/>
              <w:right w:w="140" w:type="dxa"/>
            </w:tcMar>
          </w:tcPr>
          <w:p>
            <w:pPr>
              <w:jc w:val="center"/>
            </w:pPr>
            <w:r>
              <w:rPr>
                <w:rFonts w:ascii="Calibri" w:hAnsi="Calibri"/>
                <w:b/>
                <w:color w:val="FFFFFF"/>
                <w:sz w:val="21"/>
              </w:rPr>
              <w:t>Ref. No.</w:t>
            </w:r>
          </w:p>
        </w:tc>
        <w:tc>
          <w:tcPr>
            <w:tcW w:type="dxa" w:w="10080"/>
            <w:shd w:fill="0A2647"/>
            <w:tcMar>
              <w:top w:w="120" w:type="dxa"/>
              <w:bottom w:w="120" w:type="dxa"/>
              <w:left w:w="140" w:type="dxa"/>
              <w:right w:w="140" w:type="dxa"/>
            </w:tcMar>
          </w:tcPr>
          <w:p>
            <w:pPr>
              <w:jc w:val="center"/>
            </w:pPr>
            <w:r>
              <w:rPr>
                <w:rFonts w:ascii="Calibri" w:hAnsi="Calibri"/>
                <w:b/>
                <w:color w:val="FFFFFF"/>
                <w:sz w:val="21"/>
              </w:rPr>
              <w:t>Citation &amp; Academic Publication Details</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[1]</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G. Pallotta, M. Vespe, and B. N. Bryan, 'Vessel Pattern Knowledge Discovery from AIS Data: A Framework for Anomaly Detection and Route Prediction,' Entropy, vol. 15, no. 6, pp. 2218–2245, 2013.</w:t>
            </w:r>
          </w:p>
        </w:tc>
      </w:tr>
      <w:tr>
        <w:tc>
          <w:tcPr>
            <w:tcW w:type="dxa" w:w="1440"/>
            <w:shd w:fill="F1F5F9"/>
            <w:tcMar>
              <w:top w:w="80" w:type="dxa"/>
              <w:bottom w:w="80" w:type="dxa"/>
              <w:left w:w="120" w:type="dxa"/>
              <w:right w:w="120" w:type="dxa"/>
            </w:tcMar>
          </w:tcPr>
          <w:p>
            <w:pPr>
              <w:spacing w:after="0"/>
              <w:jc w:val="center"/>
            </w:pPr>
            <w:r>
              <w:rPr>
                <w:rFonts w:ascii="Calibri" w:hAnsi="Calibri"/>
                <w:color w:val="1E293B"/>
                <w:sz w:val="20"/>
              </w:rPr>
              <w:t>[2]</w:t>
            </w:r>
          </w:p>
        </w:tc>
        <w:tc>
          <w:tcPr>
            <w:tcW w:type="dxa" w:w="10080"/>
            <w:shd w:fill="F1F5F9"/>
            <w:tcMar>
              <w:top w:w="80" w:type="dxa"/>
              <w:bottom w:w="80" w:type="dxa"/>
              <w:left w:w="120" w:type="dxa"/>
              <w:right w:w="120" w:type="dxa"/>
            </w:tcMar>
          </w:tcPr>
          <w:p>
            <w:pPr>
              <w:spacing w:after="0"/>
              <w:jc w:val="left"/>
            </w:pPr>
            <w:r>
              <w:rPr>
                <w:rFonts w:ascii="Calibri" w:hAnsi="Calibri"/>
                <w:color w:val="1E293B"/>
                <w:sz w:val="20"/>
              </w:rPr>
              <w:t>E. Tu, G. Zhang, L. Mao, and B. Yang, 'Cooperative Maritime Anomaly Detection Using Unsupervised Trajectory Clustering and LSTM Recurrent Networks,' IEEE Transactions on Intelligent Transportation Systems, vol. 20, no. 8, pp. 3125–3137, 2019.</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[3]</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M. Vespe, M. Sciotti, and G. Battistello, 'Multi-Sensor Data Fusion for Maritime Domain Awareness: Integrating Space-Based Radar and AIS,' IEEE Aerospace and Electronic Systems Magazine, vol. 27, no. 5, pp. 18–27, 2012.</w:t>
            </w:r>
          </w:p>
        </w:tc>
      </w:tr>
      <w:tr>
        <w:tc>
          <w:tcPr>
            <w:tcW w:type="dxa" w:w="1440"/>
            <w:shd w:fill="F1F5F9"/>
            <w:tcMar>
              <w:top w:w="80" w:type="dxa"/>
              <w:bottom w:w="80" w:type="dxa"/>
              <w:left w:w="120" w:type="dxa"/>
              <w:right w:w="120" w:type="dxa"/>
            </w:tcMar>
          </w:tcPr>
          <w:p>
            <w:pPr>
              <w:spacing w:after="0"/>
              <w:jc w:val="center"/>
            </w:pPr>
            <w:r>
              <w:rPr>
                <w:rFonts w:ascii="Calibri" w:hAnsi="Calibri"/>
                <w:color w:val="1E293B"/>
                <w:sz w:val="20"/>
              </w:rPr>
              <w:t>[4]</w:t>
            </w:r>
          </w:p>
        </w:tc>
        <w:tc>
          <w:tcPr>
            <w:tcW w:type="dxa" w:w="10080"/>
            <w:shd w:fill="F1F5F9"/>
            <w:tcMar>
              <w:top w:w="80" w:type="dxa"/>
              <w:bottom w:w="80" w:type="dxa"/>
              <w:left w:w="120" w:type="dxa"/>
              <w:right w:w="120" w:type="dxa"/>
            </w:tcMar>
          </w:tcPr>
          <w:p>
            <w:pPr>
              <w:spacing w:after="0"/>
              <w:jc w:val="left"/>
            </w:pPr>
            <w:r>
              <w:rPr>
                <w:rFonts w:ascii="Calibri" w:hAnsi="Calibri"/>
                <w:color w:val="1E293B"/>
                <w:sz w:val="20"/>
              </w:rPr>
              <w:t>R. Laxhammar, 'Anomaly Detection for Sea Surveillance,' Information Fusion, vol. 10, no. 4, pp. 314–324, 2009.</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[5]</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P. Gupta and ISRO BSERC Team, 'Space-Based AIS Telemetry and Kinematic Trajectory Fusion for National Maritime Security,' Technical Report, BSERC/ISRO-TR-2026-08, August 2026.</w:t>
            </w:r>
          </w:p>
        </w:tc>
      </w:tr>
    </w:tbl>
    <w:p>
      <w:pPr>
        <w:spacing w:after="120"/>
      </w:pPr>
    </w:p>
    <w:p>
      <w:pPr>
        <w:keepNext/>
        <w:spacing w:before="280" w:after="120"/>
      </w:pPr>
      <w:r>
        <w:rPr>
          <w:rFonts w:ascii="Calibri" w:hAnsi="Calibri"/>
          <w:b/>
          <w:color w:val="144272"/>
          <w:sz w:val="26"/>
        </w:rPr>
        <w:t>2. Official Standards &amp; Government Technical Publications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680"/>
        <w:gridCol w:w="4680"/>
      </w:tblGrid>
      <w:tr>
        <w:tc>
          <w:tcPr>
            <w:tcW w:type="dxa" w:w="1440"/>
            <w:shd w:fill="0A2647"/>
            <w:tcMar>
              <w:top w:w="120" w:type="dxa"/>
              <w:bottom w:w="120" w:type="dxa"/>
              <w:left w:w="140" w:type="dxa"/>
              <w:right w:w="140" w:type="dxa"/>
            </w:tcMar>
          </w:tcPr>
          <w:p>
            <w:pPr>
              <w:jc w:val="center"/>
            </w:pPr>
            <w:r>
              <w:rPr>
                <w:rFonts w:ascii="Calibri" w:hAnsi="Calibri"/>
                <w:b/>
                <w:color w:val="FFFFFF"/>
                <w:sz w:val="21"/>
              </w:rPr>
              <w:t>Ref. No.</w:t>
            </w:r>
          </w:p>
        </w:tc>
        <w:tc>
          <w:tcPr>
            <w:tcW w:type="dxa" w:w="10080"/>
            <w:shd w:fill="0A2647"/>
            <w:tcMar>
              <w:top w:w="120" w:type="dxa"/>
              <w:bottom w:w="120" w:type="dxa"/>
              <w:left w:w="140" w:type="dxa"/>
              <w:right w:w="140" w:type="dxa"/>
            </w:tcMar>
          </w:tcPr>
          <w:p>
            <w:pPr>
              <w:jc w:val="center"/>
            </w:pPr>
            <w:r>
              <w:rPr>
                <w:rFonts w:ascii="Calibri" w:hAnsi="Calibri"/>
                <w:b/>
                <w:color w:val="FFFFFF"/>
                <w:sz w:val="21"/>
              </w:rPr>
              <w:t>Document Title, Issuing Agency &amp; Reference Standards</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[6]</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Indian Space Research Organisation (ISRO), 'NavIC (IRNSS) Signal-in-Space ICD for Standard Positioning Service,' Version 1.3, Space Applications Centre, Ahmedabad, 2023.</w:t>
            </w:r>
          </w:p>
        </w:tc>
      </w:tr>
      <w:tr>
        <w:tc>
          <w:tcPr>
            <w:tcW w:type="dxa" w:w="1440"/>
            <w:shd w:fill="F1F5F9"/>
            <w:tcMar>
              <w:top w:w="80" w:type="dxa"/>
              <w:bottom w:w="80" w:type="dxa"/>
              <w:left w:w="120" w:type="dxa"/>
              <w:right w:w="120" w:type="dxa"/>
            </w:tcMar>
          </w:tcPr>
          <w:p>
            <w:pPr>
              <w:spacing w:after="0"/>
              <w:jc w:val="center"/>
            </w:pPr>
            <w:r>
              <w:rPr>
                <w:rFonts w:ascii="Calibri" w:hAnsi="Calibri"/>
                <w:color w:val="1E293B"/>
                <w:sz w:val="20"/>
              </w:rPr>
              <w:t>[7]</w:t>
            </w:r>
          </w:p>
        </w:tc>
        <w:tc>
          <w:tcPr>
            <w:tcW w:type="dxa" w:w="10080"/>
            <w:shd w:fill="F1F5F9"/>
            <w:tcMar>
              <w:top w:w="80" w:type="dxa"/>
              <w:bottom w:w="80" w:type="dxa"/>
              <w:left w:w="120" w:type="dxa"/>
              <w:right w:w="120" w:type="dxa"/>
            </w:tcMar>
          </w:tcPr>
          <w:p>
            <w:pPr>
              <w:spacing w:after="0"/>
              <w:jc w:val="left"/>
            </w:pPr>
            <w:r>
              <w:rPr>
                <w:rFonts w:ascii="Calibri" w:hAnsi="Calibri"/>
                <w:color w:val="1E293B"/>
                <w:sz w:val="20"/>
              </w:rPr>
              <w:t>International Maritime Organization (IMO), 'Revised Guidelines for the Onboard Operational Use of Shipborne Automatic Identification Systems (AIS),' Resolution A.1106(29), London, 2015.</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[8]</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National Maritime Domain Awareness (NMDA) Centre, 'Operational Standards for Maritime Data Integration &amp; Fusion,' Bharat Electronics Limited (BEL) &amp; Indian Navy, New Delhi, 2025.</w:t>
            </w:r>
          </w:p>
        </w:tc>
      </w:tr>
      <w:tr>
        <w:tc>
          <w:tcPr>
            <w:tcW w:type="dxa" w:w="1440"/>
            <w:shd w:fill="F1F5F9"/>
            <w:tcMar>
              <w:top w:w="80" w:type="dxa"/>
              <w:bottom w:w="80" w:type="dxa"/>
              <w:left w:w="120" w:type="dxa"/>
              <w:right w:w="120" w:type="dxa"/>
            </w:tcMar>
          </w:tcPr>
          <w:p>
            <w:pPr>
              <w:spacing w:after="0"/>
              <w:jc w:val="center"/>
            </w:pPr>
            <w:r>
              <w:rPr>
                <w:rFonts w:ascii="Calibri" w:hAnsi="Calibri"/>
                <w:color w:val="1E293B"/>
                <w:sz w:val="20"/>
              </w:rPr>
              <w:t>[9]</w:t>
            </w:r>
          </w:p>
        </w:tc>
        <w:tc>
          <w:tcPr>
            <w:tcW w:type="dxa" w:w="10080"/>
            <w:shd w:fill="F1F5F9"/>
            <w:tcMar>
              <w:top w:w="80" w:type="dxa"/>
              <w:bottom w:w="80" w:type="dxa"/>
              <w:left w:w="120" w:type="dxa"/>
              <w:right w:w="120" w:type="dxa"/>
            </w:tcMar>
          </w:tcPr>
          <w:p>
            <w:pPr>
              <w:spacing w:after="0"/>
              <w:jc w:val="left"/>
            </w:pPr>
            <w:r>
              <w:rPr>
                <w:rFonts w:ascii="Calibri" w:hAnsi="Calibri"/>
                <w:color w:val="1E293B"/>
                <w:sz w:val="20"/>
              </w:rPr>
              <w:t>Global Fishing Watch, 'Carrier Vessel Portal &amp; Transshipment Detection Algorithm Manual,' Technical Whitepaper, 2024.</w:t>
            </w:r>
          </w:p>
        </w:tc>
      </w:tr>
    </w:tbl>
    <w:p>
      <w:pPr>
        <w:spacing w:after="120"/>
      </w:pPr>
    </w:p>
    <w:p>
      <w:pPr>
        <w:keepNext/>
        <w:spacing w:before="280" w:after="120"/>
      </w:pPr>
      <w:r>
        <w:rPr>
          <w:rFonts w:ascii="Calibri" w:hAnsi="Calibri"/>
          <w:b/>
          <w:color w:val="144272"/>
          <w:sz w:val="26"/>
        </w:rPr>
        <w:t>3. Reference Textbooks &amp; Specialized Literature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680"/>
        <w:gridCol w:w="4680"/>
      </w:tblGrid>
      <w:tr>
        <w:tc>
          <w:tcPr>
            <w:tcW w:type="dxa" w:w="1440"/>
            <w:shd w:fill="0A2647"/>
            <w:tcMar>
              <w:top w:w="120" w:type="dxa"/>
              <w:bottom w:w="120" w:type="dxa"/>
              <w:left w:w="140" w:type="dxa"/>
              <w:right w:w="140" w:type="dxa"/>
            </w:tcMar>
          </w:tcPr>
          <w:p>
            <w:pPr>
              <w:jc w:val="center"/>
            </w:pPr>
            <w:r>
              <w:rPr>
                <w:rFonts w:ascii="Calibri" w:hAnsi="Calibri"/>
                <w:b/>
                <w:color w:val="FFFFFF"/>
                <w:sz w:val="21"/>
              </w:rPr>
              <w:t>Ref. No.</w:t>
            </w:r>
          </w:p>
        </w:tc>
        <w:tc>
          <w:tcPr>
            <w:tcW w:type="dxa" w:w="10080"/>
            <w:shd w:fill="0A2647"/>
            <w:tcMar>
              <w:top w:w="120" w:type="dxa"/>
              <w:bottom w:w="120" w:type="dxa"/>
              <w:left w:w="140" w:type="dxa"/>
              <w:right w:w="140" w:type="dxa"/>
            </w:tcMar>
          </w:tcPr>
          <w:p>
            <w:pPr>
              <w:jc w:val="center"/>
            </w:pPr>
            <w:r>
              <w:rPr>
                <w:rFonts w:ascii="Calibri" w:hAnsi="Calibri"/>
                <w:b/>
                <w:color w:val="FFFFFF"/>
                <w:sz w:val="21"/>
              </w:rPr>
              <w:t>Book Title, Authors &amp; Publisher</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[10]</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Tom White, 'Hadoop: The Definitive Guide - Storage and Analysis at Internet Scale,' 4th Edition, O'Reilly Media, 2015.</w:t>
            </w:r>
          </w:p>
        </w:tc>
      </w:tr>
      <w:tr>
        <w:tc>
          <w:tcPr>
            <w:tcW w:type="dxa" w:w="1440"/>
            <w:shd w:fill="F1F5F9"/>
            <w:tcMar>
              <w:top w:w="80" w:type="dxa"/>
              <w:bottom w:w="80" w:type="dxa"/>
              <w:left w:w="120" w:type="dxa"/>
              <w:right w:w="120" w:type="dxa"/>
            </w:tcMar>
          </w:tcPr>
          <w:p>
            <w:pPr>
              <w:spacing w:after="0"/>
              <w:jc w:val="center"/>
            </w:pPr>
            <w:r>
              <w:rPr>
                <w:rFonts w:ascii="Calibri" w:hAnsi="Calibri"/>
                <w:color w:val="1E293B"/>
                <w:sz w:val="20"/>
              </w:rPr>
              <w:t>[11]</w:t>
            </w:r>
          </w:p>
        </w:tc>
        <w:tc>
          <w:tcPr>
            <w:tcW w:type="dxa" w:w="10080"/>
            <w:shd w:fill="F1F5F9"/>
            <w:tcMar>
              <w:top w:w="80" w:type="dxa"/>
              <w:bottom w:w="80" w:type="dxa"/>
              <w:left w:w="120" w:type="dxa"/>
              <w:right w:w="120" w:type="dxa"/>
            </w:tcMar>
          </w:tcPr>
          <w:p>
            <w:pPr>
              <w:spacing w:after="0"/>
              <w:jc w:val="left"/>
            </w:pPr>
            <w:r>
              <w:rPr>
                <w:rFonts w:ascii="Calibri" w:hAnsi="Calibri"/>
                <w:color w:val="1E293B"/>
                <w:sz w:val="20"/>
              </w:rPr>
              <w:t>Ian Goodfellow, Yoshua Bengio, and Aaron Courville, 'Deep Learning,' MIT Press, Cambridge, MA, 2016.</w:t>
            </w:r>
          </w:p>
        </w:tc>
      </w:tr>
      <w:tr>
        <w:tc>
          <w:tcPr>
            <w:tcW w:type="dxa" w:w="1440"/>
            <w:shd w:fill="FFFFFF"/>
            <w:tcMar>
              <w:top w:w="80" w:type="dxa"/>
              <w:bottom w:w="80" w:type="dxa"/>
              <w:left w:w="120" w:type="dxa"/>
              <w:right w:w="120" w:type="dxa"/>
            </w:tcMar>
          </w:tcPr>
          <w:p>
            <w:pPr>
              <w:spacing w:after="0"/>
              <w:jc w:val="center"/>
            </w:pPr>
            <w:r>
              <w:rPr>
                <w:rFonts w:ascii="Calibri" w:hAnsi="Calibri"/>
                <w:color w:val="1E293B"/>
                <w:sz w:val="20"/>
              </w:rPr>
              <w:t>[12]</w:t>
            </w:r>
          </w:p>
        </w:tc>
        <w:tc>
          <w:tcPr>
            <w:tcW w:type="dxa" w:w="10080"/>
            <w:shd w:fill="FFFFFF"/>
            <w:tcMar>
              <w:top w:w="80" w:type="dxa"/>
              <w:bottom w:w="80" w:type="dxa"/>
              <w:left w:w="120" w:type="dxa"/>
              <w:right w:w="120" w:type="dxa"/>
            </w:tcMar>
          </w:tcPr>
          <w:p>
            <w:pPr>
              <w:spacing w:after="0"/>
              <w:jc w:val="left"/>
            </w:pPr>
            <w:r>
              <w:rPr>
                <w:rFonts w:ascii="Calibri" w:hAnsi="Calibri"/>
                <w:color w:val="1E293B"/>
                <w:sz w:val="20"/>
              </w:rPr>
              <w:t>Dan Simon, 'Optimal State Estimation: Kalman, H-infinity, and Nonlinear Approaches,' John Wiley &amp; Sons, 2006.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