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Decentralized Renewable Microgrids &amp; Storage Economics</w:t>
      </w:r>
    </w:p>
    <w:p>
      <w:r>
        <w:t>Strategic Assessment of Decentralized Energy Systems: Commercial and industrial facilities face mounting grid reliability challenges, surging peak-demand tariff structures, and escalating carbon compliance mandates. Conventional utility supply frameworks no longer provide the resilience or price predictability required for mission-critical industrial manufacturing operations.</w:t>
      </w:r>
    </w:p>
    <w:p>
      <w:r>
        <w:t>Microgrid Integration and Levelized Cost of Energy: Deploying on-site hybrid solar photovoltaic arrays paired with lithium-iron-phosphate battery storage reduces levelized cost of energy from $0.142 per kilowatt-hour to $0.086 per kilowatt-hour over a 20-year operational lifecycle. Smart inverters enable instantaneous islanding during grid voltage fluctuations, eliminating production stoppages.</w:t>
      </w:r>
    </w:p>
    <w:p>
      <w:r>
        <w:t>Battery Degradation and Thermal Management: Cell degradation models demonstrate that active liquid cooling maintains lithium-iron-phosphate battery capacity above 82 percent after 6,000 equivalent full cycles. Implementing intelligent state-of-charge limits between 15 percent and 85 percent prevents premature electrolyte breakdown and extends operational asset longevity.</w:t>
      </w:r>
    </w:p>
    <w:p>
      <w:r>
        <w:t>Economic Valuation and Payback Analysis: The turnkey microgrid installation requires a gross capital investment of $2.4 million, offset by a 30 percent federal investment tax credit. Net annual energy cost avoidance of $480,000 yields an unsubsidized payback period of 3.5 years, generating a project internal rate of return of 21.4 percent.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