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Evaluation of Distributed Clean Energy Architecture</w:t>
      </w:r>
    </w:p>
    <w:p>
      <w:r>
        <w:t>Evaluation of Distributed Clean Energy Systems: Commercial and industrial manufacturing plants encounter power grid instability, rising peak power costs, and stringent carbon reduction regulations. Traditional utility contracts fail to guarantee the operational continuity and price predictability required for mission-critical manufacturing facilities.</w:t>
      </w:r>
    </w:p>
    <w:p>
      <w:r>
        <w:t>On-Site Solar Microgrids and Levelized Energy Pricing: Constructing distributed photovoltaic arrays coupled with lithium-iron-phosphate energy storage decreases levelized energy costs from 14.2 cents to 8.6 cents per kilowatt-hour across a twenty-year service life. Intelligent inverters facilitate automated microgrid islanding whenever voltage dips occur, preventing plant downtime.</w:t>
      </w:r>
    </w:p>
    <w:p>
      <w:r>
        <w:t>Battery Degradation Modeling and Liquid Cooling: Thermal management simulations reveal that active liquid circulation preserves lithium-iron-phosphate battery capacity beyond 82 percent following 6,000 deep discharge cycles. Regulating operating battery charge strictly within 15 to 85 percent averts accelerated cell aging and prolongs system working life.</w:t>
      </w:r>
    </w:p>
    <w:p>
      <w:r>
        <w:t>Capital Expenditures and Return on Investment: Building the decentralized microgrid requires a total initial capital expense of $2.4 million before a thirty percent clean energy tax credit. Yearly utility bill savings of $480,000 produce an unsubsidized capital payback in 3.5 years, producing an internal rate of return of 21.4 percent.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