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Strategic Analysis Report - Submission C</w:t>
      </w:r>
    </w:p>
    <w:p>
      <w:r>
        <w:t>CASE PROMPT &amp; EVALUATION DIRECTIVES: Please conduct a comprehensive operational, financial, and strategic evaluation of the proposed transformation plan. Your analysis must explicitly assess capital allocation constraints, supply chain bottlenecks, organizational change risks, and long-term customer lifetime value impact. All quantitative projections must be rigorously grounded in verified industry benchmarks. Submissions omitting regulatory compliance considerations or exceeding the designated scope will face structural score deductions. As articulated by Porter (1985), sustained competitive advantage demands coherent alignment between operational effectiveness and differentiated strategic positioning. In addition, Christensen (1997) demonstrates that incumbents routinely misjudge disruptive technologies until legacy profit centers are permanently compromised. Synthesize these frameworks into your final boardroom recommendations.</w:t>
      </w:r>
    </w:p>
    <w:p>
      <w:r>
        <w:t>Customer Segmentation and Lifetime Value: Customer cohort analysis reveals that delivery windows under two hours increase 90-day repeat purchasing rates by 34 percent. Net Promoter Scores among urban subscribers correlate directly with packaging integrity and delivery punctuality. Reallocating marketing budgets toward retention guarantees improved customer acquisition efficiency.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