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AF7B2"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lang w:val="vi-VN"/>
        </w:rPr>
        <w:t>CỘNG HÒA XÃ HỘI CHỦ NGHĨA VIỆT NAM</w:t>
      </w:r>
      <w:r w:rsidRPr="00140F03">
        <w:rPr>
          <w:rFonts w:ascii="Arial" w:eastAsia="Times New Roman" w:hAnsi="Arial" w:cs="Arial"/>
          <w:b/>
          <w:bCs/>
          <w:color w:val="000000"/>
          <w:sz w:val="20"/>
          <w:szCs w:val="20"/>
          <w:lang w:val="vi-VN"/>
        </w:rPr>
        <w:br/>
        <w:t>Độc lập - Tự do - Hạnh phúc</w:t>
      </w:r>
      <w:r w:rsidRPr="00140F03">
        <w:rPr>
          <w:rFonts w:ascii="Arial" w:eastAsia="Times New Roman" w:hAnsi="Arial" w:cs="Arial"/>
          <w:b/>
          <w:bCs/>
          <w:color w:val="000000"/>
          <w:sz w:val="20"/>
          <w:szCs w:val="20"/>
          <w:lang w:val="vi-VN"/>
        </w:rPr>
        <w:br/>
        <w:t>-------------------</w:t>
      </w:r>
    </w:p>
    <w:p w14:paraId="66FD6B29"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2304FBB5"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1139133E"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55A3E5BF"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0BB1C162"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HỢP ĐỒNG MUA BÁN ĐIỆN</w:t>
      </w:r>
    </w:p>
    <w:p w14:paraId="3D547CC8"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NHÀ MÁY ĐIỆN </w:t>
      </w:r>
      <w:r w:rsidRPr="00140F03">
        <w:rPr>
          <w:rFonts w:ascii="Arial" w:eastAsia="Times New Roman" w:hAnsi="Arial" w:cs="Arial"/>
          <w:color w:val="000000"/>
          <w:sz w:val="20"/>
          <w:szCs w:val="20"/>
        </w:rPr>
        <w:t>……………………………………</w:t>
      </w:r>
    </w:p>
    <w:p w14:paraId="6D43D6A0"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w:t>
      </w:r>
    </w:p>
    <w:p w14:paraId="5E8DAD63"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w:t>
      </w:r>
    </w:p>
    <w:p w14:paraId="7C419324"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Giữa</w:t>
      </w:r>
    </w:p>
    <w:p w14:paraId="7AB6C6A8"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50F02187"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TẬP ĐOÀN ĐIỆN LỰC VIỆT NAM</w:t>
      </w:r>
      <w:r w:rsidRPr="00140F03">
        <w:rPr>
          <w:rFonts w:ascii="Arial" w:eastAsia="Times New Roman" w:hAnsi="Arial" w:cs="Arial"/>
          <w:b/>
          <w:bCs/>
          <w:color w:val="000000"/>
          <w:sz w:val="20"/>
          <w:szCs w:val="20"/>
        </w:rPr>
        <w:br/>
        <w:t>(BÊN BÁN)</w:t>
      </w:r>
    </w:p>
    <w:p w14:paraId="274313AF"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5356D9AB"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và -</w:t>
      </w:r>
    </w:p>
    <w:p w14:paraId="45E95EB2"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24E2A9E2"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TỔNG CÔNG TY ĐIỆN LỰC [tên công ty] </w:t>
      </w:r>
      <w:r w:rsidRPr="00140F03">
        <w:rPr>
          <w:rFonts w:ascii="Arial" w:eastAsia="Times New Roman" w:hAnsi="Arial" w:cs="Arial"/>
          <w:b/>
          <w:bCs/>
          <w:color w:val="000000"/>
          <w:sz w:val="20"/>
          <w:szCs w:val="20"/>
        </w:rPr>
        <w:br/>
        <w:t>(BÊN MUA)</w:t>
      </w:r>
    </w:p>
    <w:p w14:paraId="269C0710"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w:t>
      </w:r>
    </w:p>
    <w:p w14:paraId="4AC7C0FC"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w:t>
      </w:r>
    </w:p>
    <w:p w14:paraId="6C436B05"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w:t>
      </w:r>
    </w:p>
    <w:p w14:paraId="716D9919"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 </w:t>
      </w:r>
    </w:p>
    <w:p w14:paraId="14973EB5"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HỢP ĐỒNG SỐ: ……./20…/HĐ-NMĐ-[tên Nhà máy điện]</w:t>
      </w:r>
    </w:p>
    <w:p w14:paraId="094D6B84"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7A225E8C"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13921886"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66C3834D"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75910AC5"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585713B0"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Hà Nội, tháng …/20..…</w:t>
      </w:r>
    </w:p>
    <w:p w14:paraId="1F9B24FA"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1DE63CBA"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MỤC LỤC</w:t>
      </w:r>
    </w:p>
    <w:p w14:paraId="24B45E0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 </w:t>
      </w:r>
      <w:r w:rsidRPr="00140F03">
        <w:rPr>
          <w:rFonts w:ascii="Arial" w:eastAsia="Times New Roman" w:hAnsi="Arial" w:cs="Arial"/>
          <w:color w:val="000000"/>
          <w:sz w:val="20"/>
          <w:szCs w:val="20"/>
        </w:rPr>
        <w:t>Định nghĩa</w:t>
      </w:r>
    </w:p>
    <w:p w14:paraId="3686E2D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2. </w:t>
      </w:r>
      <w:r w:rsidRPr="00140F03">
        <w:rPr>
          <w:rFonts w:ascii="Arial" w:eastAsia="Times New Roman" w:hAnsi="Arial" w:cs="Arial"/>
          <w:color w:val="000000"/>
          <w:sz w:val="20"/>
          <w:szCs w:val="20"/>
        </w:rPr>
        <w:t>Hiệu lực và thời hạn Hợp đồng</w:t>
      </w:r>
    </w:p>
    <w:p w14:paraId="6FB93ED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3. </w:t>
      </w:r>
      <w:r w:rsidRPr="00140F03">
        <w:rPr>
          <w:rFonts w:ascii="Arial" w:eastAsia="Times New Roman" w:hAnsi="Arial" w:cs="Arial"/>
          <w:color w:val="000000"/>
          <w:sz w:val="20"/>
          <w:szCs w:val="20"/>
        </w:rPr>
        <w:t>Mua bán điện năng</w:t>
      </w:r>
    </w:p>
    <w:p w14:paraId="30AC13F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4. </w:t>
      </w:r>
      <w:r w:rsidRPr="00140F03">
        <w:rPr>
          <w:rFonts w:ascii="Arial" w:eastAsia="Times New Roman" w:hAnsi="Arial" w:cs="Arial"/>
          <w:color w:val="000000"/>
          <w:sz w:val="20"/>
          <w:szCs w:val="20"/>
        </w:rPr>
        <w:t>Cam kết thực hiện</w:t>
      </w:r>
    </w:p>
    <w:p w14:paraId="5487F47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lastRenderedPageBreak/>
        <w:t>Điều 5. </w:t>
      </w:r>
      <w:r w:rsidRPr="00140F03">
        <w:rPr>
          <w:rFonts w:ascii="Arial" w:eastAsia="Times New Roman" w:hAnsi="Arial" w:cs="Arial"/>
          <w:color w:val="000000"/>
          <w:sz w:val="20"/>
          <w:szCs w:val="20"/>
        </w:rPr>
        <w:t>Điều độ và vận hành Nhà máy điện</w:t>
      </w:r>
    </w:p>
    <w:p w14:paraId="7EBADA2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6. </w:t>
      </w:r>
      <w:r w:rsidRPr="00140F03">
        <w:rPr>
          <w:rFonts w:ascii="Arial" w:eastAsia="Times New Roman" w:hAnsi="Arial" w:cs="Arial"/>
          <w:color w:val="000000"/>
          <w:sz w:val="20"/>
          <w:szCs w:val="20"/>
        </w:rPr>
        <w:t>Lập hóa đơn và thanh toán</w:t>
      </w:r>
    </w:p>
    <w:p w14:paraId="6150620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7. </w:t>
      </w:r>
      <w:r w:rsidRPr="00140F03">
        <w:rPr>
          <w:rFonts w:ascii="Arial" w:eastAsia="Times New Roman" w:hAnsi="Arial" w:cs="Arial"/>
          <w:color w:val="000000"/>
          <w:sz w:val="20"/>
          <w:szCs w:val="20"/>
        </w:rPr>
        <w:t>Sự kiện ảnh hưởng việc thực hiện Hợp đồng và chế tài áp dụng</w:t>
      </w:r>
    </w:p>
    <w:p w14:paraId="63CDD8F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8. </w:t>
      </w:r>
      <w:r w:rsidRPr="00140F03">
        <w:rPr>
          <w:rFonts w:ascii="Arial" w:eastAsia="Times New Roman" w:hAnsi="Arial" w:cs="Arial"/>
          <w:color w:val="000000"/>
          <w:sz w:val="20"/>
          <w:szCs w:val="20"/>
        </w:rPr>
        <w:t>Chấm dứt và đình chỉ thực hiện Hợp đồng</w:t>
      </w:r>
    </w:p>
    <w:p w14:paraId="6B08A86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9. </w:t>
      </w:r>
      <w:r w:rsidRPr="00140F03">
        <w:rPr>
          <w:rFonts w:ascii="Arial" w:eastAsia="Times New Roman" w:hAnsi="Arial" w:cs="Arial"/>
          <w:color w:val="000000"/>
          <w:sz w:val="20"/>
          <w:szCs w:val="20"/>
        </w:rPr>
        <w:t>Bồi thường thiệt hại</w:t>
      </w:r>
    </w:p>
    <w:p w14:paraId="46319E9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10. </w:t>
      </w:r>
      <w:r w:rsidRPr="00140F03">
        <w:rPr>
          <w:rFonts w:ascii="Arial" w:eastAsia="Times New Roman" w:hAnsi="Arial" w:cs="Arial"/>
          <w:color w:val="000000"/>
          <w:sz w:val="20"/>
          <w:szCs w:val="20"/>
        </w:rPr>
        <w:t>Các trường hợp miễn trách nhiệm đối với hành vi vi phạm</w:t>
      </w:r>
    </w:p>
    <w:p w14:paraId="789D9D4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11. </w:t>
      </w:r>
      <w:r w:rsidRPr="00140F03">
        <w:rPr>
          <w:rFonts w:ascii="Arial" w:eastAsia="Times New Roman" w:hAnsi="Arial" w:cs="Arial"/>
          <w:color w:val="000000"/>
          <w:sz w:val="20"/>
          <w:szCs w:val="20"/>
        </w:rPr>
        <w:t>Giải quyết tranh chấp</w:t>
      </w:r>
    </w:p>
    <w:p w14:paraId="51A6D2B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12. </w:t>
      </w:r>
      <w:r w:rsidRPr="00140F03">
        <w:rPr>
          <w:rFonts w:ascii="Arial" w:eastAsia="Times New Roman" w:hAnsi="Arial" w:cs="Arial"/>
          <w:color w:val="000000"/>
          <w:sz w:val="20"/>
          <w:szCs w:val="20"/>
        </w:rPr>
        <w:t>Giai đoạn chuyển tiếp sang thị trường bán lẻ cạnh tranh</w:t>
      </w:r>
    </w:p>
    <w:p w14:paraId="07EF1D3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13. </w:t>
      </w:r>
      <w:r w:rsidRPr="00140F03">
        <w:rPr>
          <w:rFonts w:ascii="Arial" w:eastAsia="Times New Roman" w:hAnsi="Arial" w:cs="Arial"/>
          <w:color w:val="000000"/>
          <w:sz w:val="20"/>
          <w:szCs w:val="20"/>
        </w:rPr>
        <w:t>Lưu giữ hồ sơ và cung cấp thông tin</w:t>
      </w:r>
    </w:p>
    <w:p w14:paraId="7B3F785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14. </w:t>
      </w:r>
      <w:r w:rsidRPr="00140F03">
        <w:rPr>
          <w:rFonts w:ascii="Arial" w:eastAsia="Times New Roman" w:hAnsi="Arial" w:cs="Arial"/>
          <w:color w:val="000000"/>
          <w:sz w:val="20"/>
          <w:szCs w:val="20"/>
        </w:rPr>
        <w:t>Các chi phí khác</w:t>
      </w:r>
    </w:p>
    <w:p w14:paraId="4CF809B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15. </w:t>
      </w:r>
      <w:r w:rsidRPr="00140F03">
        <w:rPr>
          <w:rFonts w:ascii="Arial" w:eastAsia="Times New Roman" w:hAnsi="Arial" w:cs="Arial"/>
          <w:color w:val="000000"/>
          <w:sz w:val="20"/>
          <w:szCs w:val="20"/>
        </w:rPr>
        <w:t>Đại diện có thẩm quyền và trao đổi thông tin</w:t>
      </w:r>
    </w:p>
    <w:p w14:paraId="62991A7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16. </w:t>
      </w:r>
      <w:r w:rsidRPr="00140F03">
        <w:rPr>
          <w:rFonts w:ascii="Arial" w:eastAsia="Times New Roman" w:hAnsi="Arial" w:cs="Arial"/>
          <w:color w:val="000000"/>
          <w:sz w:val="20"/>
          <w:szCs w:val="20"/>
        </w:rPr>
        <w:t>Bảo mật thông tin</w:t>
      </w:r>
    </w:p>
    <w:p w14:paraId="26999D3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17. </w:t>
      </w:r>
      <w:r w:rsidRPr="00140F03">
        <w:rPr>
          <w:rFonts w:ascii="Arial" w:eastAsia="Times New Roman" w:hAnsi="Arial" w:cs="Arial"/>
          <w:color w:val="000000"/>
          <w:sz w:val="20"/>
          <w:szCs w:val="20"/>
        </w:rPr>
        <w:t>Các thỏa thuận khác</w:t>
      </w:r>
    </w:p>
    <w:p w14:paraId="6E318AE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Phụ lục I. CÁC THÔNG SỐ CHÍNH CỦA NHÀ MÁY ĐIỆN...................................</w:t>
      </w:r>
    </w:p>
    <w:p w14:paraId="7DAB32D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Phụ lục II. THỎA THUẬN CÁC ĐẶC TÍNH VẬN HÀNH.......................................</w:t>
      </w:r>
    </w:p>
    <w:p w14:paraId="2BCA111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Phụ lục III. GIÁ MUA BÁN ĐIỆN, TIỀN ĐIỆN THANH TOÁN.............................</w:t>
      </w:r>
    </w:p>
    <w:p w14:paraId="01FE4EA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141B8E4C"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CỘNG HÒA XÃ HỘI CHỦ NGHĨA VIỆT NAM</w:t>
      </w:r>
      <w:r w:rsidRPr="00140F03">
        <w:rPr>
          <w:rFonts w:ascii="Arial" w:eastAsia="Times New Roman" w:hAnsi="Arial" w:cs="Arial"/>
          <w:b/>
          <w:bCs/>
          <w:color w:val="000000"/>
          <w:sz w:val="20"/>
          <w:szCs w:val="20"/>
        </w:rPr>
        <w:br/>
        <w:t>Độc lập - Tự do - Hạnh phúc</w:t>
      </w:r>
      <w:r w:rsidRPr="00140F03">
        <w:rPr>
          <w:rFonts w:ascii="Arial" w:eastAsia="Times New Roman" w:hAnsi="Arial" w:cs="Arial"/>
          <w:b/>
          <w:bCs/>
          <w:color w:val="000000"/>
          <w:sz w:val="20"/>
          <w:szCs w:val="20"/>
        </w:rPr>
        <w:br/>
        <w:t>-------------</w:t>
      </w:r>
    </w:p>
    <w:p w14:paraId="002EAD3E"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HỢP ĐỒNG MUA BÁN ĐIỆN</w:t>
      </w:r>
    </w:p>
    <w:p w14:paraId="19B8CD6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Căn cứ Luật Điện lực ngày 03 tháng 12 năm 2004 và Luật sửa đổi, bổ sung một số điều của Luật Điện lực ngày 20 tháng 11 năm 2012;</w:t>
      </w:r>
    </w:p>
    <w:p w14:paraId="61ACFD3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Căn cứ Luật Thương mại ngày 14 tháng 6 năm 2005;</w:t>
      </w:r>
    </w:p>
    <w:p w14:paraId="447B783D" w14:textId="77777777" w:rsidR="00140F03" w:rsidRPr="00140F03" w:rsidRDefault="00140F03" w:rsidP="00140F03">
      <w:pPr>
        <w:shd w:val="clear" w:color="auto" w:fill="FFFFFF"/>
        <w:spacing w:after="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Căn cứ Nghị định số </w:t>
      </w:r>
      <w:hyperlink r:id="rId7" w:tgtFrame="_blank" w:history="1">
        <w:r w:rsidRPr="00140F03">
          <w:rPr>
            <w:rFonts w:ascii="Arial" w:eastAsia="Times New Roman" w:hAnsi="Arial" w:cs="Arial"/>
            <w:color w:val="0E70C3"/>
            <w:sz w:val="20"/>
          </w:rPr>
          <w:t>137/2013/NĐ-CP</w:t>
        </w:r>
      </w:hyperlink>
      <w:r w:rsidRPr="00140F03">
        <w:rPr>
          <w:rFonts w:ascii="Arial" w:eastAsia="Times New Roman" w:hAnsi="Arial" w:cs="Arial"/>
          <w:color w:val="000000"/>
          <w:sz w:val="20"/>
          <w:szCs w:val="20"/>
        </w:rPr>
        <w:t> ngày 21 tháng 10 năm 2013 của Chính phủ quy định chi tiết thi hành một số điều của Luật Điện lực và Luật sửa đổi, bổ sung một số điều của Luật Điện lực;</w:t>
      </w:r>
    </w:p>
    <w:p w14:paraId="4FC083D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Căn cứ Thông tư số …./2017/TT-BCT ngày … tháng … năm … của Bộ trưởng Bộ Công Thương Quy định phương pháp, trình tự xác định chi phí và giá điện nhà máy thủy điện chiến lược đa mục tiêu;</w:t>
      </w:r>
    </w:p>
    <w:p w14:paraId="278FAEF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Căn cứ nhu cầu mua, bán điện của hai bên,</w:t>
      </w:r>
    </w:p>
    <w:p w14:paraId="4E38395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Hôm nay, ngày ……. tháng ……. năm ……., tại ……………..</w:t>
      </w:r>
    </w:p>
    <w:p w14:paraId="5DFC588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i/>
          <w:iCs/>
          <w:color w:val="000000"/>
          <w:sz w:val="20"/>
          <w:szCs w:val="20"/>
        </w:rPr>
        <w:t>Chúng tôi gồm:</w:t>
      </w:r>
    </w:p>
    <w:p w14:paraId="34DD2D6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Bên bán: Tập đoàn Điện lực Việt Nam</w:t>
      </w:r>
    </w:p>
    <w:p w14:paraId="242393A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Địa chỉ: ____________________________________________________________________</w:t>
      </w:r>
    </w:p>
    <w:p w14:paraId="03E408D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Điện thoại: _________________________ Fax:____________________________________</w:t>
      </w:r>
    </w:p>
    <w:p w14:paraId="5E35040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Mã số thuế:_________________________________________________________________</w:t>
      </w:r>
    </w:p>
    <w:p w14:paraId="32E7DF5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Tài khoản: _________________________ Ngân hàng_______________________________</w:t>
      </w:r>
    </w:p>
    <w:p w14:paraId="047047A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___________________________________________________________________________</w:t>
      </w:r>
    </w:p>
    <w:p w14:paraId="6278AD5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Đại diện:___________________________________________________________________</w:t>
      </w:r>
    </w:p>
    <w:p w14:paraId="4A9F229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lastRenderedPageBreak/>
        <w:t>Chức vụ: _________________________ được sự ủy quyền của _____________________ theo văn bản ủy quyền số ____________ngày____ tháng____ năm______</w:t>
      </w:r>
    </w:p>
    <w:p w14:paraId="55FE22D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Bên mua: Tổng công ty Điện lực …</w:t>
      </w:r>
    </w:p>
    <w:p w14:paraId="118A755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Địa chỉ: ____________________________________________________________________</w:t>
      </w:r>
    </w:p>
    <w:p w14:paraId="07C4FE3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Điện thoại: _________________________ Fax:____________________________________</w:t>
      </w:r>
    </w:p>
    <w:p w14:paraId="2B58B1B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Mã số thuế:_________________________________________________________________</w:t>
      </w:r>
    </w:p>
    <w:p w14:paraId="04A65C0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Tài khoản: _________________________ Ngân hàng_______________________________</w:t>
      </w:r>
    </w:p>
    <w:p w14:paraId="7D2521E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___________________________________________________________________________</w:t>
      </w:r>
    </w:p>
    <w:p w14:paraId="14927EF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Đại diện:___________________________________________________________________</w:t>
      </w:r>
    </w:p>
    <w:p w14:paraId="531CF6A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Chức vụ: _________________________ được sự ủy quyền của _____________________ theo văn bản ủy quyền số __________ngày____ tháng____ năm______</w:t>
      </w:r>
    </w:p>
    <w:p w14:paraId="192E943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Cùng nhau thống nhất Hợp đồng mua bán điện cho Nhà máy điện theo các nội dung sau:</w:t>
      </w:r>
    </w:p>
    <w:p w14:paraId="2AF818D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 Định nghĩa</w:t>
      </w:r>
    </w:p>
    <w:p w14:paraId="0ADE697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Trong Hợp đồng này, các thuật ngữ dưới đây được hiểu như sau:</w:t>
      </w:r>
    </w:p>
    <w:p w14:paraId="1180E74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 Bên bán </w:t>
      </w:r>
      <w:r w:rsidRPr="00140F03">
        <w:rPr>
          <w:rFonts w:ascii="Arial" w:eastAsia="Times New Roman" w:hAnsi="Arial" w:cs="Arial"/>
          <w:color w:val="000000"/>
          <w:sz w:val="20"/>
          <w:szCs w:val="20"/>
        </w:rPr>
        <w:t>là Tập đoàn Điện lực Việt Nam, sở hữu Nhà máy điện…</w:t>
      </w:r>
    </w:p>
    <w:p w14:paraId="1934671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2. Bên mua </w:t>
      </w:r>
      <w:r w:rsidRPr="00140F03">
        <w:rPr>
          <w:rFonts w:ascii="Arial" w:eastAsia="Times New Roman" w:hAnsi="Arial" w:cs="Arial"/>
          <w:color w:val="000000"/>
          <w:sz w:val="20"/>
          <w:szCs w:val="20"/>
        </w:rPr>
        <w:t>là Tổng công ty Điện lực….</w:t>
      </w:r>
    </w:p>
    <w:p w14:paraId="0A643D0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3. Chu kỳ giao dịch </w:t>
      </w:r>
      <w:r w:rsidRPr="00140F03">
        <w:rPr>
          <w:rFonts w:ascii="Arial" w:eastAsia="Times New Roman" w:hAnsi="Arial" w:cs="Arial"/>
          <w:color w:val="000000"/>
          <w:sz w:val="20"/>
          <w:szCs w:val="20"/>
        </w:rPr>
        <w:t>là chu kỳ tính toán giá điện năng trên thị trường điện, trong khoảng thời gian 01 giờ tính từ phút đầu tiên mỗi giờ.</w:t>
      </w:r>
    </w:p>
    <w:p w14:paraId="4285A3D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4. Công suất khả dụng công bố </w:t>
      </w:r>
      <w:r w:rsidRPr="00140F03">
        <w:rPr>
          <w:rFonts w:ascii="Arial" w:eastAsia="Times New Roman" w:hAnsi="Arial" w:cs="Arial"/>
          <w:color w:val="000000"/>
          <w:sz w:val="20"/>
          <w:szCs w:val="20"/>
        </w:rPr>
        <w:t>là mức công suất sẵn sàng của tổ máy hoặc Nhà máy điện tại một thời điểm xác định do Bên bán công bố.</w:t>
      </w:r>
    </w:p>
    <w:p w14:paraId="1BEC0DD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5. Điểm đấu nối </w:t>
      </w:r>
      <w:r w:rsidRPr="00140F03">
        <w:rPr>
          <w:rFonts w:ascii="Arial" w:eastAsia="Times New Roman" w:hAnsi="Arial" w:cs="Arial"/>
          <w:color w:val="000000"/>
          <w:sz w:val="20"/>
          <w:szCs w:val="20"/>
        </w:rPr>
        <w:t>là điểm nối trang thiết bị, lưới điện và Nhà máy điện vào Hệ thống điện quốc gia.</w:t>
      </w:r>
    </w:p>
    <w:p w14:paraId="49DC69B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6. Điểm giao nhận điện </w:t>
      </w:r>
      <w:r w:rsidRPr="00140F03">
        <w:rPr>
          <w:rFonts w:ascii="Arial" w:eastAsia="Times New Roman" w:hAnsi="Arial" w:cs="Arial"/>
          <w:color w:val="000000"/>
          <w:sz w:val="20"/>
          <w:szCs w:val="20"/>
        </w:rPr>
        <w:t>là điểm đo đếm để xác định sản lượng điện năng của Bên bán giao cho Bên mua.</w:t>
      </w:r>
    </w:p>
    <w:p w14:paraId="27D0858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7. Đơn vị vận hành hệ thống điện và thị trường điện quốc gia </w:t>
      </w:r>
      <w:r w:rsidRPr="00140F03">
        <w:rPr>
          <w:rFonts w:ascii="Arial" w:eastAsia="Times New Roman" w:hAnsi="Arial" w:cs="Arial"/>
          <w:color w:val="000000"/>
          <w:sz w:val="20"/>
          <w:szCs w:val="20"/>
        </w:rPr>
        <w:t>là đơn vị chỉ huy, điều khiển quá trình phát điện, truyền tải điện, phân phối điện trong hệ thống điện quốc gia, điều hành giao dịch thị trường điện.</w:t>
      </w:r>
    </w:p>
    <w:p w14:paraId="05A00D3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8. Giá công suất thị trường </w:t>
      </w:r>
      <w:r w:rsidRPr="00140F03">
        <w:rPr>
          <w:rFonts w:ascii="Arial" w:eastAsia="Times New Roman" w:hAnsi="Arial" w:cs="Arial"/>
          <w:color w:val="000000"/>
          <w:sz w:val="20"/>
          <w:szCs w:val="20"/>
        </w:rPr>
        <w:t>là mức giá cho một đơn vị công suất tác dụng xác định cho mỗi chu kỳ giao dịch, áp dụng để tính toán khoản thanh toán công suất cho các đơn vị phát điện trong thị trường điện.</w:t>
      </w:r>
    </w:p>
    <w:p w14:paraId="68271FF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9. Giá điện năng thị trường </w:t>
      </w:r>
      <w:r w:rsidRPr="00140F03">
        <w:rPr>
          <w:rFonts w:ascii="Arial" w:eastAsia="Times New Roman" w:hAnsi="Arial" w:cs="Arial"/>
          <w:color w:val="000000"/>
          <w:sz w:val="20"/>
          <w:szCs w:val="20"/>
        </w:rPr>
        <w:t>là mức giá cho một đơn vị điện năng xác định cho mỗi chu kỳ giao dịch, áp dụng để tính toán khoản thanh toán điện năng cho các đơn vị phát điện trong thị trường điện.</w:t>
      </w:r>
    </w:p>
    <w:p w14:paraId="40030B2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10. Hệ thống điện quốc gia </w:t>
      </w:r>
      <w:r w:rsidRPr="00140F03">
        <w:rPr>
          <w:rFonts w:ascii="Arial" w:eastAsia="Times New Roman" w:hAnsi="Arial" w:cs="Arial"/>
          <w:color w:val="000000"/>
          <w:sz w:val="20"/>
          <w:szCs w:val="20"/>
        </w:rPr>
        <w:t>là hệ thống các trang thiết bị phát điện, lưới điện và các trang thiết bị phụ trợ được liên kết với nhau và được chỉ huy thống nhất trong phạm vi cả nước.</w:t>
      </w:r>
    </w:p>
    <w:p w14:paraId="4FD05DC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11. Hợp đồng </w:t>
      </w:r>
      <w:r w:rsidRPr="00140F03">
        <w:rPr>
          <w:rFonts w:ascii="Arial" w:eastAsia="Times New Roman" w:hAnsi="Arial" w:cs="Arial"/>
          <w:color w:val="000000"/>
          <w:sz w:val="20"/>
          <w:szCs w:val="20"/>
        </w:rPr>
        <w:t>là Hợp đồng mua bán điện này, bao gồm các Phụ lục và các sửa đổi, bổ sung sau này.</w:t>
      </w:r>
    </w:p>
    <w:p w14:paraId="07AB012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12. Lệnh điều độ </w:t>
      </w:r>
      <w:r w:rsidRPr="00140F03">
        <w:rPr>
          <w:rFonts w:ascii="Arial" w:eastAsia="Times New Roman" w:hAnsi="Arial" w:cs="Arial"/>
          <w:color w:val="000000"/>
          <w:sz w:val="20"/>
          <w:szCs w:val="20"/>
        </w:rPr>
        <w:t>là lệnh chỉ huy, điều khiển chế độ vận hành hệ thống điện trong thời gian thực.</w:t>
      </w:r>
    </w:p>
    <w:p w14:paraId="4658D95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13. Ngày </w:t>
      </w:r>
      <w:r w:rsidRPr="00140F03">
        <w:rPr>
          <w:rFonts w:ascii="Arial" w:eastAsia="Times New Roman" w:hAnsi="Arial" w:cs="Arial"/>
          <w:color w:val="000000"/>
          <w:sz w:val="20"/>
          <w:szCs w:val="20"/>
        </w:rPr>
        <w:t>là ngày dương lịch.</w:t>
      </w:r>
    </w:p>
    <w:p w14:paraId="5995B43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14. Ngày vận hành thương mại của Nhà máy điện </w:t>
      </w:r>
      <w:r w:rsidRPr="00140F03">
        <w:rPr>
          <w:rFonts w:ascii="Arial" w:eastAsia="Times New Roman" w:hAnsi="Arial" w:cs="Arial"/>
          <w:color w:val="000000"/>
          <w:sz w:val="20"/>
          <w:szCs w:val="20"/>
        </w:rPr>
        <w:t>là ngày vận hành thương mại hoặc chính thức tổ máy phát điện cuối cùng và Nhà máy điện được cấp giấy phép hoạt động điện lực trong lĩnh vực phát điện cho tất cả các tổ máy phát điện.</w:t>
      </w:r>
    </w:p>
    <w:p w14:paraId="5F2FA03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15. Nhà máy điện </w:t>
      </w:r>
      <w:r w:rsidRPr="00140F03">
        <w:rPr>
          <w:rFonts w:ascii="Arial" w:eastAsia="Times New Roman" w:hAnsi="Arial" w:cs="Arial"/>
          <w:color w:val="000000"/>
          <w:sz w:val="20"/>
          <w:szCs w:val="20"/>
        </w:rPr>
        <w:t>là Nhà máy điện [</w:t>
      </w:r>
      <w:r w:rsidRPr="00140F03">
        <w:rPr>
          <w:rFonts w:ascii="Arial" w:eastAsia="Times New Roman" w:hAnsi="Arial" w:cs="Arial"/>
          <w:i/>
          <w:iCs/>
          <w:color w:val="000000"/>
          <w:sz w:val="20"/>
          <w:szCs w:val="20"/>
        </w:rPr>
        <w:t>tên Nhà máy điện</w:t>
      </w:r>
      <w:r w:rsidRPr="00140F03">
        <w:rPr>
          <w:rFonts w:ascii="Arial" w:eastAsia="Times New Roman" w:hAnsi="Arial" w:cs="Arial"/>
          <w:color w:val="000000"/>
          <w:sz w:val="20"/>
          <w:szCs w:val="20"/>
        </w:rPr>
        <w:t>] có tổng công suất lắp đặt là […] MW, bao gồm […] tổ máy, công suất mỗi tổ máy là […] MW được xây dựng tại [địa điểm của nhà máy].</w:t>
      </w:r>
    </w:p>
    <w:p w14:paraId="4122FA1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lastRenderedPageBreak/>
        <w:t>16. Quy chuẩn và tiêu chuẩn kỹ thuật ngành điện </w:t>
      </w:r>
      <w:r w:rsidRPr="00140F03">
        <w:rPr>
          <w:rFonts w:ascii="Arial" w:eastAsia="Times New Roman" w:hAnsi="Arial" w:cs="Arial"/>
          <w:color w:val="000000"/>
          <w:sz w:val="20"/>
          <w:szCs w:val="20"/>
        </w:rPr>
        <w:t>là những quy chuẩn kỹ thuật ngành điện bắt buộc thực hiện do cơ quan nhà nước có thẩm quyền của Việt Nam ban hành và các quy định, tiêu chuẩn, thông lệ được áp dụng trong ngành điện của các tổ chức quốc tế, các nước khác ban hành phù hợp với quy định pháp luật Việt Nam.</w:t>
      </w:r>
    </w:p>
    <w:p w14:paraId="75E1D59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17. Thiết bị đấu nối </w:t>
      </w:r>
      <w:r w:rsidRPr="00140F03">
        <w:rPr>
          <w:rFonts w:ascii="Arial" w:eastAsia="Times New Roman" w:hAnsi="Arial" w:cs="Arial"/>
          <w:color w:val="000000"/>
          <w:sz w:val="20"/>
          <w:szCs w:val="20"/>
        </w:rPr>
        <w:t>là đường dây tải điện, hệ thống thiết bị đo đếm, điều khiển, rơ le bảo vệ, thiết bị đóng cắt, hệ thống thông tin liên lạc và công trình xây dựng đồng bộ cho việc đấu nối Nhà máy điện đến Điểm đấu nối.</w:t>
      </w:r>
    </w:p>
    <w:p w14:paraId="73CCF93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i/>
          <w:iCs/>
          <w:color w:val="000000"/>
          <w:sz w:val="20"/>
          <w:szCs w:val="20"/>
        </w:rPr>
        <w:t>18. Thị trường bán buôn điện cạnh tranh </w:t>
      </w:r>
      <w:r w:rsidRPr="00140F03">
        <w:rPr>
          <w:rFonts w:ascii="Arial" w:eastAsia="Times New Roman" w:hAnsi="Arial" w:cs="Arial"/>
          <w:color w:val="000000"/>
          <w:sz w:val="20"/>
          <w:szCs w:val="20"/>
        </w:rPr>
        <w:t>là thị trường điện cấp độ thứ hai quy định tại Điểm b Khoản 1 Điều 18 Luật Điện lực và hoạt động theo Quy định vận hành thị trường bán buôn điện cạnh tranh do Bộ Công Thương ban hành.</w:t>
      </w:r>
    </w:p>
    <w:p w14:paraId="1982C0A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2. Hiệu lực và thời hạn Hợp đồng</w:t>
      </w:r>
    </w:p>
    <w:p w14:paraId="482492C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1. Hiệu lực Hợp đồng</w:t>
      </w:r>
    </w:p>
    <w:p w14:paraId="3E1F3E7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Hợp đồng có hiệu lực từ ngày được đại diện có thẩm quyền của hai bên ký chính thức, trừ trường hợp các bên có thỏa thuận khác.</w:t>
      </w:r>
    </w:p>
    <w:p w14:paraId="4FAC768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2. Thời hạn Hợp đồng</w:t>
      </w:r>
    </w:p>
    <w:p w14:paraId="264D142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Trừ khi gia hạn hoặc chấm dứt Hợp đồng trước thời hạn, thời hạn Hợp đồng được quy định là 25 năm kể từ ngày vận hành chính thức nhà máy điện.</w:t>
      </w:r>
    </w:p>
    <w:p w14:paraId="760C067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3. Mua bán điện năng</w:t>
      </w:r>
    </w:p>
    <w:p w14:paraId="4660262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1. Giá hợp đồng: Quy định tại Mục I Phụ lục III của Hợp đồng.</w:t>
      </w:r>
    </w:p>
    <w:p w14:paraId="71A5290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Hai bên thỏa thuận, thống nhất tiếp tục áp dụng giá cố định bình quân nhiều năm của nhà máy FC (đồng/kWh) sau khi hết thời hạn Hợp đồng đến hết đời sống kinh tế nhà máy điện để làm căn cứ quy định giá điện của nhà máy điện cho các Hợp đồng mua bán điện tiếp theo.</w:t>
      </w:r>
    </w:p>
    <w:p w14:paraId="68247AA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2. Sản lượng hợp đồng: Quy định tại Khoản 3 Mục I Phụ lục III của Hợp đồng.</w:t>
      </w:r>
    </w:p>
    <w:p w14:paraId="5A81B1E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3. Tiền điện thanh toán: Theo quy định thị trường bán buôn điện cạnh tranh.</w:t>
      </w:r>
    </w:p>
    <w:p w14:paraId="3C93D4D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4. Cam kết thực hiện</w:t>
      </w:r>
    </w:p>
    <w:p w14:paraId="0E58629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Hai bên cam kết như sau:</w:t>
      </w:r>
    </w:p>
    <w:p w14:paraId="6FCA2C3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1. Mỗi bên được thành lập hợp pháp để hoạt động theo pháp luật Việt Nam và có đủ thẩm quyền tham gia ký kết và thực hiện Hợp đồng, có đủ năng lực hoạt động kinh doanh, sở hữu tài sản và thực hiện các nghĩa vụ trong Hợp đồng.</w:t>
      </w:r>
    </w:p>
    <w:p w14:paraId="3A0E33A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2. Việc ký kết và thực hiện Hợp đồng của một bên không vi phạm các quy định trong điều lệ doanh nghiệp của bên đó, không vi phạm các quy định của pháp luật và quyết định, bản án của tòa án mà bên đó là đối tượng áp dụng hoặc hợp đồng, thỏa thuận khác mà bên đó là một bên tham gia.</w:t>
      </w:r>
    </w:p>
    <w:p w14:paraId="4DDFB3F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3. Việc ký kết và thực hiện Hợp đồng của các bên được thực hiện đúng theo điều kiện và nội dung của Giấy phép hoạt động điện lực được cơ quan có thẩm quyền cấp và các quy định của pháp luật có liên quan.</w:t>
      </w:r>
    </w:p>
    <w:p w14:paraId="1A086DC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4. Hai bên không phải là đối tượng bị kiện trong vụ kiện tại tòa án hoặc trọng tài thương mại hoặc cơ quan nhà nước có thẩm quyền, mà kết quả của vụ kiện này có thể làm thay đổi đáng kể khả năng tài chính hoặc khả năng thực hiện nghĩa vụ của các bên theo Hợp đồng, hoặc có thể gây ảnh hưởng tới giá trị và hiệu lực của Hợp đồng.</w:t>
      </w:r>
    </w:p>
    <w:p w14:paraId="5067B9E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5. Hai bên cam kết thực hiện đúng các nghĩa vụ và nội dung quy định tại Hợp đồng.</w:t>
      </w:r>
    </w:p>
    <w:p w14:paraId="36542B5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5. Điều độ và vận hành Nhà máy điện</w:t>
      </w:r>
    </w:p>
    <w:p w14:paraId="560E65B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1. Nghĩa vụ đăng ký phương thức huy động</w:t>
      </w:r>
    </w:p>
    <w:p w14:paraId="01610C8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lastRenderedPageBreak/>
        <w:t>Bên bán có nghĩa vụ đăng ký với Đơn vị vận hành hệ thống điện và thị trường điện quốc gia và gửi cho Bên mua bản đăng ký phương thức huy động từng tổ máy của Nhà máy điện theo Quy định về trình tự, thủ tục lập, phê duyệt kế hoạch vận hành hệ thống điện quốc gia do Cục Điều tiết điện lực ban hành, Quy định hệ thống điện truyền tải và Quy trình điều độ hệ thống điện do Bộ Công Thương ban hành, Quy trình phối hợp vận hành giữa Bên bán và Đơn vị vận hành hệ thống điện và thị trường điện.</w:t>
      </w:r>
    </w:p>
    <w:p w14:paraId="032A51D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Vận hành Nhà máy điện</w:t>
      </w:r>
    </w:p>
    <w:p w14:paraId="0993555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Bên bán có trách nhiệm tuân thủ các quy định về điều độ và vận hành Nhà máy điện theo Quy định hệ thống điện truyền tải, Quy định vận hành thị trường bán buôn điện cạnh tranh và Quy trình điều độ hệ thống điện do Bộ Công Thương ban hành; Quy chuẩn và tiêu chuẩn kỹ thuật ngành điện và các văn bản có liên quan khác. Bên bán có nghĩa vụ bảo dưỡng, vận hành các tổ máy của Nhà máy điện theo đặc tính kỹ thuật tại Phụ lục I và Phụ lục II của Hợp đồng;</w:t>
      </w:r>
    </w:p>
    <w:p w14:paraId="743CD51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Bên bán có nghĩa vụ lắp đặt, vận hành và bảo dưỡng các thiết bị để hòa đồng bộ Nhà máy điện với hệ thống điện quốc gia. Bên bán có trách nhiệm tuân thủ Quy định hệ thống điện truyền tải do Bộ Công Thương ban hành, Quy chuẩn và tiêu chuẩn kỹ thuật ngành điện và các quy định về điều độ khi hòa đồng bộ Nhà máy điện với hệ thống điện quốc gia;</w:t>
      </w:r>
    </w:p>
    <w:p w14:paraId="5CC7713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Trường hợp phương thức vận hành hệ thống điện quốc gia đe dọa gây sự cố các thiết bị chính của Nhà máy điện, gây thương tích hoặc thiệt hại về người và thiết bị, Bên bán có quyền tách các tổ máy khỏi Hệ thống điện.</w:t>
      </w:r>
    </w:p>
    <w:p w14:paraId="6A4F7C7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6. Lập hóa đơn và thanh toán</w:t>
      </w:r>
    </w:p>
    <w:p w14:paraId="066786A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1. Lập hóa đơn và thanh toán tiền điện</w:t>
      </w:r>
    </w:p>
    <w:p w14:paraId="4CA573D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Trước ngày 05 hàng tháng, Bên bán gửi thông báo thanh toán tiền điện kèm theo hồ sơ thanh toán của tháng trước liền kề cho Bên mua.</w:t>
      </w:r>
    </w:p>
    <w:p w14:paraId="025990F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Nội dung hồ sơ thanh toán hợp đồng theo quy định thị trường bán buôn điện cạnh tranh.</w:t>
      </w:r>
    </w:p>
    <w:p w14:paraId="411A29D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Trong thời hạn 03 ngày kể từ ngày nhận được hồ sơ thanh toán, Bên mua kiểm tra tính chính xác của hồ sơ thanh toán. Trường hợp phát hiện có sai sót, Bên mua thông báo bằng văn bản cho Bên bán để hoàn chỉnh hồ sơ thanh toán. Sau khi kiểm tra hồ sơ thanh toán, Bên mua gửi thông báo xác nhận hồ sơ thanh toán cho Bên bán;</w:t>
      </w:r>
    </w:p>
    <w:p w14:paraId="23C50BF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Trước ngày 20 hàng tháng, Bên bán phát hành và gửi hóa đơn thanh toán cho Bên mua. Hóa đơn thanh toán được lập theo quy định của Bộ Tài chính;</w:t>
      </w:r>
    </w:p>
    <w:p w14:paraId="59688C7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d) Đến ngày đến hạn thanh toán do hai bên thỏa thuận, Bên mua có nghĩa vụ thanh toán toàn bộ khoản tiền ghi trong hóa đơn thanh toán tiền điện của tháng trước liền kề bằng phương thức chuyển khoản. Phí chuyển khoản do Bên mua chịu;</w:t>
      </w:r>
    </w:p>
    <w:p w14:paraId="1AE1C8F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đ) Trường hợp tại thời điểm phát hành hóa đơn thanh toán mà không có đủ số liệu để lập hóa đơn (bao gồm cả bản kê thanh toán do Đơn vị vận hành hệ thống điện và thị trường điện quốc gia cung cấp), Bên bán có quyền tạm tính tiền điện thanh toán trên cơ sở ước tính hợp lý các số liệu còn thiếu, giá điện tạm tính bằng 80% giá điện Hợp đồng. Khoản tiền thanh toán hiệu chỉnh được bù trừ vào tiền điện thanh toán của tháng có số liệu chính thức.</w:t>
      </w:r>
    </w:p>
    <w:p w14:paraId="62E7586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Tranh chấp trong thanh toán</w:t>
      </w:r>
    </w:p>
    <w:p w14:paraId="6036B1B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Trường hợp không đồng ý với một phần hoặc toàn bộ khoản tiền ghi trong hóa đơn thanh toán, Bên mua phải có thông báo bằng văn bản trước ngày đến hạn thanh toán về khoản tiền ghi trong hóa đơn và lý do không đồng ý. Bên mua có nghĩa vụ thanh toán toàn bộ khoản tiền không tranh chấp trước hoặc trong ngày đến hạn thanh toán;</w:t>
      </w:r>
    </w:p>
    <w:p w14:paraId="2D4BCA7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Trong thời hạn 15 ngày kể từ ngày nhận được thông báo về khoản tiền tranh chấp, Bên bán phải gửi văn bản trả lời chính thức cho Bên mua. Trường hợp hai bên không thống nhất về khoản tiền tranh chấp, một trong hai bên có quyền thực hiện các quy định giải quyết tranh chấp tại Điều 11 của Hợp đồng.</w:t>
      </w:r>
    </w:p>
    <w:p w14:paraId="4FA1FD2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lastRenderedPageBreak/>
        <w:t>Trường hợp tranh chấp phát sinh từ thông tin trong bản kê thanh toán của Đơn vị vận hành hệ thống điện và thị trường điện quốc gia, các bên phải áp dụng các quy định giải quyết tranh chấp trong thị trường điện quy định tại Quy định vận hành thị trường điện do Bộ Công Thương ban hành.</w:t>
      </w:r>
    </w:p>
    <w:p w14:paraId="147ACD6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Trường hợp một bên không có văn bản thông báo tranh chấp về khoản tiền thanh toán trong thời hạn 30 ngày kể từ ngày phát hành hóa đơn thì bên đó được xem là từ bỏ quyền khiếu nại về khoản tiền phải thanh toán trong hóa đơn đã phát hành.</w:t>
      </w:r>
    </w:p>
    <w:p w14:paraId="46263C9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3. Xác định tiền lãi</w:t>
      </w:r>
    </w:p>
    <w:p w14:paraId="43EF165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Việc tính lãi được áp dụng cho:</w:t>
      </w:r>
    </w:p>
    <w:p w14:paraId="4639DFC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Khoản tiền điện hàng tháng chậm trả khi đến hạn thanh toán quy định tại Điểm d Khoản 1 Điều này;</w:t>
      </w:r>
    </w:p>
    <w:p w14:paraId="3549AD2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Khoản tiền phải trả theo quyết định giải quyết tranh chấp quy định tại Điều 11 của Hợp đồng;</w:t>
      </w:r>
    </w:p>
    <w:p w14:paraId="66849A4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Khoản hiệu chỉnh tiền điện phải thanh toán hàng tháng theo quy định tại Điểm đ Khoản 1 Điều này.</w:t>
      </w:r>
    </w:p>
    <w:p w14:paraId="0820030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Tiền lãi được ghép lãi hàng tháng từ ngày ngay sau ngày đến hạn thanh toán đến ngày thanh toán thực tế với lãi suất được tính bằng trung bình của lãi suất tiền gửi bằng đồng Việt Nam vào ngày đến hạn thanh toán tại hóa đơn, kỳ hạn 12 tháng trả sau dành cho khách hàng cá nhân của bốn ngân hàng thương mại gồm Ngân hàng thương mại cổ phần Ngoại thương Việt Nam, Ngân hàng thương mại cổ phần Công thương Việt Nam, Ngân hàng thương mại cổ phần Đầu tư và Phát triển Việt Nam, Ngân hàng Nông nghiệp và phát triển nông thôn Việt Nam hoặc đơn vị kế thừa hợp pháp của các ngân hàng này cộng biên lãi suất 3%/năm.</w:t>
      </w:r>
    </w:p>
    <w:p w14:paraId="4F208D2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4. Bù trừ</w:t>
      </w:r>
    </w:p>
    <w:p w14:paraId="2ED36C0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Các bên có thể bù trừ khoản nợ, các khoản tiền tranh chấp đã được giải quyết, các khoản tiền hiệu chỉnh và tiền lãi vào tiền điện thanh toán hàng tháng khi lập hóa đơn cho tháng thanh toán gần nhất.</w:t>
      </w:r>
    </w:p>
    <w:p w14:paraId="7FE3389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7. Sự kiện ảnh hưởng việc thực hiện Hợp đồng và chế tài áp dụng</w:t>
      </w:r>
    </w:p>
    <w:p w14:paraId="4AFF6EC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1. Các sự kiện ảnh hưởng việc thực hiện Hợp đồng của Bên mua</w:t>
      </w:r>
    </w:p>
    <w:p w14:paraId="44495B1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Các sự kiện liên quan đến giải thể, phá sản của Bên bán gồm:</w:t>
      </w:r>
    </w:p>
    <w:p w14:paraId="4D38BEA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 Bên bán bị giải thể (trừ khi việc giải thể là để sáp nhập hoặc hợp nhất);</w:t>
      </w:r>
    </w:p>
    <w:p w14:paraId="14F5D33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(ii) Bên bán không có khả năng thanh toán các khoản nợ đến hạn;</w:t>
      </w:r>
    </w:p>
    <w:p w14:paraId="35B4F60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(iii) Bên bán thực hiện việc chuyển nhượng hoặc sáp nhập toàn bộ công ty với bên chủ nợ hoặc sáp nhập vì lợi ích của bên chủ nợ;</w:t>
      </w:r>
    </w:p>
    <w:p w14:paraId="7A4FD0A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(iv) Bên bán có quyết định của Tòa án về việc mở thủ tục phá sản đối với Bên bán.</w:t>
      </w:r>
    </w:p>
    <w:p w14:paraId="6304432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Bên bán vi phạm nghiêm trọng các nghĩa vụ theo quy định của Hợp đồng và vi phạm này không được khắc phục trong thời hạn 90 ngày kể từ ngày có thông báo của Bên mua về hành vi vi phạm đó.</w:t>
      </w:r>
    </w:p>
    <w:p w14:paraId="3591EB4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Các sự kiện ảnh hưởng việc thực hiện Hợp đồng của Bên bán</w:t>
      </w:r>
    </w:p>
    <w:p w14:paraId="39FC5CD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Các sự kiện liên quan đến giải thể, phá sản của Bên mua gồm:</w:t>
      </w:r>
    </w:p>
    <w:p w14:paraId="2182474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 Bên mua bị giải thể (trừ khi việc giải thể là để sáp nhập hoặc hợp nhất);</w:t>
      </w:r>
    </w:p>
    <w:p w14:paraId="1DF41CF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(ii) Bên mua không có khả năng thanh toán các khoản nợ đến hạn;</w:t>
      </w:r>
    </w:p>
    <w:p w14:paraId="390925B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(iii) Bên mua thực hiện việc chuyển nhượng hoặc sáp nhập toàn bộ công ty với bên chủ nợ hoặc sáp nhập vì lợi ích của bên chủ nợ;</w:t>
      </w:r>
    </w:p>
    <w:p w14:paraId="2EF80D4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(iv) Bên mua có quyết định của Tòa án về việc mở thủ tục phá sản đối với Bên mua.</w:t>
      </w:r>
    </w:p>
    <w:p w14:paraId="7D235BE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Bên mua vi phạm nghiêm trọng các nghĩa vụ theo quy định Hợp đồng và vi phạm này không được khắc phục trong thời hạn 90 ngày kể từ ngày có thông báo của Bên bán về hành vi vi phạm đó.</w:t>
      </w:r>
    </w:p>
    <w:p w14:paraId="50897C5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8. Chấm dứt và đình chỉ thực hiện Hợp đồng</w:t>
      </w:r>
    </w:p>
    <w:p w14:paraId="4574042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lastRenderedPageBreak/>
        <w:t>1. Chấm dứt Hợp đồng theo thỏa thuận</w:t>
      </w:r>
    </w:p>
    <w:p w14:paraId="0ECF166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Các bên có quyền thỏa thuận bằng văn bản để chấm dứt Hợp đồng trước thời hạn.</w:t>
      </w:r>
    </w:p>
    <w:p w14:paraId="399AE13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Đơn phương chấm dứt Hợp đồng</w:t>
      </w:r>
    </w:p>
    <w:p w14:paraId="05BE70C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Trường hợp xảy ra sự kiện ảnh hưởng việc thực hiện Hợp đồng theo quy định tại Điểm a Khoản 1; Điểm a Khoản 2 Điều 7 của Hợp đồng và sự kiện này kéo dài làm ảnh hưởng tới một bên trong Hợp đồng, bên bị ảnh hưởng có quyền đơn phương chấm dứt Hợp đồng sau 90 ngày kể từ ngày gửi thông báo cho bên kia;</w:t>
      </w:r>
    </w:p>
    <w:p w14:paraId="75F9DA9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Trường hợp xảy ra sự kiện bất khả kháng đối với một bên và sự kiện này kéo dài từ 180 ngày trở lên, bên kia có quyền đơn phương chấm dứt Hợp đồng sau 30 ngày kể từ ngày gửi thông báo;</w:t>
      </w:r>
    </w:p>
    <w:p w14:paraId="0D447BB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Trường hợp xảy ra sự kiện ảnh hưởng việc thực hiện Hợp đồng của một bên theo quy định tại Điểm b Khoản 1, Điểm b Khoản 2 Điều 7 của Hợp đồng, bên bị ảnh hưởng có quyền đơn phương chấm dứt Hợp đồng sau 30 ngày kể từ ngày gửi thông báo.</w:t>
      </w:r>
    </w:p>
    <w:p w14:paraId="174B352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3. Đình chỉ thực hiện Hợp đồng</w:t>
      </w:r>
    </w:p>
    <w:p w14:paraId="3B432E4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Bên mua có quyền đình chỉ thực hiện Hợp đồng, sau khi thông báo cho Bên bán, trong trường hợp Bên bán bị Cục Điều tiết điện lực đình chỉ quyền tham gia Thị trường bán buôn điện cạnh tranh hoặc bị cơ quan có thẩm quyền đình chỉ hoạt động điện lực trong lĩnh vực phát điện. Thời hạn đình chỉ thực hiện Hợp đồng không vượt quá thời hạn đình chỉ quyền tham gia Thị trường bán buôn điện cạnh tranh hoặc thời hạn đình chỉ hoạt động điện lực.</w:t>
      </w:r>
    </w:p>
    <w:p w14:paraId="1B531F1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9. Bồi thường thiệt hại</w:t>
      </w:r>
    </w:p>
    <w:p w14:paraId="5EDD02F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1. Bên vi phạm có trách nhiệm bồi thường thiệt hại do hành vi vi phạm gây ra cho Bên bị vi phạm về những tổn thất, thiệt hại hay các chi phí mà Bên bị vi phạm phải chịu trong quá trình thực hiện các quyền và nghĩa vụ của mình theo Hợp đồng. Cách tính toán giá trị thiệt hại thực hiện theo quy định tại Bộ luật Dân sự.</w:t>
      </w:r>
    </w:p>
    <w:p w14:paraId="5FC75B0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2. Trong trường hợp có yêu cầu bồi thường, Bên được bồi thường thông báo ngay bằng văn bản cho Bên bồi thường xác định tính chất của sự việc yêu cầu được bồi thường. Sự chậm trễ của Bên được bồi thường trong việc gửi thông báo sẽ không ảnh hưởng đến nghĩa vụ bồi thường của Bên bồi thường, trừ trường hợp Bên bồi thường thực sự bị thiệt hại bởi sự chậm trễ thông báo của Bên được bồi thường.</w:t>
      </w:r>
    </w:p>
    <w:p w14:paraId="7DFBF63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10. Các trường hợp miễn trách nhiệm đối với hành vi vi phạm</w:t>
      </w:r>
    </w:p>
    <w:p w14:paraId="462120D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1. Bên vi phạm hợp đồng được miễn trách nhiệm trong các trường hợp sau đây:</w:t>
      </w:r>
    </w:p>
    <w:p w14:paraId="7FF61DB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Xảy ra trường hợp miễn trách nhiệm mà các bên đã thỏa thuận;</w:t>
      </w:r>
    </w:p>
    <w:p w14:paraId="1FDDE89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Hành vi vi phạm của một bên hoàn toàn do lỗi của bên kia;</w:t>
      </w:r>
    </w:p>
    <w:p w14:paraId="1F31BCA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Hành vi vi phạm của một bên do thực hiện quyết định của cơ quan quản lý nhà nước có thẩm quyền mà các bên không thể biết được vào thời điểm giao kết hợp đồng;</w:t>
      </w:r>
    </w:p>
    <w:p w14:paraId="521F48E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d) Xảy ra trường hợp bất khả kháng.</w:t>
      </w:r>
    </w:p>
    <w:p w14:paraId="153CB7E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Bất khả kháng là các sự kiện, các tình huống xảy ra không thể tránh được, ngoài khả năng kiểm soát của một bên làm ngăn cản hoặc gây trì hoãn việc thực hiện một phần hoặc toàn bộ nghĩa vụ theo Hợp đồng của bên đó mặc dù đã thực hiện các biện pháp hợp lý.</w:t>
      </w:r>
    </w:p>
    <w:p w14:paraId="55673D8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Các sự kiện được xem là sự kiện hoặc tình huống bất khả kháng là các sự kiện, tình huống làm cản trở hoặc gây trì hoãn việc thực hiện nghĩa vụ Hợp đồng của các bên với điều kiện các sự kiện và tình huống đó không nằm trong khả năng kiểm soát hợp lý của bên bị ảnh hưởng, không do lỗi hay sự bất cẩn của bên bị ảnh hưởng và bên bị ảnh hưởng vẫn không thể tránh được nếu áp dụng các biện pháp, thông lệ, quy trình, tiêu chuẩn hợp lý, bao gồm nhưng không giới hạn các sự kiện hoặc tình huống sau:</w:t>
      </w:r>
    </w:p>
    <w:p w14:paraId="74AF66F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 Quyết định của tòa án hoặc cơ quan có thẩm quyền ảnh hưởng bất lợi đến khả năng thực hiện nghĩa vụ theo Hợp đồng của một bên;</w:t>
      </w:r>
    </w:p>
    <w:p w14:paraId="080ECBA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lastRenderedPageBreak/>
        <w:t>(ii) Các sự kiện do thiên tai như cháy, nổ, hạn hán, lũ lụt, núi lửa phun trào, động đất, lở đất, triều cường, bão, lốc xoáy, bão lớn hoặc các sự kiện tương tự;</w:t>
      </w:r>
    </w:p>
    <w:p w14:paraId="3AA8AF0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(iii) Bạo động, biểu tình, nổi loạn, phiến loạn, các hoạt động của chiến tranh dù chiến tranh có được tuyên bố hay không, các hoạt động chống đối, khủng bố, phá hoại, cấm vận, phong tỏa, kiểm dịch hoặc các sự kiện tương tự;</w:t>
      </w:r>
    </w:p>
    <w:p w14:paraId="74503B3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(iv) Nhà máy điện hoặc các tài sản của Bên bán bị quốc hữu hóa, tước quyền sở hữu hoặc tịch thu theo quyết định của cơ quan nhà nước có thẩm quyền;</w:t>
      </w:r>
    </w:p>
    <w:p w14:paraId="44FCC7B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(v) Bên bán không được các cơ quan có thẩm quyền cấp các văn bản cho phép, các văn bản phê duyệt cần thiết mặc dù Bên bán đã tuân thủ tất cả các nghĩa vụ được quy định theo pháp luật liên quan đến việc cấp các văn bản cho phép, các văn bản phê duyệt nói trên.</w:t>
      </w:r>
    </w:p>
    <w:p w14:paraId="3086480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Thông báo và và xác nhận trường hợp miễn trách nhiệm</w:t>
      </w:r>
    </w:p>
    <w:p w14:paraId="2A8686F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Bên vi phạm hợp đồng phải thông báo ngay bằng văn bản cho bên kia về trường hợp được miễn trách nhiệm và những hậu quả có thể xảy ra;</w:t>
      </w:r>
    </w:p>
    <w:p w14:paraId="05F3A73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Khi trường hợp miễn trách nhiệm chấm dứt, bên vi phạm hợp đồng phải thông báo ngay cho bên kia biết; nếu bên vi phạm không thông báo hoặc thông báo không kịp thời cho bên kia thì phải bồi thường thiệt hại.</w:t>
      </w:r>
    </w:p>
    <w:p w14:paraId="6F61BBE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Bên vi phạm có nghĩa vụ chứng minh với bên bị vi phạm về trường hợp miễn trách nhiệm của mình.</w:t>
      </w:r>
    </w:p>
    <w:p w14:paraId="137229C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3. Miễn trách nhiệm do sự kiện bất khả kháng, từ chối thực hiện hợp đồng trong trường hợp bất khả kháng</w:t>
      </w:r>
    </w:p>
    <w:p w14:paraId="1DB91B7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Bên vi phạm hợp đồng do sự kiện bất khả kháng có trách nhiệm thường xuyên cung cấp các báo cáo cho bên kia về quá trình thực hiện các biện pháp khắc phục sự kiện bất khả kháng hoặc các thông tin khác theo yêu cầu hợp lý của bên kia để chứng minh việc viện dẫn sự kiện bất khả kháng; thông báo cho bên kia về thời điểm kết thúc sự kiện bất khả kháng trong thời hạn 48 giờ từ thời điểm kết thúc, trừ trường hợp mất thông tin liên lạc;</w:t>
      </w:r>
    </w:p>
    <w:p w14:paraId="6160A21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Bên bị ảnh hưởng bởi sự kiện bất khả kháng chỉ được miễn trách nhiệm liên quan tới việc không thực hiện hoặc chậm trễ thực hiện các nghĩa vụ theo Hợp đồng do sự kiện bất khả kháng gây ra sau khi đã có thông báo và thực hiện trách nhiệm khắc phục theo quy định tại Điểm a Khoản này;</w:t>
      </w:r>
    </w:p>
    <w:p w14:paraId="5336323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 Trong trường hợp bất khả kháng, nếu một bên bị cản trở thực hiện nghĩa vụ theo Hợp đồng trong thời hạn 180 ngày hoặc trong thời hạn dài hơn, một trong hai bên có quyền đơn phương chấm dứt Hợp đồng theo quy định tại Điểm b Khoản 2 Điều 10 của Hợp đồng.</w:t>
      </w:r>
    </w:p>
    <w:p w14:paraId="6131C2E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11. Giải quyết tranh chấp</w:t>
      </w:r>
    </w:p>
    <w:p w14:paraId="4D0FA822" w14:textId="77777777" w:rsidR="00140F03" w:rsidRPr="00140F03" w:rsidRDefault="00140F03" w:rsidP="004A7C7E">
      <w:pPr>
        <w:shd w:val="clear" w:color="auto" w:fill="FFFFFF"/>
        <w:spacing w:after="120" w:line="234" w:lineRule="atLeast"/>
        <w:jc w:val="both"/>
        <w:rPr>
          <w:rFonts w:ascii="Arial" w:eastAsia="Times New Roman" w:hAnsi="Arial" w:cs="Arial"/>
          <w:color w:val="000000"/>
          <w:sz w:val="18"/>
          <w:szCs w:val="18"/>
        </w:rPr>
      </w:pPr>
      <w:r w:rsidRPr="00140F03">
        <w:rPr>
          <w:rFonts w:ascii="Arial" w:eastAsia="Times New Roman" w:hAnsi="Arial" w:cs="Arial"/>
          <w:color w:val="000000"/>
          <w:sz w:val="20"/>
          <w:szCs w:val="20"/>
          <w:lang w:val="fr-FR"/>
        </w:rPr>
        <w:t>1. Trường hợp xảy ra tranh chấp giữa các bên trong Hợp đồng, bên tranh chấp phải thông báo bằng văn bản cho bên kia về nội dung tranh chấp. Các bên có trách nhiệm trao đổi để giải quyết tranh chấp trong thời hạn 60 ngày kể từ ngày có thông báo của bên đưa ra tranh chấp. Đối với các tranh chấp về thanh toán các khoản chi phí, các bên có trách nhiệm trao đổi trong thời hạn 15 ngày. Các bên có quyền thỏa thuận bằng văn bản về việc kéo dài thời hạn trao đổi để giải quyết tranh chấp.</w:t>
      </w:r>
    </w:p>
    <w:p w14:paraId="6C92E03D" w14:textId="67FC41C3" w:rsidR="00F834A8" w:rsidRPr="003F6844" w:rsidRDefault="00140F03" w:rsidP="004A7C7E">
      <w:pPr>
        <w:shd w:val="clear" w:color="auto" w:fill="FFFFFF"/>
        <w:spacing w:after="120" w:line="234" w:lineRule="atLeast"/>
        <w:jc w:val="both"/>
        <w:rPr>
          <w:rFonts w:ascii="Times New Roman" w:hAnsi="Times New Roman" w:cs="Times New Roman"/>
          <w:sz w:val="24"/>
          <w:szCs w:val="24"/>
        </w:rPr>
      </w:pPr>
      <w:r w:rsidRPr="00140F03">
        <w:rPr>
          <w:rFonts w:ascii="Arial" w:eastAsia="Times New Roman" w:hAnsi="Arial" w:cs="Arial"/>
          <w:color w:val="000000"/>
          <w:sz w:val="20"/>
          <w:szCs w:val="20"/>
          <w:lang w:val="fr-FR"/>
        </w:rPr>
        <w:t xml:space="preserve">2. Trường hợp hai bên không thể giải quyết tranh chấp thông qua trao đổi trong thời hạn quy định tại Khoản 1 Điều này, hai bên thống nhất chuyển vụ việc tranh chấp đến Cục Điều tiết điện lực hoặc </w:t>
      </w:r>
      <w:r w:rsidR="00F834A8">
        <w:rPr>
          <w:rFonts w:ascii="Times New Roman" w:hAnsi="Times New Roman" w:cs="Times New Roman"/>
          <w:sz w:val="24"/>
          <w:szCs w:val="24"/>
        </w:rPr>
        <w:t>C</w:t>
      </w:r>
      <w:r w:rsidR="00F834A8" w:rsidRPr="003F6844">
        <w:rPr>
          <w:rFonts w:ascii="Times New Roman" w:hAnsi="Times New Roman" w:cs="Times New Roman"/>
          <w:sz w:val="24"/>
          <w:szCs w:val="24"/>
        </w:rPr>
        <w:t>ác bên tiến hành giải quyết tranh chấp tại Trung tâm trọng tài thương mại Miền Trung (MCAC) theo Quy tắc Tố tụng Trọng tài của Trung tâm này. Chi phí Trọng tài, bao gồm chi phí Luật sư do bên thua kiện chịu.</w:t>
      </w:r>
    </w:p>
    <w:p w14:paraId="4BABA69B" w14:textId="77777777" w:rsidR="00F834A8" w:rsidRDefault="00F834A8" w:rsidP="00140F03">
      <w:pPr>
        <w:shd w:val="clear" w:color="auto" w:fill="FFFFFF"/>
        <w:spacing w:after="120" w:line="234" w:lineRule="atLeast"/>
        <w:rPr>
          <w:rFonts w:ascii="Arial" w:eastAsia="Times New Roman" w:hAnsi="Arial" w:cs="Arial"/>
          <w:color w:val="000000"/>
          <w:sz w:val="20"/>
          <w:szCs w:val="20"/>
          <w:lang w:val="fr-FR"/>
        </w:rPr>
      </w:pPr>
    </w:p>
    <w:p w14:paraId="0245621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12. Giai đoạn chuyển tiếp sang thị trường bán lẻ cạnh tranh</w:t>
      </w:r>
    </w:p>
    <w:p w14:paraId="3AD0120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lastRenderedPageBreak/>
        <w:t>Trong thời hạn Hợp đồng, trường hợp Thị trường bán buôn cạnh tranh được thay thế bằng thị trường bán lẻ cạnh tranh hoặc loại hình thị trường khác do cơ quan nhà nước có thẩm quyền quyết định, các bên có nghĩa vụ đàm phán để sửa đổi hoặc thay thế Hợp đồng này phù hợp với cấu trúc thị trường điện mới với điều kiện giá trị kinh tế của Hợp đồng đối với các bên không bị ảnh hưởng.</w:t>
      </w:r>
    </w:p>
    <w:p w14:paraId="5B4F4C1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13. Lưu giữ hồ sơ và cung cấp thông tin</w:t>
      </w:r>
    </w:p>
    <w:p w14:paraId="0C26E0C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1. Lưu giữ hồ sơ</w:t>
      </w:r>
    </w:p>
    <w:p w14:paraId="4A8A04A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Các bên có nghĩa vụ lưu giữ các hồ sơ, dữ liệu, tài liệu hoặc các thông tin cần thiết để xác minh tính chính xác của hóa đơn, các loại giá hoặc các tính toán theo Hợp đồng hoặc để xác minh các bên đã tuân thủ các nội dung của Hợp đồng.</w:t>
      </w:r>
    </w:p>
    <w:p w14:paraId="2BE0D2F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Cung cấp thông tin</w:t>
      </w:r>
    </w:p>
    <w:p w14:paraId="6B09D08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Mỗi bên có trách nhiệm cung cấp số liệu, tài liệu hoặc các chứng từ cần thiết trong mức độ hợp lý cho bên kia để xác minh tính chính xác của các hóa đơn thanh toán, cách tính giá hoặc các tính toán theo Hợp đồng hoặc để xác minh các bên đã tuân thủ các nội dung của Hợp đồng.</w:t>
      </w:r>
    </w:p>
    <w:p w14:paraId="7290B3F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14. Các chi phí khác</w:t>
      </w:r>
    </w:p>
    <w:p w14:paraId="3455C38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Mỗi bên có trách nhiệm nộp các khoản thuế và phí hoặc thanh toán các khoản nợ phát sinh của mình khi thực hiện Hợp đồng. Hai bên thống nhất Hợp đồng này không bao gồm chi phí truyền tải điện, chi phí phân phối điện, chi phí đấu nối hoặc các chi phí tương tự khác và mỗi bên phải có trách nhiệm thanh toán các loại chi phí đó theo quy định hiện hành.</w:t>
      </w:r>
    </w:p>
    <w:p w14:paraId="593C05E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Điều 15. Đại diện có thẩm quyền và trao đổi thông tin</w:t>
      </w:r>
    </w:p>
    <w:p w14:paraId="6EBBA7F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1. Đại diện có thẩm quyền</w:t>
      </w:r>
    </w:p>
    <w:p w14:paraId="302887C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Đại diện có thẩm quyền của hai bên trong Hợp đồng là:</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68"/>
        <w:gridCol w:w="4268"/>
      </w:tblGrid>
      <w:tr w:rsidR="00140F03" w:rsidRPr="00140F03" w14:paraId="50F6DFA0" w14:textId="77777777" w:rsidTr="00140F03">
        <w:trPr>
          <w:tblCellSpacing w:w="0" w:type="dxa"/>
        </w:trPr>
        <w:tc>
          <w:tcPr>
            <w:tcW w:w="4268" w:type="dxa"/>
            <w:shd w:val="clear" w:color="auto" w:fill="FFFFFF"/>
            <w:tcMar>
              <w:top w:w="0" w:type="dxa"/>
              <w:left w:w="108" w:type="dxa"/>
              <w:bottom w:w="0" w:type="dxa"/>
              <w:right w:w="108" w:type="dxa"/>
            </w:tcMar>
            <w:hideMark/>
          </w:tcPr>
          <w:p w14:paraId="1DEDA24E"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Bên bán:</w:t>
            </w:r>
          </w:p>
          <w:p w14:paraId="407848FA"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_______________________</w:t>
            </w:r>
          </w:p>
          <w:p w14:paraId="619472F7"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_______________________</w:t>
            </w:r>
          </w:p>
        </w:tc>
        <w:tc>
          <w:tcPr>
            <w:tcW w:w="4268" w:type="dxa"/>
            <w:shd w:val="clear" w:color="auto" w:fill="FFFFFF"/>
            <w:tcMar>
              <w:top w:w="0" w:type="dxa"/>
              <w:left w:w="108" w:type="dxa"/>
              <w:bottom w:w="0" w:type="dxa"/>
              <w:right w:w="108" w:type="dxa"/>
            </w:tcMar>
            <w:hideMark/>
          </w:tcPr>
          <w:p w14:paraId="170B46E6"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Bên mua:</w:t>
            </w:r>
          </w:p>
          <w:p w14:paraId="26AB9EE0"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_______________________</w:t>
            </w:r>
          </w:p>
          <w:p w14:paraId="20FACF7E"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_______________________</w:t>
            </w:r>
          </w:p>
        </w:tc>
      </w:tr>
    </w:tbl>
    <w:p w14:paraId="29EDE89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Trao đổi thông tin</w:t>
      </w:r>
    </w:p>
    <w:p w14:paraId="2700150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 Các thông báo, hóa đơn hoặc các trao đổi thông tin cần thiết khác trong quá trình thực hiện Hợp đồng phải được lập thành văn bản, nêu rõ ngày lập, sự liên quan đến Hợp đồng. Trường hợp gửi bằng fax thì phải gửi bản gốc đến sau bằng dịch vụ bưu điện với bưu phí đã được trả trước. Thông báo, hóa đơn hoặc các trao đổi thông tin phải được gửi theo các địa chỉ sau:</w:t>
      </w:r>
    </w:p>
    <w:p w14:paraId="4932E41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i/>
          <w:iCs/>
          <w:color w:val="000000"/>
          <w:sz w:val="20"/>
          <w:szCs w:val="20"/>
          <w:lang w:val="fr-FR"/>
        </w:rPr>
        <w:t>Bên bán</w:t>
      </w:r>
      <w:r w:rsidRPr="00140F03">
        <w:rPr>
          <w:rFonts w:ascii="Arial" w:eastAsia="Times New Roman" w:hAnsi="Arial" w:cs="Arial"/>
          <w:color w:val="000000"/>
          <w:sz w:val="20"/>
          <w:szCs w:val="20"/>
          <w:lang w:val="fr-FR"/>
        </w:rPr>
        <w:t>: ______________________________</w:t>
      </w:r>
    </w:p>
    <w:p w14:paraId="4066061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              _______________________________</w:t>
      </w:r>
    </w:p>
    <w:p w14:paraId="2503E31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i/>
          <w:iCs/>
          <w:color w:val="000000"/>
          <w:sz w:val="20"/>
          <w:szCs w:val="20"/>
          <w:lang w:val="fr-FR"/>
        </w:rPr>
        <w:t>Bên mua</w:t>
      </w:r>
      <w:r w:rsidRPr="00140F03">
        <w:rPr>
          <w:rFonts w:ascii="Arial" w:eastAsia="Times New Roman" w:hAnsi="Arial" w:cs="Arial"/>
          <w:color w:val="000000"/>
          <w:sz w:val="20"/>
          <w:szCs w:val="20"/>
          <w:lang w:val="fr-FR"/>
        </w:rPr>
        <w:t>: ______________________________</w:t>
      </w:r>
    </w:p>
    <w:p w14:paraId="212AC6B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              _______________________________</w:t>
      </w:r>
    </w:p>
    <w:p w14:paraId="01151AA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b) Thông báo, hóa đơn hoặc các trao đổi thông tin khác được gửi theo các hình thức quy định tại Điểm a Khoản này được xem là đã được giao và nhận tại thời điểm:</w:t>
      </w:r>
    </w:p>
    <w:p w14:paraId="21ACC59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(i) Khi giao, trong trường hợp giao tận tay hoặc:</w:t>
      </w:r>
    </w:p>
    <w:p w14:paraId="7C25504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(ii) Khi ký nhận thư bảo đảm, trong trường hợp gửi bằng thư bảo đảm; hoặc:</w:t>
      </w:r>
    </w:p>
    <w:p w14:paraId="3E84B28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(iii) Tại thời điểm thực tế nhận được fax, trong trường hợp truyền bằng fax, với điều kiện là người gửi đã nhận được xác nhận việc truyền không bị lỗi hoặc:</w:t>
      </w:r>
    </w:p>
    <w:p w14:paraId="03C0DBD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(iv) Tại thời điểm văn thư của cơ quan xác nhận công văn đến, trong trường hợp gửi bằng thư thường.</w:t>
      </w:r>
    </w:p>
    <w:p w14:paraId="18BEFDA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16. Bảo mật thông tin</w:t>
      </w:r>
    </w:p>
    <w:p w14:paraId="7214F59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lastRenderedPageBreak/>
        <w:t>Mỗi bên có nghĩa vụ bảo mật thông tin, tài liệu do bên kia cung cấp theo Hợp đồng và không công bố, công khai hay sử dụng các tài liệu, thông tin đó cho các mục đích khác ngoài mục đích thực hiện nghĩa vụ của bên đó theo Hợp đồng, trừ các trường hợp:</w:t>
      </w:r>
    </w:p>
    <w:p w14:paraId="291F3FA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1. Công bố hoặc sử dụng các thông tin, tài liệu theo quy định của pháp luật.</w:t>
      </w:r>
    </w:p>
    <w:p w14:paraId="2ED8FB4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2. Các tài liệu, thông tin được yêu cầu cung cấp cho các cơ quan có thẩm quyền.</w:t>
      </w:r>
    </w:p>
    <w:p w14:paraId="552D7D7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3. Các tài liệu, thông tin đó đã được công bố công khai không phải từ các bên trong Hợp đồng.</w:t>
      </w:r>
    </w:p>
    <w:p w14:paraId="4D32CC1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Điều 17. Các thỏa thuận khác</w:t>
      </w:r>
    </w:p>
    <w:p w14:paraId="30CC7F5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1. Sửa đổi, bổ sung Hợp đồng</w:t>
      </w:r>
    </w:p>
    <w:p w14:paraId="303E4FE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Mọi sửa đổi, bổ sung Hợp đồng phải được các bên thỏa thuận bằng văn bản và được Cục Điều tiết điện lực kiểm tra, có ý kiến bằng văn bản.</w:t>
      </w:r>
    </w:p>
    <w:p w14:paraId="618B165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2. Hợp đồng hoàn chỉnh</w:t>
      </w:r>
    </w:p>
    <w:p w14:paraId="2FE5233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Hợp đồng này là thỏa thuận hoàn chỉnh cuối cùng giữa các bên tham gia và thay thế các nội dung đã thảo luận, thông tin, thư tín trao đổi liên quan trước khi ký kết Hợp đồng.</w:t>
      </w:r>
    </w:p>
    <w:p w14:paraId="0485728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3. Bên thứ ba</w:t>
      </w:r>
    </w:p>
    <w:p w14:paraId="0E87E56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Hợp đồng này chỉ phục vụ cho lợi ích của hai bên và không tạo ra quyền lợi hay nghĩa vụ cho bên thứ ba.</w:t>
      </w:r>
    </w:p>
    <w:p w14:paraId="0E77C4D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4. Không liên doanh</w:t>
      </w:r>
    </w:p>
    <w:p w14:paraId="23C7E0C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Hợp đồng này không phải hợp đồng liên doanh, liên kết giữa các bên hay áp đặt nghĩa vụ hoặc trách nhiệm pháp lý mang tính chất liên doanh, liên kết lên một trong hai bên. Không bên nào có quyền tham gia ký kết hợp đồng hoặc thay mặt bên kia với vai trò là một đại lý hoặc người đại diện để thực hiện các nghĩa vụ với bên kia.</w:t>
      </w:r>
    </w:p>
    <w:p w14:paraId="4605DB6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5. Từ bỏ thực hiện quyền</w:t>
      </w:r>
    </w:p>
    <w:p w14:paraId="69BEB3F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Việc từ bỏ thực hiện quyền theo Hợp đồng của một bên phải được lập thành văn bản và do đại diện có thẩm quyền của bên đó ký. Việc không thực hiện hay chậm trễ thực hiện quyền của bất kỳ bên nào theo Hợp đồng này sẽ không được hiểu là sự từ bỏ các quyền đó.</w:t>
      </w:r>
    </w:p>
    <w:p w14:paraId="540BEC3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6. Thực hiện nghĩa vụ còn lại</w:t>
      </w:r>
    </w:p>
    <w:p w14:paraId="6872DF9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Việc hủy bỏ, chấm dứt hoặc hết thời hạn Hợp đồng không làm chấm dứt thực hiện nghĩa vụ còn lại của các bên theo Hợp đồng.</w:t>
      </w:r>
    </w:p>
    <w:p w14:paraId="19F962C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7. Luật áp dụng</w:t>
      </w:r>
    </w:p>
    <w:p w14:paraId="0F4E3BF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Việc giải thích và thực hiện Hợp đồng này được thực hiện theo quy định của pháp luật Việt Nam.</w:t>
      </w:r>
    </w:p>
    <w:p w14:paraId="4760236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8. Tính độc lập của các nội dung Hợp đồng</w:t>
      </w:r>
    </w:p>
    <w:p w14:paraId="4E3A7BE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Trường hợp một phần nội dung trong Hợp đồng không phù hợp với quy định của pháp luật hoặc vô hiệu theo quyết định của cơ quan nhà nước có thẩm quyền thì các nội dung khác của Hợp đồng vẫn có hiệu lực nếu phần còn lại thể hiện đầy đủ nội dung mà không liên quan tới phần bị vô hiệu.</w:t>
      </w:r>
    </w:p>
    <w:p w14:paraId="34B15A0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Hợp đồng được lập thành 09 bản có giá trị như nhau, mỗi bên giữ 04 bản. Bên bán có trách nhiệm gửi 01 bản tới Cục Điều tiết điện lực.</w:t>
      </w:r>
    </w:p>
    <w:p w14:paraId="12D7FFC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68"/>
        <w:gridCol w:w="4268"/>
      </w:tblGrid>
      <w:tr w:rsidR="00140F03" w:rsidRPr="00140F03" w14:paraId="1B961D56" w14:textId="77777777" w:rsidTr="00140F03">
        <w:trPr>
          <w:tblCellSpacing w:w="0" w:type="dxa"/>
        </w:trPr>
        <w:tc>
          <w:tcPr>
            <w:tcW w:w="4268" w:type="dxa"/>
            <w:shd w:val="clear" w:color="auto" w:fill="FFFFFF"/>
            <w:tcMar>
              <w:top w:w="0" w:type="dxa"/>
              <w:left w:w="108" w:type="dxa"/>
              <w:bottom w:w="0" w:type="dxa"/>
              <w:right w:w="108" w:type="dxa"/>
            </w:tcMar>
            <w:hideMark/>
          </w:tcPr>
          <w:p w14:paraId="037C86CF"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ĐẠI DIỆN BÊN MUA</w:t>
            </w:r>
            <w:r w:rsidRPr="00140F03">
              <w:rPr>
                <w:rFonts w:ascii="Arial" w:eastAsia="Times New Roman" w:hAnsi="Arial" w:cs="Arial"/>
                <w:color w:val="000000"/>
                <w:sz w:val="20"/>
                <w:szCs w:val="20"/>
              </w:rPr>
              <w:br/>
            </w:r>
            <w:r w:rsidRPr="00140F03">
              <w:rPr>
                <w:rFonts w:ascii="Arial" w:eastAsia="Times New Roman" w:hAnsi="Arial" w:cs="Arial"/>
                <w:i/>
                <w:iCs/>
                <w:color w:val="000000"/>
                <w:sz w:val="20"/>
                <w:szCs w:val="20"/>
              </w:rPr>
              <w:t>(Chức danh)</w:t>
            </w:r>
            <w:r w:rsidRPr="00140F03">
              <w:rPr>
                <w:rFonts w:ascii="Arial" w:eastAsia="Times New Roman" w:hAnsi="Arial" w:cs="Arial"/>
                <w:i/>
                <w:iCs/>
                <w:color w:val="000000"/>
                <w:sz w:val="20"/>
                <w:szCs w:val="20"/>
              </w:rPr>
              <w:br/>
            </w:r>
            <w:r w:rsidRPr="00140F03">
              <w:rPr>
                <w:rFonts w:ascii="Arial" w:eastAsia="Times New Roman" w:hAnsi="Arial" w:cs="Arial"/>
                <w:i/>
                <w:iCs/>
                <w:color w:val="000000"/>
                <w:sz w:val="20"/>
                <w:szCs w:val="20"/>
              </w:rPr>
              <w:br/>
              <w:t>(Đóng dấu và chữ ký)</w:t>
            </w:r>
            <w:r w:rsidRPr="00140F03">
              <w:rPr>
                <w:rFonts w:ascii="Arial" w:eastAsia="Times New Roman" w:hAnsi="Arial" w:cs="Arial"/>
                <w:i/>
                <w:iCs/>
                <w:color w:val="000000"/>
                <w:sz w:val="20"/>
                <w:szCs w:val="20"/>
              </w:rPr>
              <w:br/>
            </w:r>
            <w:r w:rsidRPr="00140F03">
              <w:rPr>
                <w:rFonts w:ascii="Arial" w:eastAsia="Times New Roman" w:hAnsi="Arial" w:cs="Arial"/>
                <w:i/>
                <w:iCs/>
                <w:color w:val="000000"/>
                <w:sz w:val="20"/>
                <w:szCs w:val="20"/>
              </w:rPr>
              <w:lastRenderedPageBreak/>
              <w:br/>
              <w:t>(Họ tên đầy đủ)</w:t>
            </w:r>
          </w:p>
        </w:tc>
        <w:tc>
          <w:tcPr>
            <w:tcW w:w="4268" w:type="dxa"/>
            <w:shd w:val="clear" w:color="auto" w:fill="FFFFFF"/>
            <w:tcMar>
              <w:top w:w="0" w:type="dxa"/>
              <w:left w:w="108" w:type="dxa"/>
              <w:bottom w:w="0" w:type="dxa"/>
              <w:right w:w="108" w:type="dxa"/>
            </w:tcMar>
            <w:hideMark/>
          </w:tcPr>
          <w:p w14:paraId="5B4C5CEF"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lastRenderedPageBreak/>
              <w:t>ĐẠI DIỆN BÊN BÁN</w:t>
            </w:r>
            <w:r w:rsidRPr="00140F03">
              <w:rPr>
                <w:rFonts w:ascii="Arial" w:eastAsia="Times New Roman" w:hAnsi="Arial" w:cs="Arial"/>
                <w:color w:val="000000"/>
                <w:sz w:val="20"/>
                <w:szCs w:val="20"/>
              </w:rPr>
              <w:br/>
            </w:r>
            <w:r w:rsidRPr="00140F03">
              <w:rPr>
                <w:rFonts w:ascii="Arial" w:eastAsia="Times New Roman" w:hAnsi="Arial" w:cs="Arial"/>
                <w:i/>
                <w:iCs/>
                <w:color w:val="000000"/>
                <w:sz w:val="20"/>
                <w:szCs w:val="20"/>
              </w:rPr>
              <w:t>(Chức danh)</w:t>
            </w:r>
            <w:r w:rsidRPr="00140F03">
              <w:rPr>
                <w:rFonts w:ascii="Arial" w:eastAsia="Times New Roman" w:hAnsi="Arial" w:cs="Arial"/>
                <w:i/>
                <w:iCs/>
                <w:color w:val="000000"/>
                <w:sz w:val="20"/>
                <w:szCs w:val="20"/>
              </w:rPr>
              <w:br/>
            </w:r>
            <w:r w:rsidRPr="00140F03">
              <w:rPr>
                <w:rFonts w:ascii="Arial" w:eastAsia="Times New Roman" w:hAnsi="Arial" w:cs="Arial"/>
                <w:i/>
                <w:iCs/>
                <w:color w:val="000000"/>
                <w:sz w:val="20"/>
                <w:szCs w:val="20"/>
              </w:rPr>
              <w:br/>
              <w:t>(Đóng dấu và chữ ký)</w:t>
            </w:r>
            <w:r w:rsidRPr="00140F03">
              <w:rPr>
                <w:rFonts w:ascii="Arial" w:eastAsia="Times New Roman" w:hAnsi="Arial" w:cs="Arial"/>
                <w:i/>
                <w:iCs/>
                <w:color w:val="000000"/>
                <w:sz w:val="20"/>
                <w:szCs w:val="20"/>
              </w:rPr>
              <w:br/>
            </w:r>
            <w:r w:rsidRPr="00140F03">
              <w:rPr>
                <w:rFonts w:ascii="Arial" w:eastAsia="Times New Roman" w:hAnsi="Arial" w:cs="Arial"/>
                <w:i/>
                <w:iCs/>
                <w:color w:val="000000"/>
                <w:sz w:val="20"/>
                <w:szCs w:val="20"/>
              </w:rPr>
              <w:lastRenderedPageBreak/>
              <w:br/>
              <w:t>(Họ tên đầy đủ)</w:t>
            </w:r>
          </w:p>
        </w:tc>
      </w:tr>
    </w:tbl>
    <w:p w14:paraId="68F01DE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lastRenderedPageBreak/>
        <w:t> </w:t>
      </w:r>
    </w:p>
    <w:p w14:paraId="5EB8AA9E" w14:textId="77777777" w:rsidR="00140F03" w:rsidRPr="00140F03" w:rsidRDefault="00140F03" w:rsidP="00140F03">
      <w:pPr>
        <w:shd w:val="clear" w:color="auto" w:fill="FFFFFF"/>
        <w:spacing w:after="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18"/>
          <w:szCs w:val="18"/>
        </w:rPr>
        <w:t>PHỤ LỤC I</w:t>
      </w:r>
    </w:p>
    <w:p w14:paraId="6D765EF7" w14:textId="77777777" w:rsidR="00140F03" w:rsidRPr="00140F03" w:rsidRDefault="00140F03" w:rsidP="00140F03">
      <w:pPr>
        <w:shd w:val="clear" w:color="auto" w:fill="FFFFFF"/>
        <w:spacing w:after="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CÁC THÔNG SỐ CHÍNH CỦA NHÀ MÁY ĐIỆN</w:t>
      </w:r>
      <w:r w:rsidRPr="00140F03">
        <w:rPr>
          <w:rFonts w:ascii="Arial" w:eastAsia="Times New Roman" w:hAnsi="Arial" w:cs="Arial"/>
          <w:color w:val="000000"/>
          <w:sz w:val="20"/>
          <w:szCs w:val="20"/>
        </w:rPr>
        <w:br/>
      </w:r>
      <w:r w:rsidRPr="00140F03">
        <w:rPr>
          <w:rFonts w:ascii="Arial" w:eastAsia="Times New Roman" w:hAnsi="Arial" w:cs="Arial"/>
          <w:i/>
          <w:iCs/>
          <w:color w:val="000000"/>
          <w:sz w:val="20"/>
          <w:szCs w:val="20"/>
        </w:rPr>
        <w:t>(Kèm theo Hợp đồng số …ngày … tháng … năm…)</w:t>
      </w:r>
    </w:p>
    <w:p w14:paraId="71261553"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i/>
          <w:iCs/>
          <w:color w:val="000000"/>
          <w:sz w:val="20"/>
          <w:szCs w:val="20"/>
        </w:rPr>
        <w:t>Bao gồm các mô tả, biểu đồ và đặc điểm kỹ thuật của Nhà máy điện</w:t>
      </w:r>
    </w:p>
    <w:p w14:paraId="5D0D0B0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1. Tuabin</w:t>
      </w:r>
    </w:p>
    <w:p w14:paraId="586E2CA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Số lượng</w:t>
      </w:r>
    </w:p>
    <w:p w14:paraId="15B47D6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Loại</w:t>
      </w:r>
    </w:p>
    <w:p w14:paraId="483AC33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 Nhà sản xuất</w:t>
      </w:r>
    </w:p>
    <w:p w14:paraId="1160BC3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2. Máy phát điện</w:t>
      </w:r>
    </w:p>
    <w:p w14:paraId="4720BD7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Số lượng</w:t>
      </w:r>
    </w:p>
    <w:p w14:paraId="4E11E01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Loại</w:t>
      </w:r>
    </w:p>
    <w:p w14:paraId="1ECDB17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 Công suất tổ máy (MVA)</w:t>
      </w:r>
    </w:p>
    <w:p w14:paraId="541EBC8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d) Điện áp phát (kV)</w:t>
      </w:r>
    </w:p>
    <w:p w14:paraId="3A34A3F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 Cosφ</w:t>
      </w:r>
    </w:p>
    <w:p w14:paraId="1083622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e) Số vòng quay (vòng/phút)</w:t>
      </w:r>
    </w:p>
    <w:p w14:paraId="1B5810D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g) Tần số</w:t>
      </w:r>
    </w:p>
    <w:p w14:paraId="1C8B9A5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 Nhà cung cấp</w:t>
      </w:r>
    </w:p>
    <w:p w14:paraId="32ACF451"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3. Máy biến áp</w:t>
      </w:r>
    </w:p>
    <w:p w14:paraId="302592C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Số lượng</w:t>
      </w:r>
    </w:p>
    <w:p w14:paraId="2C7DB85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Công suất (MVA)</w:t>
      </w:r>
    </w:p>
    <w:p w14:paraId="6E158A5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 Tỷ số biến</w:t>
      </w:r>
    </w:p>
    <w:p w14:paraId="4B6A0AC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d) Sơ đồ đấu dây</w:t>
      </w:r>
    </w:p>
    <w:p w14:paraId="3E2CF51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 Điện áp ngắn mạch Uk</w:t>
      </w:r>
    </w:p>
    <w:p w14:paraId="5DC29FE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e) Loại (Mô tả đặc tính kỹ thuật MBA)</w:t>
      </w:r>
    </w:p>
    <w:p w14:paraId="0E7C93F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4. Hệ thống điều tốc, hệ thống kích từ</w:t>
      </w:r>
    </w:p>
    <w:p w14:paraId="5C45560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5. Thiết bị phân phối, đóng ngắt điện</w:t>
      </w:r>
    </w:p>
    <w:p w14:paraId="6B02289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Máy cắt …. kV</w:t>
      </w:r>
    </w:p>
    <w:p w14:paraId="4CDB8E0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Số lượng</w:t>
      </w:r>
    </w:p>
    <w:p w14:paraId="1DE4A1D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Chủng loại</w:t>
      </w:r>
    </w:p>
    <w:p w14:paraId="6721CC9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Dao cách ly …... kV</w:t>
      </w:r>
    </w:p>
    <w:p w14:paraId="16B3612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Số lượng</w:t>
      </w:r>
    </w:p>
    <w:p w14:paraId="7AA2DEE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Chủng loại</w:t>
      </w:r>
    </w:p>
    <w:p w14:paraId="554DED3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 Máy biến dòng điện ….... kV</w:t>
      </w:r>
    </w:p>
    <w:p w14:paraId="2991C10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Số lượng</w:t>
      </w:r>
    </w:p>
    <w:p w14:paraId="57A6FAE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lastRenderedPageBreak/>
        <w:t>- Chủng loại</w:t>
      </w:r>
    </w:p>
    <w:p w14:paraId="3BF4C6E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d) Máy biến điện áp ….... kV</w:t>
      </w:r>
    </w:p>
    <w:p w14:paraId="387ED12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Số lượng</w:t>
      </w:r>
    </w:p>
    <w:p w14:paraId="742B759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Chủng loại</w:t>
      </w:r>
    </w:p>
    <w:p w14:paraId="424B6F0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 Chống sét van........ kV</w:t>
      </w:r>
    </w:p>
    <w:p w14:paraId="62EE867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Số lượng</w:t>
      </w:r>
    </w:p>
    <w:p w14:paraId="73A8EB1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Chủng loại</w:t>
      </w:r>
    </w:p>
    <w:p w14:paraId="325031E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e) Tụ điện liên lạc và cuộn cản cao tần</w:t>
      </w:r>
    </w:p>
    <w:p w14:paraId="4997C66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Số lượng</w:t>
      </w:r>
    </w:p>
    <w:p w14:paraId="5EA2786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Chủng loại</w:t>
      </w:r>
    </w:p>
    <w:p w14:paraId="19F25A0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g) Hệ thống rơ-le bảo vệ và điều khiển tự động, hệ thống thiết bị phụ trợ</w:t>
      </w:r>
    </w:p>
    <w:p w14:paraId="0175222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6. Đấu nối với lưới điện quốc gia</w:t>
      </w:r>
    </w:p>
    <w:p w14:paraId="05ACEB7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Đường dây đấu nối</w:t>
      </w:r>
    </w:p>
    <w:p w14:paraId="55D138C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Loại đường dây</w:t>
      </w:r>
    </w:p>
    <w:p w14:paraId="567AF5E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 Điện áp định mức (...... kV)</w:t>
      </w:r>
    </w:p>
    <w:p w14:paraId="4638527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d) Dây dẫn</w:t>
      </w:r>
    </w:p>
    <w:p w14:paraId="79C09E3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đ) Dây chống sét</w:t>
      </w:r>
    </w:p>
    <w:p w14:paraId="6D83391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e) Chiều dài tuyến</w:t>
      </w:r>
    </w:p>
    <w:p w14:paraId="5E310FE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Chủ đầu tư cập nhật lại các thông số sau ngày vận hành thương mại sau:</w:t>
      </w:r>
    </w:p>
    <w:p w14:paraId="1B3CCD5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069E5F12" w14:textId="77777777" w:rsidR="00140F03" w:rsidRPr="00140F03" w:rsidRDefault="00140F03" w:rsidP="00140F03">
      <w:pPr>
        <w:shd w:val="clear" w:color="auto" w:fill="FFFFFF"/>
        <w:spacing w:after="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18"/>
          <w:szCs w:val="18"/>
        </w:rPr>
        <w:t>PHỤ LỤC II</w:t>
      </w:r>
    </w:p>
    <w:p w14:paraId="04B1EE90" w14:textId="77777777" w:rsidR="00140F03" w:rsidRPr="00140F03" w:rsidRDefault="00140F03" w:rsidP="00140F03">
      <w:pPr>
        <w:shd w:val="clear" w:color="auto" w:fill="FFFFFF"/>
        <w:spacing w:after="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THỎA THUẬN CÁC ĐẶC TÍNH VẬN HÀNH</w:t>
      </w:r>
      <w:r w:rsidRPr="00140F03">
        <w:rPr>
          <w:rFonts w:ascii="Arial" w:eastAsia="Times New Roman" w:hAnsi="Arial" w:cs="Arial"/>
          <w:color w:val="000000"/>
          <w:sz w:val="20"/>
          <w:szCs w:val="20"/>
        </w:rPr>
        <w:br/>
      </w:r>
      <w:r w:rsidRPr="00140F03">
        <w:rPr>
          <w:rFonts w:ascii="Arial" w:eastAsia="Times New Roman" w:hAnsi="Arial" w:cs="Arial"/>
          <w:i/>
          <w:iCs/>
          <w:color w:val="000000"/>
          <w:sz w:val="20"/>
          <w:szCs w:val="20"/>
        </w:rPr>
        <w:t>(Kèm theo Hợp đồng số …ngày … tháng … năm…)</w:t>
      </w:r>
    </w:p>
    <w:p w14:paraId="3919C68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Hai bên thỏa thuận các đặc tính vận hành chính của nhà máy điện như</w:t>
      </w:r>
    </w:p>
    <w:p w14:paraId="2CE310E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1. Công suất phát của tổ máy</w:t>
      </w:r>
    </w:p>
    <w:p w14:paraId="1E0D17A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Công suất phát tối thiểu: ……….. MW.</w:t>
      </w:r>
    </w:p>
    <w:p w14:paraId="7752684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Công suất phát tối đa:………….. MW.</w:t>
      </w:r>
    </w:p>
    <w:p w14:paraId="2F76F4C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2. Thời gian để khởi động và hòa đồng bộ</w:t>
      </w:r>
    </w:p>
    <w:p w14:paraId="0199951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Thời gian để khởi động tổ máy và hòa đồng bộ vào Hệ thống điện quốc gia kể từ khi ngừng máy như sau:</w:t>
      </w:r>
    </w:p>
    <w:tbl>
      <w:tblPr>
        <w:tblW w:w="8325" w:type="dxa"/>
        <w:tblCellSpacing w:w="0" w:type="dxa"/>
        <w:shd w:val="clear" w:color="auto" w:fill="FFFFFF"/>
        <w:tblCellMar>
          <w:left w:w="0" w:type="dxa"/>
          <w:right w:w="0" w:type="dxa"/>
        </w:tblCellMar>
        <w:tblLook w:val="04A0" w:firstRow="1" w:lastRow="0" w:firstColumn="1" w:lastColumn="0" w:noHBand="0" w:noVBand="1"/>
      </w:tblPr>
      <w:tblGrid>
        <w:gridCol w:w="2740"/>
        <w:gridCol w:w="2769"/>
        <w:gridCol w:w="2816"/>
      </w:tblGrid>
      <w:tr w:rsidR="00140F03" w:rsidRPr="00140F03" w14:paraId="36BFEFE3" w14:textId="77777777" w:rsidTr="00140F03">
        <w:trPr>
          <w:tblCellSpacing w:w="0" w:type="dxa"/>
        </w:trPr>
        <w:tc>
          <w:tcPr>
            <w:tcW w:w="274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BF8830A"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Tình trạng</w:t>
            </w:r>
          </w:p>
        </w:tc>
        <w:tc>
          <w:tcPr>
            <w:tcW w:w="2771" w:type="dxa"/>
            <w:tcBorders>
              <w:top w:val="single" w:sz="8" w:space="0" w:color="000000"/>
              <w:left w:val="nil"/>
              <w:bottom w:val="single" w:sz="8" w:space="0" w:color="000000"/>
              <w:right w:val="single" w:sz="8" w:space="0" w:color="000000"/>
            </w:tcBorders>
            <w:shd w:val="clear" w:color="auto" w:fill="FFFFFF"/>
            <w:vAlign w:val="center"/>
            <w:hideMark/>
          </w:tcPr>
          <w:p w14:paraId="07C81CFC"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Thời gian ngừng</w:t>
            </w:r>
          </w:p>
        </w:tc>
        <w:tc>
          <w:tcPr>
            <w:tcW w:w="2818" w:type="dxa"/>
            <w:tcBorders>
              <w:top w:val="single" w:sz="8" w:space="0" w:color="000000"/>
              <w:left w:val="nil"/>
              <w:bottom w:val="single" w:sz="8" w:space="0" w:color="000000"/>
              <w:right w:val="single" w:sz="8" w:space="0" w:color="000000"/>
            </w:tcBorders>
            <w:shd w:val="clear" w:color="auto" w:fill="FFFFFF"/>
            <w:vAlign w:val="center"/>
            <w:hideMark/>
          </w:tcPr>
          <w:p w14:paraId="230CA26D"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20"/>
                <w:szCs w:val="20"/>
              </w:rPr>
              <w:t>Thời gian khởi động đến lúc hòa vào lưới</w:t>
            </w:r>
          </w:p>
        </w:tc>
      </w:tr>
      <w:tr w:rsidR="00140F03" w:rsidRPr="00140F03" w14:paraId="28A93262" w14:textId="77777777" w:rsidTr="00140F03">
        <w:trPr>
          <w:tblCellSpacing w:w="0" w:type="dxa"/>
        </w:trPr>
        <w:tc>
          <w:tcPr>
            <w:tcW w:w="2741" w:type="dxa"/>
            <w:tcBorders>
              <w:top w:val="nil"/>
              <w:left w:val="single" w:sz="8" w:space="0" w:color="000000"/>
              <w:bottom w:val="single" w:sz="8" w:space="0" w:color="000000"/>
              <w:right w:val="single" w:sz="8" w:space="0" w:color="000000"/>
            </w:tcBorders>
            <w:shd w:val="clear" w:color="auto" w:fill="FFFFFF"/>
            <w:vAlign w:val="center"/>
            <w:hideMark/>
          </w:tcPr>
          <w:p w14:paraId="7C62AB75"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Khởi động lạnh</w:t>
            </w:r>
          </w:p>
        </w:tc>
        <w:tc>
          <w:tcPr>
            <w:tcW w:w="2771" w:type="dxa"/>
            <w:tcBorders>
              <w:top w:val="nil"/>
              <w:left w:val="nil"/>
              <w:bottom w:val="single" w:sz="8" w:space="0" w:color="000000"/>
              <w:right w:val="single" w:sz="8" w:space="0" w:color="000000"/>
            </w:tcBorders>
            <w:shd w:val="clear" w:color="auto" w:fill="FFFFFF"/>
            <w:vAlign w:val="center"/>
            <w:hideMark/>
          </w:tcPr>
          <w:p w14:paraId="70589918"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Từ … giờ trở lên</w:t>
            </w:r>
          </w:p>
        </w:tc>
        <w:tc>
          <w:tcPr>
            <w:tcW w:w="2818" w:type="dxa"/>
            <w:tcBorders>
              <w:top w:val="nil"/>
              <w:left w:val="nil"/>
              <w:bottom w:val="single" w:sz="8" w:space="0" w:color="000000"/>
              <w:right w:val="single" w:sz="8" w:space="0" w:color="000000"/>
            </w:tcBorders>
            <w:shd w:val="clear" w:color="auto" w:fill="FFFFFF"/>
            <w:vAlign w:val="center"/>
            <w:hideMark/>
          </w:tcPr>
          <w:p w14:paraId="11F615A6"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giờ</w:t>
            </w:r>
          </w:p>
        </w:tc>
      </w:tr>
      <w:tr w:rsidR="00140F03" w:rsidRPr="00140F03" w14:paraId="4F9CD20B" w14:textId="77777777" w:rsidTr="00140F03">
        <w:trPr>
          <w:tblCellSpacing w:w="0" w:type="dxa"/>
        </w:trPr>
        <w:tc>
          <w:tcPr>
            <w:tcW w:w="2741" w:type="dxa"/>
            <w:tcBorders>
              <w:top w:val="nil"/>
              <w:left w:val="single" w:sz="8" w:space="0" w:color="000000"/>
              <w:bottom w:val="single" w:sz="8" w:space="0" w:color="000000"/>
              <w:right w:val="single" w:sz="8" w:space="0" w:color="000000"/>
            </w:tcBorders>
            <w:shd w:val="clear" w:color="auto" w:fill="FFFFFF"/>
            <w:vAlign w:val="center"/>
            <w:hideMark/>
          </w:tcPr>
          <w:p w14:paraId="7DFEB277"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Khởi động ấm</w:t>
            </w:r>
          </w:p>
        </w:tc>
        <w:tc>
          <w:tcPr>
            <w:tcW w:w="2771" w:type="dxa"/>
            <w:tcBorders>
              <w:top w:val="nil"/>
              <w:left w:val="nil"/>
              <w:bottom w:val="single" w:sz="8" w:space="0" w:color="000000"/>
              <w:right w:val="single" w:sz="8" w:space="0" w:color="000000"/>
            </w:tcBorders>
            <w:shd w:val="clear" w:color="auto" w:fill="FFFFFF"/>
            <w:vAlign w:val="center"/>
            <w:hideMark/>
          </w:tcPr>
          <w:p w14:paraId="2F116968"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Từ … đến … giờ</w:t>
            </w:r>
          </w:p>
        </w:tc>
        <w:tc>
          <w:tcPr>
            <w:tcW w:w="2818" w:type="dxa"/>
            <w:tcBorders>
              <w:top w:val="nil"/>
              <w:left w:val="nil"/>
              <w:bottom w:val="single" w:sz="8" w:space="0" w:color="000000"/>
              <w:right w:val="single" w:sz="8" w:space="0" w:color="000000"/>
            </w:tcBorders>
            <w:shd w:val="clear" w:color="auto" w:fill="FFFFFF"/>
            <w:vAlign w:val="center"/>
            <w:hideMark/>
          </w:tcPr>
          <w:p w14:paraId="4A057D18"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giờ</w:t>
            </w:r>
          </w:p>
        </w:tc>
      </w:tr>
      <w:tr w:rsidR="00140F03" w:rsidRPr="00140F03" w14:paraId="134F3F96" w14:textId="77777777" w:rsidTr="00140F03">
        <w:trPr>
          <w:tblCellSpacing w:w="0" w:type="dxa"/>
        </w:trPr>
        <w:tc>
          <w:tcPr>
            <w:tcW w:w="2741" w:type="dxa"/>
            <w:tcBorders>
              <w:top w:val="nil"/>
              <w:left w:val="single" w:sz="8" w:space="0" w:color="000000"/>
              <w:bottom w:val="single" w:sz="8" w:space="0" w:color="000000"/>
              <w:right w:val="single" w:sz="8" w:space="0" w:color="000000"/>
            </w:tcBorders>
            <w:shd w:val="clear" w:color="auto" w:fill="FFFFFF"/>
            <w:vAlign w:val="center"/>
            <w:hideMark/>
          </w:tcPr>
          <w:p w14:paraId="4E32BF0B" w14:textId="77777777" w:rsidR="00140F03" w:rsidRPr="00140F03" w:rsidRDefault="00140F03" w:rsidP="00140F03">
            <w:pPr>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Khởi động nóng</w:t>
            </w:r>
          </w:p>
        </w:tc>
        <w:tc>
          <w:tcPr>
            <w:tcW w:w="2771" w:type="dxa"/>
            <w:tcBorders>
              <w:top w:val="nil"/>
              <w:left w:val="nil"/>
              <w:bottom w:val="single" w:sz="8" w:space="0" w:color="000000"/>
              <w:right w:val="single" w:sz="8" w:space="0" w:color="000000"/>
            </w:tcBorders>
            <w:shd w:val="clear" w:color="auto" w:fill="FFFFFF"/>
            <w:vAlign w:val="center"/>
            <w:hideMark/>
          </w:tcPr>
          <w:p w14:paraId="0BD7FB0A"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Dưới … giờ</w:t>
            </w:r>
          </w:p>
        </w:tc>
        <w:tc>
          <w:tcPr>
            <w:tcW w:w="2818" w:type="dxa"/>
            <w:tcBorders>
              <w:top w:val="nil"/>
              <w:left w:val="nil"/>
              <w:bottom w:val="single" w:sz="8" w:space="0" w:color="000000"/>
              <w:right w:val="single" w:sz="8" w:space="0" w:color="000000"/>
            </w:tcBorders>
            <w:shd w:val="clear" w:color="auto" w:fill="FFFFFF"/>
            <w:vAlign w:val="center"/>
            <w:hideMark/>
          </w:tcPr>
          <w:p w14:paraId="77C673A4" w14:textId="77777777" w:rsidR="00140F03" w:rsidRPr="00140F03" w:rsidRDefault="00140F03" w:rsidP="00140F03">
            <w:pPr>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 giờ</w:t>
            </w:r>
          </w:p>
        </w:tc>
      </w:tr>
    </w:tbl>
    <w:p w14:paraId="62470B4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3. Tốc độ thay đổi phụ tải</w:t>
      </w:r>
    </w:p>
    <w:p w14:paraId="5A88559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Tốc độ giảm tải trung bình: … MW/phút.</w:t>
      </w:r>
    </w:p>
    <w:p w14:paraId="3B4887E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lastRenderedPageBreak/>
        <w:t>b) Tốc độ tăng tải: … MW/phút.</w:t>
      </w:r>
    </w:p>
    <w:p w14:paraId="6892810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4. Công suất phản kháng, điều chỉnh điện áp và giới hạn tần số trong điều kiện vận hành bình thường</w:t>
      </w:r>
    </w:p>
    <w:p w14:paraId="576D011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Nhà máy điện sẽ vận hành với hệ số công suất 0,85.</w:t>
      </w:r>
    </w:p>
    <w:p w14:paraId="0BD0EDB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Điều chỉnh điện áp: Nhà máy điện vận hành đảm bảo phạm vi dao động điện áp ± 5% của điện áp định mức tại điểm đấu nối với Hệ thống điện quốc gia.</w:t>
      </w:r>
    </w:p>
    <w:p w14:paraId="693C24B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Giới hạn của tần số: Nhà máy điện vận hành trong phạm vi dải tần số từ 49,5Hz đến 50,5 Hz.</w:t>
      </w:r>
    </w:p>
    <w:p w14:paraId="4359C39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c) Khả năng điều chỉnh tần số.</w:t>
      </w:r>
    </w:p>
    <w:p w14:paraId="65B177C2"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 </w:t>
      </w:r>
    </w:p>
    <w:p w14:paraId="644C29A3" w14:textId="77777777" w:rsidR="00140F03" w:rsidRPr="00140F03" w:rsidRDefault="00140F03" w:rsidP="00140F03">
      <w:pPr>
        <w:shd w:val="clear" w:color="auto" w:fill="FFFFFF"/>
        <w:spacing w:after="0" w:line="234" w:lineRule="atLeast"/>
        <w:jc w:val="center"/>
        <w:rPr>
          <w:rFonts w:ascii="Arial" w:eastAsia="Times New Roman" w:hAnsi="Arial" w:cs="Arial"/>
          <w:color w:val="000000"/>
          <w:sz w:val="18"/>
          <w:szCs w:val="18"/>
        </w:rPr>
      </w:pPr>
      <w:r w:rsidRPr="00140F03">
        <w:rPr>
          <w:rFonts w:ascii="Arial" w:eastAsia="Times New Roman" w:hAnsi="Arial" w:cs="Arial"/>
          <w:b/>
          <w:bCs/>
          <w:color w:val="000000"/>
          <w:sz w:val="18"/>
          <w:szCs w:val="18"/>
        </w:rPr>
        <w:t>PHỤ LỤC III</w:t>
      </w:r>
    </w:p>
    <w:p w14:paraId="58E63C16" w14:textId="77777777" w:rsidR="00140F03" w:rsidRPr="00140F03" w:rsidRDefault="00140F03" w:rsidP="00140F03">
      <w:pPr>
        <w:shd w:val="clear" w:color="auto" w:fill="FFFFFF"/>
        <w:spacing w:after="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rPr>
        <w:t>GIÁ MUA BÁN ĐIỆN, TIỀN ĐIỆN THANH TOÁN</w:t>
      </w:r>
      <w:r w:rsidRPr="00140F03">
        <w:rPr>
          <w:rFonts w:ascii="Arial" w:eastAsia="Times New Roman" w:hAnsi="Arial" w:cs="Arial"/>
          <w:color w:val="000000"/>
          <w:sz w:val="20"/>
          <w:szCs w:val="20"/>
        </w:rPr>
        <w:br/>
      </w:r>
      <w:r w:rsidRPr="00140F03">
        <w:rPr>
          <w:rFonts w:ascii="Arial" w:eastAsia="Times New Roman" w:hAnsi="Arial" w:cs="Arial"/>
          <w:i/>
          <w:iCs/>
          <w:color w:val="000000"/>
          <w:sz w:val="20"/>
          <w:szCs w:val="20"/>
        </w:rPr>
        <w:t>(Kèm theo Hợp đồng số …ngày … tháng … năm…)</w:t>
      </w:r>
    </w:p>
    <w:p w14:paraId="139C0B1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I. Giá Hợp đồng mua bán điện nhà máy thủy điện chiến lược đa mục tiêu</w:t>
      </w:r>
    </w:p>
    <w:p w14:paraId="6461FE77"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rPr>
        <w:t>1. Giá Hợp đồng của nhà máy thủy điện chiến lược đa mục tiêu</w:t>
      </w:r>
    </w:p>
    <w:p w14:paraId="1E6C134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1.1. Giá Hợp đồng mua bán điện</w:t>
      </w:r>
    </w:p>
    <w:p w14:paraId="332BF11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Giá Hợp đồng của Nhà máy điện tại thời điểm thanh toán tiền điện tháng t, năm j (P</w:t>
      </w:r>
      <w:r w:rsidRPr="00140F03">
        <w:rPr>
          <w:rFonts w:ascii="Arial" w:eastAsia="Times New Roman" w:hAnsi="Arial" w:cs="Arial"/>
          <w:color w:val="000000"/>
          <w:sz w:val="20"/>
          <w:szCs w:val="20"/>
          <w:vertAlign w:val="subscript"/>
        </w:rPr>
        <w:t>C,j,t</w:t>
      </w:r>
      <w:r w:rsidRPr="00140F03">
        <w:rPr>
          <w:rFonts w:ascii="Arial" w:eastAsia="Times New Roman" w:hAnsi="Arial" w:cs="Arial"/>
          <w:color w:val="000000"/>
          <w:sz w:val="20"/>
          <w:szCs w:val="20"/>
        </w:rPr>
        <w:t>) (chưa bao gồm thuế giá trị gia tăng, thuế tài nguyên nước, mức chi trả tiền dịch vụ môi trường rừng) được xác định theo công thức sau (đồng/kWh):</w:t>
      </w:r>
    </w:p>
    <w:p w14:paraId="37CCF3F2"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sidRPr="00140F03">
        <w:rPr>
          <w:rFonts w:ascii="Arial" w:eastAsia="Times New Roman" w:hAnsi="Arial" w:cs="Arial"/>
          <w:color w:val="000000"/>
          <w:sz w:val="20"/>
          <w:szCs w:val="20"/>
          <w:lang w:val="fr-FR"/>
        </w:rPr>
        <w:t>P</w:t>
      </w:r>
      <w:r w:rsidRPr="00140F03">
        <w:rPr>
          <w:rFonts w:ascii="Arial" w:eastAsia="Times New Roman" w:hAnsi="Arial" w:cs="Arial"/>
          <w:color w:val="000000"/>
          <w:sz w:val="20"/>
          <w:szCs w:val="20"/>
          <w:vertAlign w:val="subscript"/>
          <w:lang w:val="fr-FR"/>
        </w:rPr>
        <w:t>C,j,t</w:t>
      </w:r>
      <w:r w:rsidRPr="00140F03">
        <w:rPr>
          <w:rFonts w:ascii="Arial" w:eastAsia="Times New Roman" w:hAnsi="Arial" w:cs="Arial"/>
          <w:color w:val="000000"/>
          <w:sz w:val="20"/>
          <w:szCs w:val="20"/>
          <w:lang w:val="fr-FR"/>
        </w:rPr>
        <w:t> = FC</w:t>
      </w:r>
      <w:r w:rsidRPr="00140F03">
        <w:rPr>
          <w:rFonts w:ascii="Arial" w:eastAsia="Times New Roman" w:hAnsi="Arial" w:cs="Arial"/>
          <w:color w:val="000000"/>
          <w:sz w:val="20"/>
          <w:szCs w:val="20"/>
          <w:vertAlign w:val="subscript"/>
          <w:lang w:val="fr-FR"/>
        </w:rPr>
        <w:t>j</w:t>
      </w:r>
      <w:r w:rsidRPr="00140F03">
        <w:rPr>
          <w:rFonts w:ascii="Arial" w:eastAsia="Times New Roman" w:hAnsi="Arial" w:cs="Arial"/>
          <w:color w:val="000000"/>
          <w:sz w:val="20"/>
          <w:szCs w:val="20"/>
          <w:lang w:val="fr-FR"/>
        </w:rPr>
        <w:t> + FOMC</w:t>
      </w:r>
      <w:r w:rsidRPr="00140F03">
        <w:rPr>
          <w:rFonts w:ascii="Arial" w:eastAsia="Times New Roman" w:hAnsi="Arial" w:cs="Arial"/>
          <w:color w:val="000000"/>
          <w:sz w:val="20"/>
          <w:szCs w:val="20"/>
          <w:vertAlign w:val="subscript"/>
          <w:lang w:val="fr-FR"/>
        </w:rPr>
        <w:t>j,t</w:t>
      </w:r>
    </w:p>
    <w:p w14:paraId="4CB756A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Trong đó:</w:t>
      </w:r>
    </w:p>
    <w:p w14:paraId="3084AA1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FC</w:t>
      </w:r>
      <w:r w:rsidRPr="00140F03">
        <w:rPr>
          <w:rFonts w:ascii="Arial" w:eastAsia="Times New Roman" w:hAnsi="Arial" w:cs="Arial"/>
          <w:color w:val="000000"/>
          <w:sz w:val="20"/>
          <w:szCs w:val="20"/>
          <w:vertAlign w:val="subscript"/>
          <w:lang w:val="fr-FR"/>
        </w:rPr>
        <w:t>j</w:t>
      </w:r>
      <w:r w:rsidRPr="00140F03">
        <w:rPr>
          <w:rFonts w:ascii="Arial" w:eastAsia="Times New Roman" w:hAnsi="Arial" w:cs="Arial"/>
          <w:color w:val="000000"/>
          <w:sz w:val="20"/>
          <w:szCs w:val="20"/>
          <w:lang w:val="fr-FR"/>
        </w:rPr>
        <w:t>: Giá cố định năm j (đồng/kWh);</w:t>
      </w:r>
    </w:p>
    <w:p w14:paraId="6C7E61F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FOMC</w:t>
      </w:r>
      <w:r w:rsidRPr="00140F03">
        <w:rPr>
          <w:rFonts w:ascii="Arial" w:eastAsia="Times New Roman" w:hAnsi="Arial" w:cs="Arial"/>
          <w:color w:val="000000"/>
          <w:sz w:val="20"/>
          <w:szCs w:val="20"/>
          <w:vertAlign w:val="subscript"/>
          <w:lang w:val="fr-FR"/>
        </w:rPr>
        <w:t>j,t</w:t>
      </w:r>
      <w:r w:rsidRPr="00140F03">
        <w:rPr>
          <w:rFonts w:ascii="Arial" w:eastAsia="Times New Roman" w:hAnsi="Arial" w:cs="Arial"/>
          <w:color w:val="000000"/>
          <w:sz w:val="20"/>
          <w:szCs w:val="20"/>
          <w:lang w:val="fr-FR"/>
        </w:rPr>
        <w:t>: Giá vận hành và bảo dưỡng tháng t, năm j (đồng/kWh).</w:t>
      </w:r>
    </w:p>
    <w:p w14:paraId="4781154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1.2. Giá cố định:</w:t>
      </w:r>
    </w:p>
    <w:p w14:paraId="3E190DE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Giá cố định bình quân nhiều năm (chưa bao gồm thuế giá trị gia tăng, thuế tài nguyên nước, mức chi trả tiền dịch vụ môi trường rừng) là... (đồng/kWh).</w:t>
      </w:r>
    </w:p>
    <w:p w14:paraId="6236D54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1.3. Giá vận hành và bảo dưỡng:</w:t>
      </w:r>
    </w:p>
    <w:p w14:paraId="6CA0920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Giá vận hành và bảo dưỡng tháng t, năm j FOMC</w:t>
      </w:r>
      <w:r w:rsidRPr="00140F03">
        <w:rPr>
          <w:rFonts w:ascii="Arial" w:eastAsia="Times New Roman" w:hAnsi="Arial" w:cs="Arial"/>
          <w:color w:val="000000"/>
          <w:sz w:val="20"/>
          <w:szCs w:val="20"/>
          <w:vertAlign w:val="subscript"/>
          <w:lang w:val="fr-FR"/>
        </w:rPr>
        <w:t>j,t</w:t>
      </w:r>
      <w:r w:rsidRPr="00140F03">
        <w:rPr>
          <w:rFonts w:ascii="Arial" w:eastAsia="Times New Roman" w:hAnsi="Arial" w:cs="Arial"/>
          <w:color w:val="000000"/>
          <w:sz w:val="20"/>
          <w:szCs w:val="20"/>
          <w:lang w:val="fr-FR"/>
        </w:rPr>
        <w:t> (chưa bao gồm thuế giá trị gia tăng, thuế tài nguyên nước, mức chi trả tiền dịch vụ môi trường rừng) được xác định theo công thức sau:</w:t>
      </w:r>
    </w:p>
    <w:p w14:paraId="671002B1"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Pr>
          <w:rFonts w:ascii="Arial" w:eastAsia="Times New Roman" w:hAnsi="Arial" w:cs="Arial"/>
          <w:noProof/>
          <w:color w:val="000000"/>
          <w:sz w:val="20"/>
          <w:szCs w:val="20"/>
        </w:rPr>
        <w:drawing>
          <wp:inline distT="0" distB="0" distL="0" distR="0" wp14:anchorId="3BB0C96D" wp14:editId="082C3A49">
            <wp:extent cx="2019300" cy="257175"/>
            <wp:effectExtent l="19050" t="0" r="0" b="0"/>
            <wp:docPr id="1" name="Picture 1" descr="https://thuvienphapluat.vn/doc2htm/00369251_files/image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huvienphapluat.vn/doc2htm/00369251_files/image005.gif"/>
                    <pic:cNvPicPr>
                      <a:picLocks noChangeAspect="1" noChangeArrowheads="1"/>
                    </pic:cNvPicPr>
                  </pic:nvPicPr>
                  <pic:blipFill>
                    <a:blip r:embed="rId8"/>
                    <a:srcRect/>
                    <a:stretch>
                      <a:fillRect/>
                    </a:stretch>
                  </pic:blipFill>
                  <pic:spPr bwMode="auto">
                    <a:xfrm>
                      <a:off x="0" y="0"/>
                      <a:ext cx="2019300" cy="257175"/>
                    </a:xfrm>
                    <a:prstGeom prst="rect">
                      <a:avLst/>
                    </a:prstGeom>
                    <a:noFill/>
                    <a:ln w="9525">
                      <a:noFill/>
                      <a:miter lim="800000"/>
                      <a:headEnd/>
                      <a:tailEnd/>
                    </a:ln>
                  </pic:spPr>
                </pic:pic>
              </a:graphicData>
            </a:graphic>
          </wp:inline>
        </w:drawing>
      </w:r>
    </w:p>
    <w:p w14:paraId="6C4437C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Trong đó:</w:t>
      </w:r>
    </w:p>
    <w:p w14:paraId="101DF58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Pr>
          <w:rFonts w:ascii="Arial" w:eastAsia="Times New Roman" w:hAnsi="Arial" w:cs="Arial"/>
          <w:noProof/>
          <w:color w:val="000000"/>
          <w:sz w:val="18"/>
          <w:szCs w:val="18"/>
        </w:rPr>
        <w:drawing>
          <wp:inline distT="0" distB="0" distL="0" distR="0" wp14:anchorId="23C4B446" wp14:editId="4C44AC48">
            <wp:extent cx="609600" cy="257175"/>
            <wp:effectExtent l="19050" t="0" r="0" b="0"/>
            <wp:docPr id="2" name="Picture 2" descr="https://thuvienphapluat.vn/doc2htm/00369251_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huvienphapluat.vn/doc2htm/00369251_files/image006.gif"/>
                    <pic:cNvPicPr>
                      <a:picLocks noChangeAspect="1" noChangeArrowheads="1"/>
                    </pic:cNvPicPr>
                  </pic:nvPicPr>
                  <pic:blipFill>
                    <a:blip r:embed="rId9"/>
                    <a:srcRect/>
                    <a:stretch>
                      <a:fillRect/>
                    </a:stretch>
                  </pic:blipFill>
                  <pic:spPr bwMode="auto">
                    <a:xfrm>
                      <a:off x="0" y="0"/>
                      <a:ext cx="609600" cy="257175"/>
                    </a:xfrm>
                    <a:prstGeom prst="rect">
                      <a:avLst/>
                    </a:prstGeom>
                    <a:noFill/>
                    <a:ln w="9525">
                      <a:noFill/>
                      <a:miter lim="800000"/>
                      <a:headEnd/>
                      <a:tailEnd/>
                    </a:ln>
                  </pic:spPr>
                </pic:pic>
              </a:graphicData>
            </a:graphic>
          </wp:inline>
        </w:drawing>
      </w:r>
      <w:r w:rsidRPr="00140F03">
        <w:rPr>
          <w:rFonts w:ascii="Arial" w:eastAsia="Times New Roman" w:hAnsi="Arial" w:cs="Arial"/>
          <w:color w:val="000000"/>
          <w:sz w:val="20"/>
          <w:szCs w:val="20"/>
        </w:rPr>
        <w:t>: Thành phần giá vận hành và bảo dưỡng theo chi phí sửa chữa lớn và chi phí khác năm j (đồng/kWh);</w:t>
      </w:r>
    </w:p>
    <w:p w14:paraId="686173F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Pr>
          <w:rFonts w:ascii="Arial" w:eastAsia="Times New Roman" w:hAnsi="Arial" w:cs="Arial"/>
          <w:noProof/>
          <w:color w:val="000000"/>
          <w:sz w:val="18"/>
          <w:szCs w:val="18"/>
        </w:rPr>
        <w:drawing>
          <wp:inline distT="0" distB="0" distL="0" distR="0" wp14:anchorId="0192319C" wp14:editId="6085CCEA">
            <wp:extent cx="600075" cy="257175"/>
            <wp:effectExtent l="19050" t="0" r="9525" b="0"/>
            <wp:docPr id="3" name="Picture 3" descr="https://thuvienphapluat.vn/doc2htm/00369251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huvienphapluat.vn/doc2htm/00369251_files/image007.gif"/>
                    <pic:cNvPicPr>
                      <a:picLocks noChangeAspect="1" noChangeArrowheads="1"/>
                    </pic:cNvPicPr>
                  </pic:nvPicPr>
                  <pic:blipFill>
                    <a:blip r:embed="rId10"/>
                    <a:srcRect/>
                    <a:stretch>
                      <a:fillRect/>
                    </a:stretch>
                  </pic:blipFill>
                  <pic:spPr bwMode="auto">
                    <a:xfrm>
                      <a:off x="0" y="0"/>
                      <a:ext cx="600075" cy="257175"/>
                    </a:xfrm>
                    <a:prstGeom prst="rect">
                      <a:avLst/>
                    </a:prstGeom>
                    <a:noFill/>
                    <a:ln w="9525">
                      <a:noFill/>
                      <a:miter lim="800000"/>
                      <a:headEnd/>
                      <a:tailEnd/>
                    </a:ln>
                  </pic:spPr>
                </pic:pic>
              </a:graphicData>
            </a:graphic>
          </wp:inline>
        </w:drawing>
      </w:r>
      <w:r w:rsidRPr="00140F03">
        <w:rPr>
          <w:rFonts w:ascii="Arial" w:eastAsia="Times New Roman" w:hAnsi="Arial" w:cs="Arial"/>
          <w:color w:val="000000"/>
          <w:sz w:val="20"/>
          <w:szCs w:val="20"/>
        </w:rPr>
        <w:t>: Thành phần giá vận hành và bảo dưỡng theo chi phí nhân công tháng t, năm j (đồng/kWh).</w:t>
      </w:r>
    </w:p>
    <w:p w14:paraId="7DABAE5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a) Thành phần giá vận hành và bảo dưỡng theo chi phí sửa chữa lớn và chi phí khác năm j (</w:t>
      </w:r>
      <w:r>
        <w:rPr>
          <w:rFonts w:ascii="Arial" w:eastAsia="Times New Roman" w:hAnsi="Arial" w:cs="Arial"/>
          <w:noProof/>
          <w:color w:val="000000"/>
          <w:sz w:val="18"/>
          <w:szCs w:val="18"/>
        </w:rPr>
        <w:drawing>
          <wp:inline distT="0" distB="0" distL="0" distR="0" wp14:anchorId="08132366" wp14:editId="6141BEB1">
            <wp:extent cx="609600" cy="257175"/>
            <wp:effectExtent l="19050" t="0" r="0" b="0"/>
            <wp:docPr id="4" name="Picture 4" descr="https://thuvienphapluat.vn/doc2htm/00369251_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huvienphapluat.vn/doc2htm/00369251_files/image006.gif"/>
                    <pic:cNvPicPr>
                      <a:picLocks noChangeAspect="1" noChangeArrowheads="1"/>
                    </pic:cNvPicPr>
                  </pic:nvPicPr>
                  <pic:blipFill>
                    <a:blip r:embed="rId9"/>
                    <a:srcRect/>
                    <a:stretch>
                      <a:fillRect/>
                    </a:stretch>
                  </pic:blipFill>
                  <pic:spPr bwMode="auto">
                    <a:xfrm>
                      <a:off x="0" y="0"/>
                      <a:ext cx="609600" cy="257175"/>
                    </a:xfrm>
                    <a:prstGeom prst="rect">
                      <a:avLst/>
                    </a:prstGeom>
                    <a:noFill/>
                    <a:ln w="9525">
                      <a:noFill/>
                      <a:miter lim="800000"/>
                      <a:headEnd/>
                      <a:tailEnd/>
                    </a:ln>
                  </pic:spPr>
                </pic:pic>
              </a:graphicData>
            </a:graphic>
          </wp:inline>
        </w:drawing>
      </w:r>
      <w:r w:rsidRPr="00140F03">
        <w:rPr>
          <w:rFonts w:ascii="Arial" w:eastAsia="Times New Roman" w:hAnsi="Arial" w:cs="Arial"/>
          <w:color w:val="000000"/>
          <w:sz w:val="20"/>
          <w:szCs w:val="20"/>
        </w:rPr>
        <w:t>) được xác định theo công thức sau (đồng/kWh):</w:t>
      </w:r>
    </w:p>
    <w:p w14:paraId="3E4C1BFE"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Pr>
          <w:rFonts w:ascii="Arial" w:eastAsia="Times New Roman" w:hAnsi="Arial" w:cs="Arial"/>
          <w:noProof/>
          <w:color w:val="000000"/>
          <w:sz w:val="20"/>
          <w:szCs w:val="20"/>
        </w:rPr>
        <w:drawing>
          <wp:inline distT="0" distB="0" distL="0" distR="0" wp14:anchorId="323D86CF" wp14:editId="7D698C5C">
            <wp:extent cx="2066925" cy="371475"/>
            <wp:effectExtent l="19050" t="0" r="0" b="0"/>
            <wp:docPr id="5" name="Picture 5" descr="https://thuvienphapluat.vn/doc2htm/00369251_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huvienphapluat.vn/doc2htm/00369251_files/image008.gif"/>
                    <pic:cNvPicPr>
                      <a:picLocks noChangeAspect="1" noChangeArrowheads="1"/>
                    </pic:cNvPicPr>
                  </pic:nvPicPr>
                  <pic:blipFill>
                    <a:blip r:embed="rId11"/>
                    <a:srcRect/>
                    <a:stretch>
                      <a:fillRect/>
                    </a:stretch>
                  </pic:blipFill>
                  <pic:spPr bwMode="auto">
                    <a:xfrm>
                      <a:off x="0" y="0"/>
                      <a:ext cx="2066925" cy="371475"/>
                    </a:xfrm>
                    <a:prstGeom prst="rect">
                      <a:avLst/>
                    </a:prstGeom>
                    <a:noFill/>
                    <a:ln w="9525">
                      <a:noFill/>
                      <a:miter lim="800000"/>
                      <a:headEnd/>
                      <a:tailEnd/>
                    </a:ln>
                  </pic:spPr>
                </pic:pic>
              </a:graphicData>
            </a:graphic>
          </wp:inline>
        </w:drawing>
      </w:r>
    </w:p>
    <w:p w14:paraId="08DAB7C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lastRenderedPageBreak/>
        <w:t>Trong đó:</w:t>
      </w:r>
    </w:p>
    <w:p w14:paraId="49C8A18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Pr>
          <w:rFonts w:ascii="Arial" w:eastAsia="Times New Roman" w:hAnsi="Arial" w:cs="Arial"/>
          <w:noProof/>
          <w:color w:val="000000"/>
          <w:sz w:val="18"/>
          <w:szCs w:val="18"/>
        </w:rPr>
        <w:drawing>
          <wp:inline distT="0" distB="0" distL="0" distR="0" wp14:anchorId="553AAB78" wp14:editId="46D0F2C9">
            <wp:extent cx="609600" cy="238125"/>
            <wp:effectExtent l="19050" t="0" r="0" b="0"/>
            <wp:docPr id="6" name="Picture 6" descr="https://thuvienphapluat.vn/doc2htm/00369251_files/image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huvienphapluat.vn/doc2htm/00369251_files/image009.gif"/>
                    <pic:cNvPicPr>
                      <a:picLocks noChangeAspect="1" noChangeArrowheads="1"/>
                    </pic:cNvPicPr>
                  </pic:nvPicPr>
                  <pic:blipFill>
                    <a:blip r:embed="rId12"/>
                    <a:srcRect/>
                    <a:stretch>
                      <a:fillRect/>
                    </a:stretch>
                  </pic:blipFill>
                  <pic:spPr bwMode="auto">
                    <a:xfrm>
                      <a:off x="0" y="0"/>
                      <a:ext cx="609600" cy="238125"/>
                    </a:xfrm>
                    <a:prstGeom prst="rect">
                      <a:avLst/>
                    </a:prstGeom>
                    <a:noFill/>
                    <a:ln w="9525">
                      <a:noFill/>
                      <a:miter lim="800000"/>
                      <a:headEnd/>
                      <a:tailEnd/>
                    </a:ln>
                  </pic:spPr>
                </pic:pic>
              </a:graphicData>
            </a:graphic>
          </wp:inline>
        </w:drawing>
      </w:r>
      <w:r w:rsidRPr="00140F03">
        <w:rPr>
          <w:rFonts w:ascii="Arial" w:eastAsia="Times New Roman" w:hAnsi="Arial" w:cs="Arial"/>
          <w:color w:val="000000"/>
          <w:sz w:val="18"/>
          <w:szCs w:val="18"/>
        </w:rPr>
        <w:t>: </w:t>
      </w:r>
      <w:r w:rsidRPr="00140F03">
        <w:rPr>
          <w:rFonts w:ascii="Arial" w:eastAsia="Times New Roman" w:hAnsi="Arial" w:cs="Arial"/>
          <w:color w:val="000000"/>
          <w:sz w:val="20"/>
          <w:szCs w:val="20"/>
        </w:rPr>
        <w:t>Thành phần giá vận hành và bảo dưỡng theo chi phí sửa chữa lớn và chi phí khác năm áp dụng giá là... (đồng/kWh);</w:t>
      </w:r>
    </w:p>
    <w:p w14:paraId="30E9DB9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i: Tỷ lệ trượt thành phần giá vận hành và bảo dưỡng theo chi phí khác là 2,5%/năm;</w:t>
      </w:r>
    </w:p>
    <w:p w14:paraId="169ADD8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j: Số thứ tự năm thanh toán tính từ năm áp dụng giá (đối với năm áp dụng giá j = 1, I = 0).</w:t>
      </w:r>
    </w:p>
    <w:p w14:paraId="4E30F5B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b) Thành phần giá vận hành và bảo dưỡng theo chi phí nhân công tháng t, năm j (</w:t>
      </w:r>
      <w:r>
        <w:rPr>
          <w:rFonts w:ascii="Arial" w:eastAsia="Times New Roman" w:hAnsi="Arial" w:cs="Arial"/>
          <w:noProof/>
          <w:color w:val="000000"/>
          <w:sz w:val="18"/>
          <w:szCs w:val="18"/>
        </w:rPr>
        <w:drawing>
          <wp:inline distT="0" distB="0" distL="0" distR="0" wp14:anchorId="58FEDAD7" wp14:editId="441E516F">
            <wp:extent cx="581025" cy="257175"/>
            <wp:effectExtent l="19050" t="0" r="9525" b="0"/>
            <wp:docPr id="7" name="Picture 7" descr="https://thuvienphapluat.vn/doc2htm/00369251_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huvienphapluat.vn/doc2htm/00369251_files/image010.gif"/>
                    <pic:cNvPicPr>
                      <a:picLocks noChangeAspect="1" noChangeArrowheads="1"/>
                    </pic:cNvPicPr>
                  </pic:nvPicPr>
                  <pic:blipFill>
                    <a:blip r:embed="rId13"/>
                    <a:srcRect/>
                    <a:stretch>
                      <a:fillRect/>
                    </a:stretch>
                  </pic:blipFill>
                  <pic:spPr bwMode="auto">
                    <a:xfrm>
                      <a:off x="0" y="0"/>
                      <a:ext cx="581025" cy="257175"/>
                    </a:xfrm>
                    <a:prstGeom prst="rect">
                      <a:avLst/>
                    </a:prstGeom>
                    <a:noFill/>
                    <a:ln w="9525">
                      <a:noFill/>
                      <a:miter lim="800000"/>
                      <a:headEnd/>
                      <a:tailEnd/>
                    </a:ln>
                  </pic:spPr>
                </pic:pic>
              </a:graphicData>
            </a:graphic>
          </wp:inline>
        </w:drawing>
      </w:r>
      <w:r w:rsidRPr="00140F03">
        <w:rPr>
          <w:rFonts w:ascii="Arial" w:eastAsia="Times New Roman" w:hAnsi="Arial" w:cs="Arial"/>
          <w:color w:val="000000"/>
          <w:sz w:val="20"/>
          <w:szCs w:val="20"/>
        </w:rPr>
        <w:t>) được xác định theo công thức sau (đồng/kWh):</w:t>
      </w:r>
    </w:p>
    <w:p w14:paraId="474FEC89"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Pr>
          <w:rFonts w:ascii="Arial" w:eastAsia="Times New Roman" w:hAnsi="Arial" w:cs="Arial"/>
          <w:noProof/>
          <w:color w:val="000000"/>
          <w:sz w:val="20"/>
          <w:szCs w:val="20"/>
        </w:rPr>
        <w:drawing>
          <wp:inline distT="0" distB="0" distL="0" distR="0" wp14:anchorId="5A26D54E" wp14:editId="1ED20434">
            <wp:extent cx="2066925" cy="371475"/>
            <wp:effectExtent l="19050" t="0" r="0" b="0"/>
            <wp:docPr id="8" name="Picture 8" descr="https://thuvienphapluat.vn/doc2htm/00369251_files/image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huvienphapluat.vn/doc2htm/00369251_files/image011.gif"/>
                    <pic:cNvPicPr>
                      <a:picLocks noChangeAspect="1" noChangeArrowheads="1"/>
                    </pic:cNvPicPr>
                  </pic:nvPicPr>
                  <pic:blipFill>
                    <a:blip r:embed="rId14"/>
                    <a:srcRect/>
                    <a:stretch>
                      <a:fillRect/>
                    </a:stretch>
                  </pic:blipFill>
                  <pic:spPr bwMode="auto">
                    <a:xfrm>
                      <a:off x="0" y="0"/>
                      <a:ext cx="2066925" cy="371475"/>
                    </a:xfrm>
                    <a:prstGeom prst="rect">
                      <a:avLst/>
                    </a:prstGeom>
                    <a:noFill/>
                    <a:ln w="9525">
                      <a:noFill/>
                      <a:miter lim="800000"/>
                      <a:headEnd/>
                      <a:tailEnd/>
                    </a:ln>
                  </pic:spPr>
                </pic:pic>
              </a:graphicData>
            </a:graphic>
          </wp:inline>
        </w:drawing>
      </w:r>
    </w:p>
    <w:p w14:paraId="6032294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Trong đó:</w:t>
      </w:r>
    </w:p>
    <w:p w14:paraId="7F67272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Pr>
          <w:rFonts w:ascii="Arial" w:eastAsia="Times New Roman" w:hAnsi="Arial" w:cs="Arial"/>
          <w:noProof/>
          <w:color w:val="000000"/>
          <w:sz w:val="18"/>
          <w:szCs w:val="18"/>
        </w:rPr>
        <w:drawing>
          <wp:inline distT="0" distB="0" distL="0" distR="0" wp14:anchorId="79F803D2" wp14:editId="3AB793B0">
            <wp:extent cx="581025" cy="238125"/>
            <wp:effectExtent l="19050" t="0" r="9525" b="0"/>
            <wp:docPr id="9" name="Picture 9" descr="https://thuvienphapluat.vn/doc2htm/00369251_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huvienphapluat.vn/doc2htm/00369251_files/image012.gif"/>
                    <pic:cNvPicPr>
                      <a:picLocks noChangeAspect="1" noChangeArrowheads="1"/>
                    </pic:cNvPicPr>
                  </pic:nvPicPr>
                  <pic:blipFill>
                    <a:blip r:embed="rId15"/>
                    <a:srcRect/>
                    <a:stretch>
                      <a:fillRect/>
                    </a:stretch>
                  </pic:blipFill>
                  <pic:spPr bwMode="auto">
                    <a:xfrm>
                      <a:off x="0" y="0"/>
                      <a:ext cx="581025" cy="238125"/>
                    </a:xfrm>
                    <a:prstGeom prst="rect">
                      <a:avLst/>
                    </a:prstGeom>
                    <a:noFill/>
                    <a:ln w="9525">
                      <a:noFill/>
                      <a:miter lim="800000"/>
                      <a:headEnd/>
                      <a:tailEnd/>
                    </a:ln>
                  </pic:spPr>
                </pic:pic>
              </a:graphicData>
            </a:graphic>
          </wp:inline>
        </w:drawing>
      </w:r>
      <w:r w:rsidRPr="00140F03">
        <w:rPr>
          <w:rFonts w:ascii="Arial" w:eastAsia="Times New Roman" w:hAnsi="Arial" w:cs="Arial"/>
          <w:color w:val="000000"/>
          <w:sz w:val="20"/>
          <w:szCs w:val="20"/>
        </w:rPr>
        <w:t>: Thành phần giá vận hành và bảo dưỡng theo chi phí nhân công năm áp dụng giá là... (đồng/kWh);</w:t>
      </w:r>
    </w:p>
    <w:p w14:paraId="33567F4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i: Tỷ lệ trượt thành phần giá vận hành và bảo dưỡng theo chi phí nhân công là 2,5%/năm;</w:t>
      </w:r>
    </w:p>
    <w:p w14:paraId="185E8F5B"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rPr>
        <w:t>j: Số thứ tự năm thanh toán tính từ năm áp dụng giá (đối với năm áp dụng giá j = 1, i = 0).</w:t>
      </w:r>
    </w:p>
    <w:p w14:paraId="7EAE5C7D"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2. Giá Hợp đồng của nhà máy điện đã hết khấu hao các tài sản chính</w:t>
      </w:r>
    </w:p>
    <w:p w14:paraId="021F1DBA"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Giá Hợp đồng của nhà máy điện đã hết khấu hao các tài sản chính tại thời điểm thanh toán tiền điện tháng t, năm j (P</w:t>
      </w:r>
      <w:r w:rsidRPr="00140F03">
        <w:rPr>
          <w:rFonts w:ascii="Arial" w:eastAsia="Times New Roman" w:hAnsi="Arial" w:cs="Arial"/>
          <w:color w:val="000000"/>
          <w:sz w:val="20"/>
          <w:szCs w:val="20"/>
          <w:vertAlign w:val="subscript"/>
          <w:lang w:val="fr-FR"/>
        </w:rPr>
        <w:t>C,j,t</w:t>
      </w:r>
      <w:r w:rsidRPr="00140F03">
        <w:rPr>
          <w:rFonts w:ascii="Arial" w:eastAsia="Times New Roman" w:hAnsi="Arial" w:cs="Arial"/>
          <w:color w:val="000000"/>
          <w:sz w:val="20"/>
          <w:szCs w:val="20"/>
          <w:lang w:val="fr-FR"/>
        </w:rPr>
        <w:t>) (chưa bao gồm thuế giá trị gia tăng, thuế tài nguyên nước, mức chi trả tiền dịch vụ môi trường rừng) được xác định theo công thức sau (đồng/kWh):</w:t>
      </w:r>
    </w:p>
    <w:p w14:paraId="7EC414D9" w14:textId="77777777" w:rsidR="00140F03" w:rsidRPr="00140F03" w:rsidRDefault="00140F03" w:rsidP="00140F03">
      <w:pPr>
        <w:shd w:val="clear" w:color="auto" w:fill="FFFFFF"/>
        <w:spacing w:after="120" w:line="234" w:lineRule="atLeast"/>
        <w:jc w:val="center"/>
        <w:rPr>
          <w:rFonts w:ascii="Arial" w:eastAsia="Times New Roman" w:hAnsi="Arial" w:cs="Arial"/>
          <w:color w:val="000000"/>
          <w:sz w:val="18"/>
          <w:szCs w:val="18"/>
        </w:rPr>
      </w:pPr>
      <w:r>
        <w:rPr>
          <w:rFonts w:ascii="Arial" w:eastAsia="Times New Roman" w:hAnsi="Arial" w:cs="Arial"/>
          <w:noProof/>
          <w:color w:val="000000"/>
          <w:sz w:val="20"/>
          <w:szCs w:val="20"/>
        </w:rPr>
        <w:drawing>
          <wp:inline distT="0" distB="0" distL="0" distR="0" wp14:anchorId="2FA99F47" wp14:editId="1950468E">
            <wp:extent cx="1219200" cy="447675"/>
            <wp:effectExtent l="19050" t="0" r="0" b="0"/>
            <wp:docPr id="10" name="Picture 10" descr="https://thuvienphapluat.vn/doc2htm/00369251_files/image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thuvienphapluat.vn/doc2htm/00369251_files/image013.gif"/>
                    <pic:cNvPicPr>
                      <a:picLocks noChangeAspect="1" noChangeArrowheads="1"/>
                    </pic:cNvPicPr>
                  </pic:nvPicPr>
                  <pic:blipFill>
                    <a:blip r:embed="rId16"/>
                    <a:srcRect/>
                    <a:stretch>
                      <a:fillRect/>
                    </a:stretch>
                  </pic:blipFill>
                  <pic:spPr bwMode="auto">
                    <a:xfrm>
                      <a:off x="0" y="0"/>
                      <a:ext cx="1219200" cy="447675"/>
                    </a:xfrm>
                    <a:prstGeom prst="rect">
                      <a:avLst/>
                    </a:prstGeom>
                    <a:noFill/>
                    <a:ln w="9525">
                      <a:noFill/>
                      <a:miter lim="800000"/>
                      <a:headEnd/>
                      <a:tailEnd/>
                    </a:ln>
                  </pic:spPr>
                </pic:pic>
              </a:graphicData>
            </a:graphic>
          </wp:inline>
        </w:drawing>
      </w:r>
    </w:p>
    <w:p w14:paraId="4360D673"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Trong đó:</w:t>
      </w:r>
    </w:p>
    <w:p w14:paraId="750FCFDE"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w:t>
      </w:r>
      <w:r w:rsidRPr="00140F03">
        <w:rPr>
          <w:rFonts w:ascii="Arial" w:eastAsia="Times New Roman" w:hAnsi="Arial" w:cs="Arial"/>
          <w:color w:val="000000"/>
          <w:sz w:val="20"/>
          <w:szCs w:val="20"/>
          <w:vertAlign w:val="subscript"/>
          <w:lang w:val="fr-FR"/>
        </w:rPr>
        <w:t>CK</w:t>
      </w:r>
      <w:r w:rsidRPr="00140F03">
        <w:rPr>
          <w:rFonts w:ascii="Arial" w:eastAsia="Times New Roman" w:hAnsi="Arial" w:cs="Arial"/>
          <w:color w:val="000000"/>
          <w:sz w:val="20"/>
          <w:szCs w:val="20"/>
          <w:lang w:val="fr-FR"/>
        </w:rPr>
        <w:t>: Tổng chi phí bình quân năm của nhà máy thủy điện chiến lược đa mục tiêu trong chu kỳ tính giá;</w:t>
      </w:r>
    </w:p>
    <w:p w14:paraId="7AA66C8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LN: Lợi nhuận định mức của nhà máy điện, được xác định trên cơ sở vốn chủ sở hữu tương ứng với giá trị tài sản còn lại của nhà máy và tỷ suất lợi nhuận trước thuế trên vốn chủ sở hữu theo quy định;</w:t>
      </w:r>
    </w:p>
    <w:p w14:paraId="5D9EAB65"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A</w:t>
      </w:r>
      <w:r w:rsidRPr="00140F03">
        <w:rPr>
          <w:rFonts w:ascii="Arial" w:eastAsia="Times New Roman" w:hAnsi="Arial" w:cs="Arial"/>
          <w:color w:val="000000"/>
          <w:sz w:val="20"/>
          <w:szCs w:val="20"/>
          <w:vertAlign w:val="subscript"/>
          <w:lang w:val="fr-FR"/>
        </w:rPr>
        <w:t>bq</w:t>
      </w:r>
      <w:r w:rsidRPr="00140F03">
        <w:rPr>
          <w:rFonts w:ascii="Arial" w:eastAsia="Times New Roman" w:hAnsi="Arial" w:cs="Arial"/>
          <w:color w:val="000000"/>
          <w:sz w:val="20"/>
          <w:szCs w:val="20"/>
          <w:lang w:val="fr-FR"/>
        </w:rPr>
        <w:t>: Điện năng xuất tuyến bình quân năm trong 5 năm gần nhất thời điểm đàm phán giá điện.</w:t>
      </w:r>
    </w:p>
    <w:p w14:paraId="2B2223A0"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3. Sản lượng điện năng theo Hợp đồng</w:t>
      </w:r>
    </w:p>
    <w:p w14:paraId="57BD741C"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1. Sản lượng điện năng phát bình quân nhiều năm tại điểm giao nhận điện của nhà máy theo thời hạn Hợp đồng của Nhà máy điện là […] kWh.</w:t>
      </w:r>
    </w:p>
    <w:p w14:paraId="1A1C3ED9"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2. Sản lượng Hợp đồng năm N được Đơn vị vận hành hệ thống điện và thị trường điện xác định trong quá trình lập kế hoạch vận hành năm tới.</w:t>
      </w:r>
    </w:p>
    <w:p w14:paraId="48A3DB28"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3. Sản lượng kế hoạch năm của Nhà máy điện được Đơn vị vận hành hệ thống điện và thị trường điện quốc gia xác định trong quá trình lập kế hoạch vận hành năm tới theo Quy định vận hành thị trường bán buôn điện cạnh tranh.</w:t>
      </w:r>
    </w:p>
    <w:p w14:paraId="511B5C94"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4. Sản lượng hợp đồng tháng, sản lượng hợp đồng của các chu kỳ giao dịch trong tháng tới của Nhà máy điện được Đơn vị vận hành hệ thống điện và thị trường điện quốc gia xác định trong quá trình lập kế hoạch vận hành năm tới theo Quy định vận hành thị trường bán buôn điện cạnh tranh.</w:t>
      </w:r>
    </w:p>
    <w:p w14:paraId="21BB8BCF"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b/>
          <w:bCs/>
          <w:color w:val="000000"/>
          <w:sz w:val="20"/>
          <w:szCs w:val="20"/>
          <w:lang w:val="fr-FR"/>
        </w:rPr>
        <w:t>II. Thanh toán tiền điện theo Hợp đồng</w:t>
      </w:r>
    </w:p>
    <w:p w14:paraId="32EF4936" w14:textId="77777777" w:rsidR="00140F03" w:rsidRPr="00140F03" w:rsidRDefault="00140F03" w:rsidP="00140F03">
      <w:pPr>
        <w:shd w:val="clear" w:color="auto" w:fill="FFFFFF"/>
        <w:spacing w:after="120" w:line="234" w:lineRule="atLeast"/>
        <w:rPr>
          <w:rFonts w:ascii="Arial" w:eastAsia="Times New Roman" w:hAnsi="Arial" w:cs="Arial"/>
          <w:color w:val="000000"/>
          <w:sz w:val="18"/>
          <w:szCs w:val="18"/>
        </w:rPr>
      </w:pPr>
      <w:r w:rsidRPr="00140F03">
        <w:rPr>
          <w:rFonts w:ascii="Arial" w:eastAsia="Times New Roman" w:hAnsi="Arial" w:cs="Arial"/>
          <w:color w:val="000000"/>
          <w:sz w:val="20"/>
          <w:szCs w:val="20"/>
          <w:lang w:val="fr-FR"/>
        </w:rPr>
        <w:t>(Cơ chế thanh toán theo quy định thị trường bán buôn điện cạnh tranh).</w:t>
      </w:r>
    </w:p>
    <w:p w14:paraId="20D85B42" w14:textId="77777777" w:rsidR="00C47FAB" w:rsidRDefault="00C47FAB"/>
    <w:p w14:paraId="2731C71F" w14:textId="77777777" w:rsidR="00140F03" w:rsidRPr="00140F03" w:rsidRDefault="00140F03">
      <w:pPr>
        <w:rPr>
          <w:rFonts w:ascii="Times New Roman" w:hAnsi="Times New Roman" w:cs="Times New Roman"/>
          <w:sz w:val="24"/>
          <w:szCs w:val="24"/>
        </w:rPr>
      </w:pPr>
      <w:r w:rsidRPr="00140F03">
        <w:rPr>
          <w:rFonts w:ascii="Times New Roman" w:hAnsi="Times New Roman" w:cs="Times New Roman"/>
          <w:i/>
          <w:sz w:val="24"/>
          <w:szCs w:val="24"/>
        </w:rPr>
        <w:t>Nguồn:</w:t>
      </w:r>
      <w:r w:rsidRPr="00140F03">
        <w:rPr>
          <w:rFonts w:ascii="Times New Roman" w:hAnsi="Times New Roman" w:cs="Times New Roman"/>
          <w:sz w:val="24"/>
          <w:szCs w:val="24"/>
        </w:rPr>
        <w:t xml:space="preserve"> Thông tư </w:t>
      </w:r>
      <w:r w:rsidRPr="00140F03">
        <w:rPr>
          <w:rFonts w:ascii="Times New Roman" w:hAnsi="Times New Roman" w:cs="Times New Roman"/>
          <w:color w:val="000000"/>
          <w:sz w:val="24"/>
          <w:szCs w:val="24"/>
          <w:shd w:val="clear" w:color="auto" w:fill="FFFFFF"/>
        </w:rPr>
        <w:t>26/2017/TT-BCT</w:t>
      </w:r>
    </w:p>
    <w:sectPr w:rsidR="00140F03" w:rsidRPr="00140F03" w:rsidSect="005208ED">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07177D" w14:textId="77777777" w:rsidR="005208ED" w:rsidRDefault="005208ED" w:rsidP="00011BE8">
      <w:pPr>
        <w:spacing w:after="0" w:line="240" w:lineRule="auto"/>
      </w:pPr>
      <w:r>
        <w:separator/>
      </w:r>
    </w:p>
  </w:endnote>
  <w:endnote w:type="continuationSeparator" w:id="0">
    <w:p w14:paraId="1D9642D3" w14:textId="77777777" w:rsidR="005208ED" w:rsidRDefault="005208ED" w:rsidP="00011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AC3F1A" w14:textId="3CD1F94B" w:rsidR="00011BE8" w:rsidRDefault="00011BE8">
    <w:pPr>
      <w:pStyle w:val="Footer"/>
    </w:pPr>
    <w:r>
      <w:rPr>
        <w:noProof/>
      </w:rPr>
      <w:drawing>
        <wp:inline distT="0" distB="0" distL="0" distR="0" wp14:anchorId="5E5578AD" wp14:editId="41B42D4C">
          <wp:extent cx="5943600" cy="558165"/>
          <wp:effectExtent l="0" t="0" r="0" b="0"/>
          <wp:docPr id="15472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E7F2FB" w14:textId="77777777" w:rsidR="005208ED" w:rsidRDefault="005208ED" w:rsidP="00011BE8">
      <w:pPr>
        <w:spacing w:after="0" w:line="240" w:lineRule="auto"/>
      </w:pPr>
      <w:r>
        <w:separator/>
      </w:r>
    </w:p>
  </w:footnote>
  <w:footnote w:type="continuationSeparator" w:id="0">
    <w:p w14:paraId="4FE5DD27" w14:textId="77777777" w:rsidR="005208ED" w:rsidRDefault="005208ED" w:rsidP="00011B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71EB5" w14:textId="373762AA" w:rsidR="00011BE8" w:rsidRDefault="00011BE8">
    <w:pPr>
      <w:pStyle w:val="Header"/>
    </w:pPr>
    <w:r>
      <w:rPr>
        <w:noProof/>
      </w:rPr>
      <w:drawing>
        <wp:inline distT="0" distB="0" distL="0" distR="0" wp14:anchorId="62D0F59D" wp14:editId="1045934D">
          <wp:extent cx="5943600" cy="55816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EF3364"/>
    <w:multiLevelType w:val="multilevel"/>
    <w:tmpl w:val="034A7C3E"/>
    <w:lvl w:ilvl="0">
      <w:start w:val="1"/>
      <w:numFmt w:val="decimal"/>
      <w:lvlText w:val="ĐIỀU %1."/>
      <w:lvlJc w:val="left"/>
      <w:pPr>
        <w:ind w:left="284" w:hanging="284"/>
      </w:pPr>
      <w:rPr>
        <w:rFonts w:hint="default"/>
      </w:rPr>
    </w:lvl>
    <w:lvl w:ilvl="1">
      <w:start w:val="1"/>
      <w:numFmt w:val="decimal"/>
      <w:lvlText w:val="%1.%2."/>
      <w:lvlJc w:val="left"/>
      <w:pPr>
        <w:ind w:left="567" w:hanging="567"/>
      </w:pPr>
      <w:rPr>
        <w:rFonts w:hint="default"/>
        <w:b/>
      </w:rPr>
    </w:lvl>
    <w:lvl w:ilvl="2">
      <w:start w:val="1"/>
      <w:numFmt w:val="decimal"/>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7364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F03"/>
    <w:rsid w:val="00011BE8"/>
    <w:rsid w:val="00035E6A"/>
    <w:rsid w:val="00140F03"/>
    <w:rsid w:val="00255FB6"/>
    <w:rsid w:val="004A7C7E"/>
    <w:rsid w:val="00517BC8"/>
    <w:rsid w:val="005208ED"/>
    <w:rsid w:val="005258E8"/>
    <w:rsid w:val="005D0A27"/>
    <w:rsid w:val="007C0CC1"/>
    <w:rsid w:val="009215F3"/>
    <w:rsid w:val="00A31FA6"/>
    <w:rsid w:val="00B3762A"/>
    <w:rsid w:val="00C47FAB"/>
    <w:rsid w:val="00CB4FC1"/>
    <w:rsid w:val="00E40E86"/>
    <w:rsid w:val="00F15D8A"/>
    <w:rsid w:val="00F83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FCEC8"/>
  <w15:docId w15:val="{510104BA-F25A-449E-B712-49282965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F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40F0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40F03"/>
    <w:rPr>
      <w:color w:val="0000FF"/>
      <w:u w:val="single"/>
    </w:rPr>
  </w:style>
  <w:style w:type="paragraph" w:styleId="BalloonText">
    <w:name w:val="Balloon Text"/>
    <w:basedOn w:val="Normal"/>
    <w:link w:val="BalloonTextChar"/>
    <w:uiPriority w:val="99"/>
    <w:semiHidden/>
    <w:unhideWhenUsed/>
    <w:rsid w:val="00140F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F03"/>
    <w:rPr>
      <w:rFonts w:ascii="Tahoma" w:hAnsi="Tahoma" w:cs="Tahoma"/>
      <w:sz w:val="16"/>
      <w:szCs w:val="16"/>
    </w:rPr>
  </w:style>
  <w:style w:type="paragraph" w:styleId="ListParagraph">
    <w:name w:val="List Paragraph"/>
    <w:basedOn w:val="Normal"/>
    <w:uiPriority w:val="34"/>
    <w:qFormat/>
    <w:rsid w:val="00F834A8"/>
    <w:pPr>
      <w:ind w:left="720"/>
      <w:contextualSpacing/>
    </w:pPr>
  </w:style>
  <w:style w:type="paragraph" w:styleId="Header">
    <w:name w:val="header"/>
    <w:basedOn w:val="Normal"/>
    <w:link w:val="HeaderChar"/>
    <w:uiPriority w:val="99"/>
    <w:unhideWhenUsed/>
    <w:rsid w:val="00011B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BE8"/>
  </w:style>
  <w:style w:type="paragraph" w:styleId="Footer">
    <w:name w:val="footer"/>
    <w:basedOn w:val="Normal"/>
    <w:link w:val="FooterChar"/>
    <w:uiPriority w:val="99"/>
    <w:unhideWhenUsed/>
    <w:rsid w:val="00011B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396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gi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thuvienphapluat.vn/phap-luat/tim-van-ban.aspx?keyword=137/2013/N%C4%90-CP&amp;area=2&amp;type=0&amp;match=False&amp;vc=True&amp;lan=1" TargetMode="External"/><Relationship Id="rId12" Type="http://schemas.openxmlformats.org/officeDocument/2006/relationships/image" Target="media/image5.gi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image" Target="media/image8.gif"/><Relationship Id="rId10" Type="http://schemas.openxmlformats.org/officeDocument/2006/relationships/image" Target="media/image3.g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image" Target="media/image7.gi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4970</Words>
  <Characters>28332</Characters>
  <Application>Microsoft Office Word</Application>
  <DocSecurity>0</DocSecurity>
  <Lines>236</Lines>
  <Paragraphs>66</Paragraphs>
  <ScaleCrop>false</ScaleCrop>
  <Company/>
  <LinksUpToDate>false</LinksUpToDate>
  <CharactersWithSpaces>33236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cp:lastModifiedBy>
  <cp:revision>5</cp:revision>
  <dcterms:created xsi:type="dcterms:W3CDTF">2024-05-02T10:50:00Z</dcterms:created>
  <dcterms:modified xsi:type="dcterms:W3CDTF">2024-05-02T14:20:00Z</dcterms:modified>
</cp:coreProperties>
</file>