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CAB990" w14:textId="02488331" w:rsidR="007972A1" w:rsidRDefault="007F3AAA" w:rsidP="007972A1">
      <w:pPr>
        <w:rPr>
          <w:b/>
        </w:rPr>
      </w:pPr>
      <w:r w:rsidRPr="00987E9C">
        <w:rPr>
          <w:b/>
          <w:sz w:val="24"/>
          <w:szCs w:val="24"/>
        </w:rPr>
        <w:t>Table 1</w:t>
      </w:r>
      <w:r w:rsidR="002C7E9C" w:rsidRPr="00987E9C">
        <w:rPr>
          <w:b/>
          <w:sz w:val="24"/>
          <w:szCs w:val="24"/>
        </w:rPr>
        <w:t xml:space="preserve">. </w:t>
      </w:r>
      <w:r w:rsidR="004A03DF" w:rsidRPr="00987E9C">
        <w:rPr>
          <w:b/>
          <w:sz w:val="24"/>
          <w:szCs w:val="24"/>
        </w:rPr>
        <w:t>Number of s</w:t>
      </w:r>
      <w:r w:rsidR="002C7E9C" w:rsidRPr="00987E9C">
        <w:rPr>
          <w:b/>
          <w:sz w:val="24"/>
          <w:szCs w:val="24"/>
        </w:rPr>
        <w:t xml:space="preserve">ubmission </w:t>
      </w:r>
      <w:r w:rsidR="009718F2" w:rsidRPr="00987E9C">
        <w:rPr>
          <w:b/>
          <w:sz w:val="24"/>
          <w:szCs w:val="24"/>
        </w:rPr>
        <w:t>c</w:t>
      </w:r>
      <w:r w:rsidR="002C7E9C" w:rsidRPr="00987E9C">
        <w:rPr>
          <w:b/>
          <w:sz w:val="24"/>
          <w:szCs w:val="24"/>
        </w:rPr>
        <w:t xml:space="preserve">ycles and </w:t>
      </w:r>
      <w:r w:rsidR="009718F2" w:rsidRPr="00987E9C">
        <w:rPr>
          <w:b/>
          <w:sz w:val="24"/>
          <w:szCs w:val="24"/>
        </w:rPr>
        <w:t xml:space="preserve">days </w:t>
      </w:r>
      <w:r w:rsidR="004A03DF" w:rsidRPr="00987E9C">
        <w:rPr>
          <w:b/>
          <w:sz w:val="24"/>
          <w:szCs w:val="24"/>
        </w:rPr>
        <w:t>to post results</w:t>
      </w:r>
      <w:r w:rsidR="009718F2" w:rsidRPr="00987E9C">
        <w:rPr>
          <w:b/>
          <w:sz w:val="24"/>
          <w:szCs w:val="24"/>
        </w:rPr>
        <w:t xml:space="preserve"> </w:t>
      </w:r>
      <w:r w:rsidR="004A03DF" w:rsidRPr="00987E9C">
        <w:rPr>
          <w:b/>
          <w:sz w:val="24"/>
          <w:szCs w:val="24"/>
        </w:rPr>
        <w:t xml:space="preserve">for </w:t>
      </w:r>
      <w:r w:rsidR="002C7E9C" w:rsidRPr="00987E9C">
        <w:rPr>
          <w:b/>
          <w:sz w:val="24"/>
          <w:szCs w:val="24"/>
        </w:rPr>
        <w:t xml:space="preserve">Johns Hopkins </w:t>
      </w:r>
      <w:r w:rsidR="009718F2" w:rsidRPr="00987E9C">
        <w:rPr>
          <w:b/>
          <w:sz w:val="24"/>
          <w:szCs w:val="24"/>
        </w:rPr>
        <w:t>University clinical trial</w:t>
      </w:r>
      <w:r w:rsidR="002C7E9C" w:rsidRPr="00987E9C">
        <w:rPr>
          <w:b/>
          <w:sz w:val="24"/>
          <w:szCs w:val="24"/>
        </w:rPr>
        <w:t xml:space="preserve"> </w:t>
      </w:r>
      <w:r w:rsidR="009718F2" w:rsidRPr="00987E9C">
        <w:rPr>
          <w:b/>
          <w:sz w:val="24"/>
          <w:szCs w:val="24"/>
        </w:rPr>
        <w:t>r</w:t>
      </w:r>
      <w:r w:rsidR="002C7E9C" w:rsidRPr="00987E9C">
        <w:rPr>
          <w:b/>
          <w:sz w:val="24"/>
          <w:szCs w:val="24"/>
        </w:rPr>
        <w:t>esults, 2017-2018</w:t>
      </w:r>
      <w:r>
        <w:rPr>
          <w:b/>
        </w:rPr>
        <w:t xml:space="preserve"> </w:t>
      </w:r>
    </w:p>
    <w:tbl>
      <w:tblPr>
        <w:tblStyle w:val="TableGrid"/>
        <w:tblW w:w="11580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3240"/>
        <w:gridCol w:w="2085"/>
        <w:gridCol w:w="2085"/>
        <w:gridCol w:w="2085"/>
        <w:gridCol w:w="2085"/>
      </w:tblGrid>
      <w:tr w:rsidR="00B9406B" w14:paraId="60349180" w14:textId="77777777" w:rsidTr="0086776F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F3D96A4" w14:textId="77777777" w:rsidR="007972A1" w:rsidRDefault="007972A1" w:rsidP="00986B3D">
            <w:pPr>
              <w:jc w:val="right"/>
              <w:rPr>
                <w:b/>
              </w:rPr>
            </w:pPr>
          </w:p>
        </w:tc>
        <w:tc>
          <w:tcPr>
            <w:tcW w:w="41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8C8D670" w14:textId="77777777" w:rsidR="007972A1" w:rsidRDefault="007972A1" w:rsidP="00986B3D">
            <w:pPr>
              <w:jc w:val="center"/>
              <w:rPr>
                <w:b/>
              </w:rPr>
            </w:pPr>
            <w:r>
              <w:rPr>
                <w:b/>
              </w:rPr>
              <w:t>2017</w:t>
            </w:r>
          </w:p>
        </w:tc>
        <w:tc>
          <w:tcPr>
            <w:tcW w:w="4170" w:type="dxa"/>
            <w:gridSpan w:val="2"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000000" w:themeFill="text1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BD75DC2" w14:textId="77777777" w:rsidR="007972A1" w:rsidRPr="003D042D" w:rsidRDefault="007972A1" w:rsidP="00986B3D">
            <w:pPr>
              <w:jc w:val="center"/>
              <w:rPr>
                <w:b/>
                <w:color w:val="FFFFFF" w:themeColor="background1"/>
              </w:rPr>
            </w:pPr>
            <w:r w:rsidRPr="003D042D">
              <w:rPr>
                <w:b/>
                <w:color w:val="FFFFFF" w:themeColor="background1"/>
              </w:rPr>
              <w:t>2018</w:t>
            </w:r>
          </w:p>
        </w:tc>
      </w:tr>
      <w:tr w:rsidR="00B9406B" w14:paraId="52A3A332" w14:textId="77777777" w:rsidTr="0086776F"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BBEB3EA" w14:textId="77777777" w:rsidR="007972A1" w:rsidRDefault="007972A1" w:rsidP="00986B3D">
            <w:pPr>
              <w:jc w:val="right"/>
              <w:rPr>
                <w:b/>
              </w:rPr>
            </w:pPr>
          </w:p>
        </w:tc>
        <w:tc>
          <w:tcPr>
            <w:tcW w:w="2085" w:type="dxa"/>
            <w:tcBorders>
              <w:left w:val="single" w:sz="4" w:space="0" w:color="auto"/>
              <w:bottom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E08FEBC" w14:textId="77777777" w:rsidR="007972A1" w:rsidRDefault="007972A1" w:rsidP="00986B3D">
            <w:pPr>
              <w:jc w:val="center"/>
              <w:rPr>
                <w:b/>
              </w:rPr>
            </w:pPr>
            <w:r>
              <w:rPr>
                <w:b/>
              </w:rPr>
              <w:t>pACT</w:t>
            </w:r>
          </w:p>
        </w:tc>
        <w:tc>
          <w:tcPr>
            <w:tcW w:w="2085" w:type="dxa"/>
            <w:tcBorders>
              <w:bottom w:val="single" w:sz="4" w:space="0" w:color="auto"/>
              <w:right w:val="single" w:sz="12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A214D42" w14:textId="32DDB16A" w:rsidR="007972A1" w:rsidRDefault="00B3284E" w:rsidP="00986B3D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 w:rsidR="007972A1">
              <w:rPr>
                <w:b/>
              </w:rPr>
              <w:t>on-ACT</w:t>
            </w:r>
          </w:p>
        </w:tc>
        <w:tc>
          <w:tcPr>
            <w:tcW w:w="2085" w:type="dxa"/>
            <w:tcBorders>
              <w:left w:val="single" w:sz="12" w:space="0" w:color="auto"/>
              <w:bottom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A9DCA72" w14:textId="2F49146E" w:rsidR="007972A1" w:rsidRDefault="007972A1" w:rsidP="00986B3D">
            <w:pPr>
              <w:jc w:val="center"/>
              <w:rPr>
                <w:b/>
              </w:rPr>
            </w:pPr>
            <w:r>
              <w:rPr>
                <w:b/>
              </w:rPr>
              <w:t>pACT</w:t>
            </w:r>
            <w:r w:rsidR="007A411D" w:rsidRPr="0086776F">
              <w:rPr>
                <w:b/>
                <w:vertAlign w:val="superscript"/>
              </w:rPr>
              <w:t>a</w:t>
            </w:r>
          </w:p>
        </w:tc>
        <w:tc>
          <w:tcPr>
            <w:tcW w:w="2085" w:type="dxa"/>
            <w:tcBorders>
              <w:bottom w:val="single" w:sz="4" w:space="0" w:color="auto"/>
              <w:right w:val="single" w:sz="12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26C5FCA" w14:textId="7DEBF557" w:rsidR="007972A1" w:rsidRDefault="00B3284E" w:rsidP="00986B3D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 w:rsidR="00BD4C37">
              <w:rPr>
                <w:b/>
              </w:rPr>
              <w:t>on-ACT</w:t>
            </w:r>
            <w:r w:rsidR="007A411D">
              <w:rPr>
                <w:vertAlign w:val="superscript"/>
              </w:rPr>
              <w:t>b</w:t>
            </w:r>
          </w:p>
        </w:tc>
      </w:tr>
      <w:tr w:rsidR="00B9406B" w14:paraId="2546F1E6" w14:textId="77777777" w:rsidTr="0086776F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AB894B2" w14:textId="602AC575" w:rsidR="009E7EC0" w:rsidRDefault="009E7EC0" w:rsidP="009E7EC0">
            <w:pPr>
              <w:jc w:val="right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9718F2">
              <w:rPr>
                <w:b/>
              </w:rPr>
              <w:t>r</w:t>
            </w:r>
            <w:r>
              <w:rPr>
                <w:b/>
              </w:rPr>
              <w:t>ecords with submitted results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62D6135" w14:textId="77777777" w:rsidR="009E7EC0" w:rsidRPr="009718F2" w:rsidRDefault="00B202D8" w:rsidP="00986B3D">
            <w:r w:rsidRPr="009718F2">
              <w:t>73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5F70159" w14:textId="3C4C4EAD" w:rsidR="009E7EC0" w:rsidRPr="009718F2" w:rsidRDefault="009E7EC0" w:rsidP="00B202D8">
            <w:r w:rsidRPr="009718F2">
              <w:t>1</w:t>
            </w:r>
            <w:r w:rsidR="00B202D8" w:rsidRPr="009718F2">
              <w:t>5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FFB9E07" w14:textId="77777777" w:rsidR="009E7EC0" w:rsidRPr="009718F2" w:rsidRDefault="009E7EC0" w:rsidP="00986B3D">
            <w:r w:rsidRPr="009718F2">
              <w:t>24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2EA658E" w14:textId="79A2FE71" w:rsidR="009E7EC0" w:rsidRPr="009718F2" w:rsidRDefault="00B202D8" w:rsidP="00986B3D">
            <w:r w:rsidRPr="009718F2">
              <w:t>9</w:t>
            </w:r>
          </w:p>
        </w:tc>
      </w:tr>
      <w:tr w:rsidR="00B9406B" w14:paraId="2E0F1290" w14:textId="77777777" w:rsidTr="0086776F"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DBABB07" w14:textId="76FAA2CB" w:rsidR="007972A1" w:rsidRDefault="007972A1" w:rsidP="008D2DE3">
            <w:pPr>
              <w:jc w:val="right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9718F2">
              <w:rPr>
                <w:b/>
              </w:rPr>
              <w:t>r</w:t>
            </w:r>
            <w:r>
              <w:rPr>
                <w:b/>
              </w:rPr>
              <w:t>ecords</w:t>
            </w:r>
            <w:r w:rsidR="002104A4">
              <w:rPr>
                <w:b/>
              </w:rPr>
              <w:t xml:space="preserve"> with </w:t>
            </w:r>
            <w:r w:rsidR="008D2DE3">
              <w:rPr>
                <w:b/>
              </w:rPr>
              <w:t>posted results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FA5D767" w14:textId="77777777" w:rsidR="007972A1" w:rsidRPr="009718F2" w:rsidRDefault="007972A1" w:rsidP="00986B3D">
            <w:r w:rsidRPr="009718F2">
              <w:t>73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8457EC8" w14:textId="08444A86" w:rsidR="007972A1" w:rsidRPr="009718F2" w:rsidRDefault="007972A1" w:rsidP="00986B3D">
            <w:r w:rsidRPr="009718F2">
              <w:t>11</w:t>
            </w:r>
            <w:r w:rsidR="00956ED0" w:rsidRPr="007A411D">
              <w:rPr>
                <w:vertAlign w:val="superscript"/>
              </w:rPr>
              <w:t>c</w:t>
            </w:r>
          </w:p>
        </w:tc>
        <w:tc>
          <w:tcPr>
            <w:tcW w:w="208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D1D9BF2" w14:textId="77777777" w:rsidR="007972A1" w:rsidRPr="009718F2" w:rsidRDefault="007972A1" w:rsidP="00986B3D">
            <w:r w:rsidRPr="009718F2">
              <w:t>24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3F44BDC" w14:textId="2773C03D" w:rsidR="007972A1" w:rsidRPr="009718F2" w:rsidRDefault="007972A1" w:rsidP="00986B3D">
            <w:r w:rsidRPr="009718F2">
              <w:t>7</w:t>
            </w:r>
            <w:r w:rsidR="00956ED0" w:rsidRPr="007A411D">
              <w:rPr>
                <w:vertAlign w:val="superscript"/>
              </w:rPr>
              <w:t>c</w:t>
            </w:r>
          </w:p>
        </w:tc>
      </w:tr>
      <w:tr w:rsidR="00B9406B" w14:paraId="4DD0B8A7" w14:textId="77777777" w:rsidTr="0086776F"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347D769" w14:textId="6151085F" w:rsidR="00B52B1C" w:rsidRPr="003D042D" w:rsidRDefault="00B52B1C" w:rsidP="00B52B1C">
            <w:pPr>
              <w:jc w:val="right"/>
              <w:rPr>
                <w:b/>
              </w:rPr>
            </w:pPr>
            <w:r w:rsidRPr="003D042D">
              <w:rPr>
                <w:b/>
              </w:rPr>
              <w:t xml:space="preserve">Total </w:t>
            </w:r>
            <w:r w:rsidR="00B3284E">
              <w:rPr>
                <w:b/>
              </w:rPr>
              <w:t>d</w:t>
            </w:r>
            <w:r w:rsidRPr="003D042D">
              <w:rPr>
                <w:b/>
              </w:rPr>
              <w:t xml:space="preserve">ays in </w:t>
            </w:r>
            <w:r w:rsidR="00B3284E">
              <w:rPr>
                <w:b/>
              </w:rPr>
              <w:t>r</w:t>
            </w:r>
            <w:r w:rsidRPr="003D042D">
              <w:rPr>
                <w:b/>
              </w:rPr>
              <w:t>eview</w:t>
            </w:r>
            <w:r>
              <w:rPr>
                <w:b/>
              </w:rPr>
              <w:t xml:space="preserve"> (</w:t>
            </w:r>
            <w:r w:rsidR="00B3284E">
              <w:rPr>
                <w:b/>
              </w:rPr>
              <w:t>m</w:t>
            </w:r>
            <w:r>
              <w:rPr>
                <w:b/>
              </w:rPr>
              <w:t>ean, SD)</w:t>
            </w:r>
          </w:p>
          <w:p w14:paraId="461F9A5B" w14:textId="77777777" w:rsidR="00B52B1C" w:rsidRDefault="00B52B1C" w:rsidP="00B52B1C">
            <w:pPr>
              <w:jc w:val="right"/>
            </w:pPr>
            <w:r>
              <w:t xml:space="preserve"> JHU</w:t>
            </w:r>
          </w:p>
          <w:p w14:paraId="45716C46" w14:textId="77777777" w:rsidR="00B52B1C" w:rsidRPr="007F3AAA" w:rsidRDefault="00B52B1C" w:rsidP="00B52B1C">
            <w:pPr>
              <w:jc w:val="right"/>
              <w:rPr>
                <w:u w:val="single"/>
              </w:rPr>
            </w:pPr>
            <w:r w:rsidRPr="007F3AAA">
              <w:rPr>
                <w:u w:val="single"/>
              </w:rPr>
              <w:t>NIH</w:t>
            </w:r>
          </w:p>
          <w:p w14:paraId="2B53A3C1" w14:textId="77777777" w:rsidR="007F3AAA" w:rsidRPr="00827F68" w:rsidRDefault="007F3AAA" w:rsidP="00B52B1C">
            <w:pPr>
              <w:jc w:val="right"/>
            </w:pPr>
            <w:r>
              <w:t>Total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2BDF349" w14:textId="77777777" w:rsidR="007F3AAA" w:rsidRPr="009718F2" w:rsidRDefault="007F3AAA" w:rsidP="00B52B1C"/>
          <w:p w14:paraId="0C2B1F00" w14:textId="77777777" w:rsidR="00B52B1C" w:rsidRPr="009718F2" w:rsidRDefault="00B52B1C" w:rsidP="00B52B1C">
            <w:r w:rsidRPr="009718F2">
              <w:t>17.00 (24.26)</w:t>
            </w:r>
          </w:p>
          <w:p w14:paraId="6D50F08E" w14:textId="77777777" w:rsidR="00B52B1C" w:rsidRPr="009718F2" w:rsidRDefault="00B52B1C" w:rsidP="00B52B1C">
            <w:r w:rsidRPr="009718F2">
              <w:t>62.15 (27.35)</w:t>
            </w:r>
          </w:p>
          <w:p w14:paraId="55296235" w14:textId="77777777" w:rsidR="007F3AAA" w:rsidRPr="009718F2" w:rsidRDefault="007F3AAA" w:rsidP="007F3AAA">
            <w:r w:rsidRPr="009718F2">
              <w:t>79.15 (42.16)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FA97760" w14:textId="77777777" w:rsidR="007F3AAA" w:rsidRPr="009718F2" w:rsidRDefault="007F3AAA" w:rsidP="00B52B1C"/>
          <w:p w14:paraId="13557BD7" w14:textId="77777777" w:rsidR="00B52B1C" w:rsidRPr="009718F2" w:rsidRDefault="00B52B1C" w:rsidP="00B52B1C">
            <w:r w:rsidRPr="009718F2">
              <w:t>59.00 (66.61)</w:t>
            </w:r>
          </w:p>
          <w:p w14:paraId="517C920A" w14:textId="77777777" w:rsidR="00B52B1C" w:rsidRPr="009718F2" w:rsidRDefault="00B52B1C" w:rsidP="00B52B1C">
            <w:r w:rsidRPr="009718F2">
              <w:t>145.73 (105.86)</w:t>
            </w:r>
          </w:p>
          <w:p w14:paraId="32FB668C" w14:textId="77777777" w:rsidR="007F3AAA" w:rsidRPr="009718F2" w:rsidRDefault="007F3AAA" w:rsidP="00B52B1C">
            <w:r w:rsidRPr="009718F2">
              <w:t>204.73 (149.21)</w:t>
            </w:r>
          </w:p>
        </w:tc>
        <w:tc>
          <w:tcPr>
            <w:tcW w:w="208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199C553" w14:textId="77777777" w:rsidR="007F3AAA" w:rsidRPr="009718F2" w:rsidRDefault="007F3AAA" w:rsidP="00B52B1C"/>
          <w:p w14:paraId="3333F165" w14:textId="77777777" w:rsidR="00B52B1C" w:rsidRPr="009718F2" w:rsidRDefault="00B52B1C" w:rsidP="00B52B1C">
            <w:r w:rsidRPr="009718F2">
              <w:t>16.33 (17.19)</w:t>
            </w:r>
          </w:p>
          <w:p w14:paraId="6AC08D6D" w14:textId="77777777" w:rsidR="00B52B1C" w:rsidRPr="009718F2" w:rsidRDefault="00B52B1C" w:rsidP="00B52B1C">
            <w:r w:rsidRPr="009718F2">
              <w:t>51.00 (19.95)</w:t>
            </w:r>
          </w:p>
          <w:p w14:paraId="77FE715A" w14:textId="77777777" w:rsidR="007F3AAA" w:rsidRPr="009718F2" w:rsidRDefault="007F3AAA" w:rsidP="007F3AAA">
            <w:r w:rsidRPr="009718F2">
              <w:t>67.33 (29.14)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74F72F7" w14:textId="77777777" w:rsidR="007F3AAA" w:rsidRPr="009718F2" w:rsidRDefault="007F3AAA" w:rsidP="00B52B1C"/>
          <w:p w14:paraId="3DFA75E0" w14:textId="77777777" w:rsidR="00B52B1C" w:rsidRPr="009718F2" w:rsidRDefault="00B52B1C" w:rsidP="00B52B1C">
            <w:r w:rsidRPr="009718F2">
              <w:t>19.71</w:t>
            </w:r>
            <w:r w:rsidR="009838C9" w:rsidRPr="009718F2">
              <w:t xml:space="preserve"> (26.47)</w:t>
            </w:r>
          </w:p>
          <w:p w14:paraId="4C88EDDD" w14:textId="77777777" w:rsidR="00B52B1C" w:rsidRPr="009718F2" w:rsidRDefault="00B52B1C" w:rsidP="00B52B1C">
            <w:r w:rsidRPr="009718F2">
              <w:t>75.14</w:t>
            </w:r>
            <w:r w:rsidR="00474309" w:rsidRPr="009718F2">
              <w:t xml:space="preserve"> (</w:t>
            </w:r>
            <w:r w:rsidR="009838C9" w:rsidRPr="009718F2">
              <w:t>72.61)</w:t>
            </w:r>
          </w:p>
          <w:p w14:paraId="3C1A08CF" w14:textId="77777777" w:rsidR="007F3AAA" w:rsidRPr="009718F2" w:rsidRDefault="007F3AAA" w:rsidP="007F3AAA">
            <w:r w:rsidRPr="009718F2">
              <w:t>94.86 (98.49)</w:t>
            </w:r>
          </w:p>
        </w:tc>
      </w:tr>
      <w:tr w:rsidR="00B9406B" w14:paraId="2D5CE48A" w14:textId="77777777" w:rsidTr="0086776F">
        <w:trPr>
          <w:trHeight w:val="771"/>
        </w:trPr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B48B522" w14:textId="77777777" w:rsidR="00B52B1C" w:rsidRDefault="00B52B1C" w:rsidP="00B52B1C">
            <w:pPr>
              <w:jc w:val="right"/>
              <w:rPr>
                <w:b/>
              </w:rPr>
            </w:pPr>
            <w:r>
              <w:rPr>
                <w:b/>
              </w:rPr>
              <w:t>Number of submission cycles</w:t>
            </w:r>
          </w:p>
          <w:p w14:paraId="0F59CAB9" w14:textId="7CBB21DD" w:rsidR="00B52B1C" w:rsidRPr="009718F2" w:rsidRDefault="00B3284E" w:rsidP="00B52B1C">
            <w:pPr>
              <w:jc w:val="right"/>
            </w:pPr>
            <w:r>
              <w:t>m</w:t>
            </w:r>
            <w:r w:rsidR="00B52B1C" w:rsidRPr="009718F2">
              <w:t>ean (</w:t>
            </w:r>
            <w:r w:rsidR="006C0C5E">
              <w:t>SD)</w:t>
            </w:r>
          </w:p>
          <w:p w14:paraId="02C2C7DE" w14:textId="320F1711" w:rsidR="00B52B1C" w:rsidRDefault="00B3284E" w:rsidP="00B52B1C">
            <w:pPr>
              <w:jc w:val="right"/>
              <w:rPr>
                <w:b/>
              </w:rPr>
            </w:pPr>
            <w:r>
              <w:t>m</w:t>
            </w:r>
            <w:r w:rsidR="00B52B1C" w:rsidRPr="009718F2">
              <w:t>edian (IQR)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57A4D05" w14:textId="77777777" w:rsidR="00B52B1C" w:rsidRPr="009718F2" w:rsidRDefault="00B52B1C" w:rsidP="00B52B1C"/>
          <w:p w14:paraId="3FE9633A" w14:textId="77777777" w:rsidR="00B52B1C" w:rsidRPr="009718F2" w:rsidRDefault="00B52B1C" w:rsidP="00B52B1C">
            <w:r w:rsidRPr="009718F2">
              <w:t>2.27 (0.89)</w:t>
            </w:r>
          </w:p>
          <w:p w14:paraId="7790918F" w14:textId="77777777" w:rsidR="00B52B1C" w:rsidRPr="009718F2" w:rsidRDefault="00B52B1C" w:rsidP="00B52B1C">
            <w:r w:rsidRPr="009718F2">
              <w:t>2 (1)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02D0248" w14:textId="77777777" w:rsidR="00B52B1C" w:rsidRPr="009718F2" w:rsidRDefault="00B52B1C" w:rsidP="00B52B1C"/>
          <w:p w14:paraId="59BD23DA" w14:textId="77777777" w:rsidR="00B52B1C" w:rsidRPr="009718F2" w:rsidRDefault="00B52B1C" w:rsidP="00B52B1C">
            <w:r w:rsidRPr="009718F2">
              <w:t>2.27 (0.65)</w:t>
            </w:r>
          </w:p>
          <w:p w14:paraId="481535AB" w14:textId="77777777" w:rsidR="00B52B1C" w:rsidRPr="009718F2" w:rsidRDefault="00B52B1C" w:rsidP="00B52B1C">
            <w:r w:rsidRPr="009718F2">
              <w:t>2 (0)</w:t>
            </w:r>
          </w:p>
        </w:tc>
        <w:tc>
          <w:tcPr>
            <w:tcW w:w="208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0B8B051" w14:textId="77777777" w:rsidR="00B52B1C" w:rsidRPr="009718F2" w:rsidRDefault="00B52B1C" w:rsidP="00B52B1C"/>
          <w:p w14:paraId="78511366" w14:textId="77777777" w:rsidR="00B52B1C" w:rsidRPr="009718F2" w:rsidRDefault="00B52B1C" w:rsidP="00B52B1C">
            <w:r w:rsidRPr="009718F2">
              <w:t>2.21 (0.51)</w:t>
            </w:r>
          </w:p>
          <w:p w14:paraId="5962398C" w14:textId="77777777" w:rsidR="00B52B1C" w:rsidRPr="009718F2" w:rsidRDefault="00B52B1C" w:rsidP="00B52B1C">
            <w:r w:rsidRPr="009718F2">
              <w:t>2 (0.5)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84695B0" w14:textId="77777777" w:rsidR="00B52B1C" w:rsidRPr="009718F2" w:rsidRDefault="00B52B1C" w:rsidP="00B52B1C"/>
          <w:p w14:paraId="36E95502" w14:textId="77777777" w:rsidR="00B52B1C" w:rsidRPr="009718F2" w:rsidRDefault="00B52B1C" w:rsidP="00B52B1C">
            <w:r w:rsidRPr="009718F2">
              <w:t>2.14 (0.90)</w:t>
            </w:r>
          </w:p>
          <w:p w14:paraId="306EFFED" w14:textId="77777777" w:rsidR="00B52B1C" w:rsidRPr="009718F2" w:rsidRDefault="00B52B1C" w:rsidP="00B52B1C">
            <w:r w:rsidRPr="009718F2">
              <w:t>2 (2)</w:t>
            </w:r>
          </w:p>
        </w:tc>
      </w:tr>
      <w:tr w:rsidR="00B9406B" w14:paraId="2FA2A525" w14:textId="77777777" w:rsidTr="0086776F">
        <w:tc>
          <w:tcPr>
            <w:tcW w:w="3240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FB859DF" w14:textId="07F4C3B7" w:rsidR="00B52B1C" w:rsidRDefault="00B52B1C" w:rsidP="00B52B1C">
            <w:pPr>
              <w:jc w:val="right"/>
              <w:rPr>
                <w:b/>
              </w:rPr>
            </w:pPr>
            <w:r>
              <w:rPr>
                <w:b/>
              </w:rPr>
              <w:t xml:space="preserve">Posted after </w:t>
            </w:r>
            <w:r w:rsidR="00B3284E">
              <w:rPr>
                <w:b/>
              </w:rPr>
              <w:t>first</w:t>
            </w:r>
            <w:r>
              <w:rPr>
                <w:b/>
              </w:rPr>
              <w:t xml:space="preserve"> cycle</w:t>
            </w:r>
          </w:p>
        </w:tc>
        <w:tc>
          <w:tcPr>
            <w:tcW w:w="2085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E5CB4C0" w14:textId="011A7B93" w:rsidR="00B52B1C" w:rsidRPr="00382854" w:rsidRDefault="00B52B1C" w:rsidP="0086776F">
            <w:r w:rsidRPr="00382854">
              <w:t>11</w:t>
            </w:r>
            <w:r w:rsidR="005B0711" w:rsidRPr="00382854">
              <w:t xml:space="preserve">/73 </w:t>
            </w:r>
            <w:r w:rsidR="0086776F" w:rsidRPr="00382854">
              <w:t>(</w:t>
            </w:r>
            <w:r w:rsidR="0086776F">
              <w:t>15%</w:t>
            </w:r>
            <w:r w:rsidR="0086776F" w:rsidRPr="00382854">
              <w:t>)</w:t>
            </w:r>
          </w:p>
        </w:tc>
        <w:tc>
          <w:tcPr>
            <w:tcW w:w="2085" w:type="dxa"/>
            <w:tcBorders>
              <w:top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58F0371" w14:textId="373CB230" w:rsidR="00B52B1C" w:rsidRPr="009718F2" w:rsidRDefault="00B52B1C" w:rsidP="00B52B1C">
            <w:r w:rsidRPr="009718F2">
              <w:t>0</w:t>
            </w:r>
            <w:r w:rsidR="005B0711">
              <w:t>/11 (</w:t>
            </w:r>
            <w:r w:rsidR="00303D4D">
              <w:t>0</w:t>
            </w:r>
            <w:r w:rsidR="005B0711">
              <w:t>%)</w:t>
            </w:r>
          </w:p>
        </w:tc>
        <w:tc>
          <w:tcPr>
            <w:tcW w:w="2085" w:type="dxa"/>
            <w:tcBorders>
              <w:top w:val="nil"/>
              <w:left w:val="single" w:sz="12" w:space="0" w:color="auto"/>
              <w:bottom w:val="nil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A83C9C9" w14:textId="2E8CA8EA" w:rsidR="00B52B1C" w:rsidRPr="009718F2" w:rsidRDefault="00B52B1C" w:rsidP="00B52B1C">
            <w:r w:rsidRPr="009718F2">
              <w:t>1</w:t>
            </w:r>
            <w:r w:rsidR="009718F2">
              <w:t>/24 (</w:t>
            </w:r>
            <w:r w:rsidR="00303D4D">
              <w:t>4</w:t>
            </w:r>
            <w:r w:rsidR="009718F2">
              <w:t>%)</w:t>
            </w:r>
          </w:p>
        </w:tc>
        <w:tc>
          <w:tcPr>
            <w:tcW w:w="2085" w:type="dxa"/>
            <w:tcBorders>
              <w:top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CE105A8" w14:textId="53BB0CA9" w:rsidR="00B52B1C" w:rsidRPr="009718F2" w:rsidRDefault="00B52B1C" w:rsidP="00B52B1C">
            <w:r w:rsidRPr="009718F2">
              <w:t>2</w:t>
            </w:r>
            <w:r w:rsidR="009718F2">
              <w:t>/7 (</w:t>
            </w:r>
            <w:r w:rsidR="00303D4D">
              <w:t>29</w:t>
            </w:r>
            <w:r w:rsidR="009718F2">
              <w:t>%)</w:t>
            </w:r>
          </w:p>
        </w:tc>
      </w:tr>
      <w:tr w:rsidR="00B9406B" w14:paraId="51CF006D" w14:textId="77777777" w:rsidTr="0086776F">
        <w:tc>
          <w:tcPr>
            <w:tcW w:w="3240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DA64F3E" w14:textId="5F62F114" w:rsidR="00B52B1C" w:rsidRDefault="00B52B1C" w:rsidP="00B52B1C">
            <w:pPr>
              <w:jc w:val="right"/>
            </w:pPr>
            <w:r>
              <w:t xml:space="preserve">Total </w:t>
            </w:r>
            <w:r w:rsidR="004A03DF">
              <w:t xml:space="preserve">days </w:t>
            </w:r>
            <w:r>
              <w:t xml:space="preserve">in </w:t>
            </w:r>
            <w:r w:rsidR="004A03DF">
              <w:t>r</w:t>
            </w:r>
            <w:r>
              <w:t>eview (mean, SD)</w:t>
            </w:r>
          </w:p>
          <w:p w14:paraId="403AA5FC" w14:textId="77777777" w:rsidR="00B52B1C" w:rsidRDefault="00B52B1C" w:rsidP="00B52B1C">
            <w:pPr>
              <w:jc w:val="right"/>
            </w:pPr>
            <w:r>
              <w:t xml:space="preserve"> JHU</w:t>
            </w:r>
          </w:p>
          <w:p w14:paraId="24FE91AF" w14:textId="77777777" w:rsidR="00B52B1C" w:rsidRPr="00827F68" w:rsidRDefault="00B52B1C" w:rsidP="00B52B1C">
            <w:pPr>
              <w:jc w:val="right"/>
            </w:pPr>
            <w:r>
              <w:t>NIH</w:t>
            </w:r>
          </w:p>
        </w:tc>
        <w:tc>
          <w:tcPr>
            <w:tcW w:w="2085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527B7F2" w14:textId="77777777" w:rsidR="00B52B1C" w:rsidRPr="009718F2" w:rsidRDefault="00B52B1C" w:rsidP="00B52B1C"/>
          <w:p w14:paraId="6FC8A2CA" w14:textId="47D2397B" w:rsidR="00B52B1C" w:rsidRDefault="00B9406B" w:rsidP="00B52B1C">
            <w:r w:rsidRPr="00B9406B">
              <w:t xml:space="preserve">Not </w:t>
            </w:r>
            <w:r w:rsidR="00F5366A">
              <w:t>a</w:t>
            </w:r>
            <w:r w:rsidRPr="00B9406B">
              <w:t>pplicable</w:t>
            </w:r>
            <w:r w:rsidRPr="00B9406B" w:rsidDel="00B9406B">
              <w:t xml:space="preserve"> </w:t>
            </w:r>
          </w:p>
          <w:p w14:paraId="7F1A2474" w14:textId="77777777" w:rsidR="00B52B1C" w:rsidRPr="009718F2" w:rsidRDefault="00B52B1C" w:rsidP="00B52B1C">
            <w:r w:rsidRPr="009718F2">
              <w:t>31.27 (10.47)</w:t>
            </w:r>
          </w:p>
        </w:tc>
        <w:tc>
          <w:tcPr>
            <w:tcW w:w="2085" w:type="dxa"/>
            <w:tcBorders>
              <w:top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8F566C2" w14:textId="77777777" w:rsidR="00B52B1C" w:rsidRPr="009718F2" w:rsidRDefault="00B52B1C" w:rsidP="00B52B1C"/>
          <w:p w14:paraId="6973FA9D" w14:textId="34001407" w:rsidR="00B52B1C" w:rsidRDefault="00B9406B" w:rsidP="00B52B1C">
            <w:r w:rsidRPr="00B9406B">
              <w:t xml:space="preserve">Not </w:t>
            </w:r>
            <w:r w:rsidR="00F5366A">
              <w:t>a</w:t>
            </w:r>
            <w:r w:rsidRPr="00B9406B">
              <w:t>pplicable</w:t>
            </w:r>
            <w:r w:rsidRPr="00B9406B" w:rsidDel="00B9406B">
              <w:t xml:space="preserve"> </w:t>
            </w:r>
          </w:p>
          <w:p w14:paraId="21624695" w14:textId="77777777" w:rsidR="00B52B1C" w:rsidRPr="009718F2" w:rsidRDefault="00B52B1C" w:rsidP="00B52B1C">
            <w:r w:rsidRPr="009718F2">
              <w:t>60.78 (26.25)</w:t>
            </w:r>
          </w:p>
        </w:tc>
        <w:tc>
          <w:tcPr>
            <w:tcW w:w="2085" w:type="dxa"/>
            <w:tcBorders>
              <w:top w:val="nil"/>
              <w:left w:val="single" w:sz="12" w:space="0" w:color="auto"/>
              <w:bottom w:val="nil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23A8B09" w14:textId="77777777" w:rsidR="00B52B1C" w:rsidRPr="009718F2" w:rsidRDefault="00B52B1C" w:rsidP="00B52B1C"/>
          <w:p w14:paraId="7FF9C3F4" w14:textId="2707EC06" w:rsidR="00242935" w:rsidRDefault="00B9406B" w:rsidP="00B52B1C">
            <w:r w:rsidRPr="00B9406B">
              <w:t xml:space="preserve">Not </w:t>
            </w:r>
            <w:r w:rsidR="00F5366A">
              <w:t>a</w:t>
            </w:r>
            <w:r w:rsidRPr="00B9406B">
              <w:t>pplicable</w:t>
            </w:r>
            <w:r w:rsidRPr="00B9406B" w:rsidDel="00B9406B">
              <w:t xml:space="preserve"> </w:t>
            </w:r>
          </w:p>
          <w:p w14:paraId="06DD9F4E" w14:textId="19677AE5" w:rsidR="00B52B1C" w:rsidRPr="009718F2" w:rsidRDefault="00B52B1C" w:rsidP="00B52B1C">
            <w:r w:rsidRPr="009718F2">
              <w:t>27 (</w:t>
            </w:r>
            <w:r w:rsidR="00B9406B" w:rsidRPr="00B9406B">
              <w:t xml:space="preserve">Not </w:t>
            </w:r>
            <w:r w:rsidR="00F5366A">
              <w:t>a</w:t>
            </w:r>
            <w:r w:rsidR="00B9406B" w:rsidRPr="00B9406B">
              <w:t>pplicable</w:t>
            </w:r>
            <w:r w:rsidRPr="009718F2">
              <w:t>)</w:t>
            </w:r>
          </w:p>
        </w:tc>
        <w:tc>
          <w:tcPr>
            <w:tcW w:w="2085" w:type="dxa"/>
            <w:tcBorders>
              <w:top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F35399D" w14:textId="77777777" w:rsidR="00B52B1C" w:rsidRPr="009718F2" w:rsidRDefault="00B52B1C" w:rsidP="00B52B1C"/>
          <w:p w14:paraId="33944752" w14:textId="29F3400A" w:rsidR="00242935" w:rsidRDefault="00B9406B" w:rsidP="00B52B1C">
            <w:r w:rsidRPr="00B9406B">
              <w:t xml:space="preserve">Not </w:t>
            </w:r>
            <w:r w:rsidR="00F5366A">
              <w:t>a</w:t>
            </w:r>
            <w:r w:rsidRPr="00B9406B">
              <w:t>pplicable</w:t>
            </w:r>
            <w:r w:rsidRPr="00B9406B" w:rsidDel="00B9406B">
              <w:t xml:space="preserve"> </w:t>
            </w:r>
          </w:p>
          <w:p w14:paraId="187168D2" w14:textId="77777777" w:rsidR="00B52B1C" w:rsidRPr="009718F2" w:rsidRDefault="00B52B1C" w:rsidP="00B52B1C">
            <w:r w:rsidRPr="009718F2">
              <w:t>30 (1.41)</w:t>
            </w:r>
          </w:p>
        </w:tc>
      </w:tr>
      <w:tr w:rsidR="00B9406B" w14:paraId="649EF07D" w14:textId="77777777" w:rsidTr="0086776F">
        <w:tc>
          <w:tcPr>
            <w:tcW w:w="32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D504206" w14:textId="71C767FA" w:rsidR="00B52B1C" w:rsidRDefault="00B52B1C" w:rsidP="00B52B1C">
            <w:pPr>
              <w:jc w:val="right"/>
              <w:rPr>
                <w:b/>
              </w:rPr>
            </w:pPr>
            <w:r>
              <w:rPr>
                <w:rFonts w:cstheme="minorHAnsi"/>
                <w:b/>
              </w:rPr>
              <w:t xml:space="preserve">Posted after </w:t>
            </w:r>
            <w:r w:rsidR="00B3284E">
              <w:rPr>
                <w:b/>
              </w:rPr>
              <w:t>second cycle</w:t>
            </w:r>
          </w:p>
        </w:tc>
        <w:tc>
          <w:tcPr>
            <w:tcW w:w="2085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B018D49" w14:textId="26EB81A4" w:rsidR="00B52B1C" w:rsidRPr="009718F2" w:rsidRDefault="00B52B1C" w:rsidP="00B52B1C">
            <w:r w:rsidRPr="009718F2">
              <w:t>40</w:t>
            </w:r>
            <w:r w:rsidR="009718F2">
              <w:t>/73 (</w:t>
            </w:r>
            <w:r w:rsidR="00303D4D">
              <w:t>55</w:t>
            </w:r>
            <w:r w:rsidR="009718F2">
              <w:t>%)</w:t>
            </w:r>
          </w:p>
        </w:tc>
        <w:tc>
          <w:tcPr>
            <w:tcW w:w="2085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59610B2" w14:textId="300353D3" w:rsidR="00B52B1C" w:rsidRPr="009718F2" w:rsidRDefault="00B52B1C" w:rsidP="00B52B1C">
            <w:r w:rsidRPr="009718F2">
              <w:t>9</w:t>
            </w:r>
            <w:r w:rsidR="009718F2">
              <w:t>/11 (</w:t>
            </w:r>
            <w:r w:rsidR="00303D4D">
              <w:t>82</w:t>
            </w:r>
            <w:r w:rsidR="009718F2">
              <w:t>%)</w:t>
            </w:r>
          </w:p>
        </w:tc>
        <w:tc>
          <w:tcPr>
            <w:tcW w:w="2085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90B5B13" w14:textId="4373AEA2" w:rsidR="00B52B1C" w:rsidRPr="009718F2" w:rsidRDefault="00B52B1C" w:rsidP="00B52B1C">
            <w:r w:rsidRPr="009718F2">
              <w:t>17</w:t>
            </w:r>
            <w:r w:rsidR="009718F2">
              <w:t>/24 (</w:t>
            </w:r>
            <w:r w:rsidR="00303D4D">
              <w:t>71</w:t>
            </w:r>
            <w:r w:rsidR="009718F2">
              <w:t>%)</w:t>
            </w:r>
          </w:p>
        </w:tc>
        <w:tc>
          <w:tcPr>
            <w:tcW w:w="208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3B1BCA5" w14:textId="6CD90EC7" w:rsidR="00B52B1C" w:rsidRPr="009718F2" w:rsidRDefault="00B52B1C" w:rsidP="00B52B1C">
            <w:r w:rsidRPr="009718F2">
              <w:t>2</w:t>
            </w:r>
            <w:r w:rsidR="009718F2">
              <w:t>/7 (</w:t>
            </w:r>
            <w:r w:rsidR="00303D4D">
              <w:t>29</w:t>
            </w:r>
            <w:r w:rsidR="009718F2">
              <w:t>%)</w:t>
            </w:r>
          </w:p>
        </w:tc>
      </w:tr>
      <w:tr w:rsidR="00B9406B" w14:paraId="5B1CD2FD" w14:textId="77777777" w:rsidTr="0086776F">
        <w:tc>
          <w:tcPr>
            <w:tcW w:w="32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07CD07D" w14:textId="5BCAFE6A" w:rsidR="00B52B1C" w:rsidRDefault="00B52B1C" w:rsidP="00B52B1C">
            <w:pPr>
              <w:jc w:val="right"/>
            </w:pPr>
            <w:r>
              <w:t xml:space="preserve">Total </w:t>
            </w:r>
            <w:r w:rsidR="00B3284E">
              <w:t>d</w:t>
            </w:r>
            <w:r>
              <w:t xml:space="preserve">ays in </w:t>
            </w:r>
            <w:r w:rsidR="00B3284E">
              <w:t>r</w:t>
            </w:r>
            <w:r>
              <w:t>eview (mean, SD)</w:t>
            </w:r>
          </w:p>
          <w:p w14:paraId="0F572687" w14:textId="77777777" w:rsidR="00B52B1C" w:rsidRDefault="00B52B1C" w:rsidP="00B52B1C">
            <w:pPr>
              <w:jc w:val="right"/>
            </w:pPr>
            <w:r>
              <w:t xml:space="preserve"> JHU</w:t>
            </w:r>
          </w:p>
          <w:p w14:paraId="1D6DB7BA" w14:textId="77777777" w:rsidR="00B52B1C" w:rsidRPr="00827F68" w:rsidRDefault="00B52B1C" w:rsidP="00B52B1C">
            <w:pPr>
              <w:jc w:val="right"/>
            </w:pPr>
            <w:r>
              <w:t>NIH</w:t>
            </w:r>
          </w:p>
        </w:tc>
        <w:tc>
          <w:tcPr>
            <w:tcW w:w="2085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52E1445" w14:textId="77777777" w:rsidR="00B52B1C" w:rsidRPr="009718F2" w:rsidRDefault="00B52B1C" w:rsidP="00B52B1C"/>
          <w:p w14:paraId="23CC494D" w14:textId="77777777" w:rsidR="00B52B1C" w:rsidRPr="009718F2" w:rsidRDefault="00B52B1C" w:rsidP="00B52B1C">
            <w:r w:rsidRPr="009718F2">
              <w:t>18.85 (24.70)</w:t>
            </w:r>
          </w:p>
          <w:p w14:paraId="6F24C538" w14:textId="77777777" w:rsidR="00B52B1C" w:rsidRPr="009718F2" w:rsidRDefault="00B52B1C" w:rsidP="00B52B1C">
            <w:r w:rsidRPr="009718F2">
              <w:t>56.15 (15.31)</w:t>
            </w:r>
          </w:p>
        </w:tc>
        <w:tc>
          <w:tcPr>
            <w:tcW w:w="2085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0AEE2A9" w14:textId="77777777" w:rsidR="00B52B1C" w:rsidRPr="009718F2" w:rsidRDefault="00B52B1C" w:rsidP="00B52B1C"/>
          <w:p w14:paraId="003A6E33" w14:textId="77777777" w:rsidR="00B52B1C" w:rsidRPr="009718F2" w:rsidRDefault="00B52B1C" w:rsidP="00B52B1C">
            <w:r w:rsidRPr="009718F2">
              <w:t>65 (72.27)</w:t>
            </w:r>
          </w:p>
          <w:p w14:paraId="5CA2574B" w14:textId="77777777" w:rsidR="00B52B1C" w:rsidRPr="009718F2" w:rsidRDefault="00B52B1C" w:rsidP="00B52B1C">
            <w:r w:rsidRPr="009718F2">
              <w:t>152.56 (116.17)</w:t>
            </w:r>
          </w:p>
        </w:tc>
        <w:tc>
          <w:tcPr>
            <w:tcW w:w="2085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AFBBE00" w14:textId="77777777" w:rsidR="00B52B1C" w:rsidRPr="009718F2" w:rsidRDefault="00B52B1C" w:rsidP="00B52B1C"/>
          <w:p w14:paraId="06B4E17E" w14:textId="77777777" w:rsidR="00B52B1C" w:rsidRPr="009718F2" w:rsidRDefault="00B52B1C" w:rsidP="00B52B1C">
            <w:r w:rsidRPr="009718F2">
              <w:t>14.35 (16.81)</w:t>
            </w:r>
          </w:p>
          <w:p w14:paraId="643B49EE" w14:textId="77777777" w:rsidR="00B52B1C" w:rsidRPr="009718F2" w:rsidRDefault="00B52B1C" w:rsidP="00B52B1C">
            <w:r w:rsidRPr="009718F2">
              <w:t>46 (13.23)</w:t>
            </w:r>
          </w:p>
        </w:tc>
        <w:tc>
          <w:tcPr>
            <w:tcW w:w="208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1902147" w14:textId="77777777" w:rsidR="00B52B1C" w:rsidRPr="009718F2" w:rsidRDefault="00B52B1C" w:rsidP="00B52B1C"/>
          <w:p w14:paraId="21597743" w14:textId="77777777" w:rsidR="00B52B1C" w:rsidRPr="009718F2" w:rsidRDefault="00B52B1C" w:rsidP="00B52B1C">
            <w:r w:rsidRPr="009718F2">
              <w:t>49 (38.18)</w:t>
            </w:r>
          </w:p>
          <w:p w14:paraId="00411059" w14:textId="77777777" w:rsidR="00B52B1C" w:rsidRPr="009718F2" w:rsidRDefault="00B52B1C" w:rsidP="00B52B1C">
            <w:r w:rsidRPr="009718F2">
              <w:t>144 (131.52)</w:t>
            </w:r>
          </w:p>
        </w:tc>
      </w:tr>
      <w:tr w:rsidR="00B9406B" w14:paraId="5E0156A8" w14:textId="77777777" w:rsidTr="0086776F">
        <w:tc>
          <w:tcPr>
            <w:tcW w:w="3240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BD717A3" w14:textId="158F0712" w:rsidR="00B52B1C" w:rsidRDefault="00B52B1C" w:rsidP="00B52B1C">
            <w:pPr>
              <w:jc w:val="right"/>
              <w:rPr>
                <w:b/>
              </w:rPr>
            </w:pPr>
            <w:r>
              <w:rPr>
                <w:rFonts w:cstheme="minorHAnsi"/>
                <w:b/>
              </w:rPr>
              <w:t xml:space="preserve">Posted after </w:t>
            </w:r>
            <w:r w:rsidR="00B3284E">
              <w:rPr>
                <w:b/>
              </w:rPr>
              <w:t>third cycle</w:t>
            </w:r>
          </w:p>
        </w:tc>
        <w:tc>
          <w:tcPr>
            <w:tcW w:w="2085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5B2CDBE" w14:textId="22E6752C" w:rsidR="00B52B1C" w:rsidRPr="009718F2" w:rsidRDefault="00B52B1C" w:rsidP="00B52B1C">
            <w:r w:rsidRPr="009718F2">
              <w:t>14</w:t>
            </w:r>
            <w:r w:rsidR="009718F2">
              <w:t>/73 (</w:t>
            </w:r>
            <w:r w:rsidR="00303D4D">
              <w:t>19</w:t>
            </w:r>
            <w:r w:rsidR="009718F2">
              <w:t>%)</w:t>
            </w:r>
          </w:p>
        </w:tc>
        <w:tc>
          <w:tcPr>
            <w:tcW w:w="2085" w:type="dxa"/>
            <w:tcBorders>
              <w:top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78B9983" w14:textId="0AB38592" w:rsidR="00B52B1C" w:rsidRPr="009718F2" w:rsidRDefault="00B52B1C" w:rsidP="00B52B1C">
            <w:r w:rsidRPr="009718F2">
              <w:t>1</w:t>
            </w:r>
            <w:r w:rsidR="009718F2">
              <w:t>/11 (</w:t>
            </w:r>
            <w:r w:rsidR="00303D4D">
              <w:t>9</w:t>
            </w:r>
            <w:r w:rsidR="009718F2">
              <w:t>%)</w:t>
            </w:r>
          </w:p>
        </w:tc>
        <w:tc>
          <w:tcPr>
            <w:tcW w:w="2085" w:type="dxa"/>
            <w:tcBorders>
              <w:top w:val="nil"/>
              <w:left w:val="single" w:sz="12" w:space="0" w:color="auto"/>
              <w:bottom w:val="nil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18D05DE" w14:textId="2B8220E5" w:rsidR="00B52B1C" w:rsidRPr="009718F2" w:rsidRDefault="00B52B1C" w:rsidP="00B52B1C">
            <w:r w:rsidRPr="009718F2">
              <w:t>6</w:t>
            </w:r>
            <w:r w:rsidR="009718F2">
              <w:t>/24 (</w:t>
            </w:r>
            <w:r w:rsidR="00303D4D">
              <w:t>25</w:t>
            </w:r>
            <w:r w:rsidR="009718F2">
              <w:t>%)</w:t>
            </w:r>
          </w:p>
        </w:tc>
        <w:tc>
          <w:tcPr>
            <w:tcW w:w="2085" w:type="dxa"/>
            <w:tcBorders>
              <w:top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A26CFDF" w14:textId="785D92C4" w:rsidR="00B52B1C" w:rsidRPr="009718F2" w:rsidRDefault="00B52B1C" w:rsidP="00B52B1C">
            <w:r w:rsidRPr="009718F2">
              <w:t>3</w:t>
            </w:r>
            <w:r w:rsidR="009718F2">
              <w:t>/7 (</w:t>
            </w:r>
            <w:r w:rsidR="00303D4D">
              <w:t>43</w:t>
            </w:r>
            <w:r w:rsidR="009718F2">
              <w:t>%)</w:t>
            </w:r>
          </w:p>
        </w:tc>
      </w:tr>
      <w:tr w:rsidR="00B9406B" w14:paraId="430FDD38" w14:textId="77777777" w:rsidTr="0086776F">
        <w:tc>
          <w:tcPr>
            <w:tcW w:w="3240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4665CA8" w14:textId="789428DD" w:rsidR="00B52B1C" w:rsidRDefault="00B52B1C" w:rsidP="00B52B1C">
            <w:pPr>
              <w:jc w:val="right"/>
            </w:pPr>
            <w:r>
              <w:t xml:space="preserve">Total </w:t>
            </w:r>
            <w:r w:rsidR="00B3284E">
              <w:t>d</w:t>
            </w:r>
            <w:r>
              <w:t xml:space="preserve">ays in </w:t>
            </w:r>
            <w:r w:rsidR="00B3284E">
              <w:t>r</w:t>
            </w:r>
            <w:r>
              <w:t>eview (mean, SD)</w:t>
            </w:r>
          </w:p>
          <w:p w14:paraId="15FD97AA" w14:textId="77777777" w:rsidR="00B52B1C" w:rsidRDefault="00B52B1C" w:rsidP="00B52B1C">
            <w:pPr>
              <w:jc w:val="right"/>
            </w:pPr>
            <w:r>
              <w:t xml:space="preserve"> JHU</w:t>
            </w:r>
          </w:p>
          <w:p w14:paraId="3CB00756" w14:textId="77777777" w:rsidR="00B52B1C" w:rsidRPr="00827F68" w:rsidRDefault="00B52B1C" w:rsidP="00B52B1C">
            <w:pPr>
              <w:jc w:val="right"/>
            </w:pPr>
            <w:r>
              <w:t>NIH</w:t>
            </w:r>
          </w:p>
        </w:tc>
        <w:tc>
          <w:tcPr>
            <w:tcW w:w="2085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8163905" w14:textId="77777777" w:rsidR="00B52B1C" w:rsidRPr="009718F2" w:rsidRDefault="00B52B1C" w:rsidP="00B52B1C"/>
          <w:p w14:paraId="1796594C" w14:textId="77777777" w:rsidR="00B52B1C" w:rsidRPr="009718F2" w:rsidRDefault="00B52B1C" w:rsidP="00B52B1C">
            <w:r w:rsidRPr="009718F2">
              <w:t>12.79 (13.34)</w:t>
            </w:r>
          </w:p>
          <w:p w14:paraId="7DEC8256" w14:textId="77777777" w:rsidR="00B52B1C" w:rsidRPr="009718F2" w:rsidRDefault="00B52B1C" w:rsidP="00B52B1C">
            <w:r w:rsidRPr="009718F2">
              <w:t>75.14 (18.29)</w:t>
            </w:r>
          </w:p>
        </w:tc>
        <w:tc>
          <w:tcPr>
            <w:tcW w:w="2085" w:type="dxa"/>
            <w:tcBorders>
              <w:top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5511340" w14:textId="77777777" w:rsidR="00B52B1C" w:rsidRPr="009718F2" w:rsidRDefault="00B52B1C" w:rsidP="00B52B1C"/>
          <w:p w14:paraId="425C81C0" w14:textId="54AC20F1" w:rsidR="00B52B1C" w:rsidRPr="009718F2" w:rsidRDefault="00B52B1C" w:rsidP="00B52B1C">
            <w:r w:rsidRPr="009718F2">
              <w:t xml:space="preserve">52 </w:t>
            </w:r>
            <w:r w:rsidR="00F5366A" w:rsidRPr="009718F2">
              <w:t>(</w:t>
            </w:r>
            <w:r w:rsidR="00F5366A">
              <w:t>Not applicable)</w:t>
            </w:r>
          </w:p>
          <w:p w14:paraId="71EA7432" w14:textId="30689C96" w:rsidR="00B52B1C" w:rsidRPr="009718F2" w:rsidRDefault="00B52B1C" w:rsidP="00B52B1C">
            <w:r w:rsidRPr="009718F2">
              <w:t xml:space="preserve">85 </w:t>
            </w:r>
            <w:r w:rsidR="00F5366A" w:rsidRPr="009718F2">
              <w:t>(</w:t>
            </w:r>
            <w:r w:rsidR="00F5366A">
              <w:t>Not applicable)</w:t>
            </w:r>
          </w:p>
        </w:tc>
        <w:tc>
          <w:tcPr>
            <w:tcW w:w="2085" w:type="dxa"/>
            <w:tcBorders>
              <w:top w:val="nil"/>
              <w:left w:val="single" w:sz="12" w:space="0" w:color="auto"/>
              <w:bottom w:val="nil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A788D03" w14:textId="77777777" w:rsidR="00B52B1C" w:rsidRPr="009718F2" w:rsidRDefault="00B52B1C" w:rsidP="00B52B1C"/>
          <w:p w14:paraId="0DC686D5" w14:textId="77777777" w:rsidR="00B52B1C" w:rsidRPr="009718F2" w:rsidRDefault="00B52B1C" w:rsidP="00B52B1C">
            <w:r w:rsidRPr="009718F2">
              <w:t>24.67 (17.47)</w:t>
            </w:r>
          </w:p>
          <w:p w14:paraId="142F4B95" w14:textId="77777777" w:rsidR="00B52B1C" w:rsidRPr="009718F2" w:rsidRDefault="00B52B1C" w:rsidP="00B52B1C">
            <w:r w:rsidRPr="009718F2">
              <w:t>69.17 (25.98)</w:t>
            </w:r>
          </w:p>
        </w:tc>
        <w:tc>
          <w:tcPr>
            <w:tcW w:w="2085" w:type="dxa"/>
            <w:tcBorders>
              <w:top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573616D" w14:textId="77777777" w:rsidR="00B52B1C" w:rsidRPr="009718F2" w:rsidRDefault="00B52B1C" w:rsidP="00B52B1C"/>
          <w:p w14:paraId="666D8BAE" w14:textId="77777777" w:rsidR="00B52B1C" w:rsidRPr="009718F2" w:rsidRDefault="00B52B1C" w:rsidP="00B52B1C">
            <w:r w:rsidRPr="009718F2">
              <w:t>13.33 (8.14)</w:t>
            </w:r>
          </w:p>
          <w:p w14:paraId="1394806F" w14:textId="77777777" w:rsidR="00B52B1C" w:rsidRPr="009718F2" w:rsidRDefault="00B52B1C" w:rsidP="00B52B1C">
            <w:r w:rsidRPr="009718F2">
              <w:t>59.33 (3.51)</w:t>
            </w:r>
          </w:p>
        </w:tc>
      </w:tr>
      <w:tr w:rsidR="00B9406B" w14:paraId="1E9CC88F" w14:textId="77777777" w:rsidTr="0086776F">
        <w:tc>
          <w:tcPr>
            <w:tcW w:w="32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2A67E57" w14:textId="66F08C1C" w:rsidR="00B52B1C" w:rsidRDefault="00B52B1C" w:rsidP="00B52B1C">
            <w:pPr>
              <w:jc w:val="right"/>
              <w:rPr>
                <w:b/>
              </w:rPr>
            </w:pPr>
            <w:r>
              <w:rPr>
                <w:rFonts w:cstheme="minorHAnsi"/>
                <w:b/>
              </w:rPr>
              <w:lastRenderedPageBreak/>
              <w:t xml:space="preserve">Posted after </w:t>
            </w:r>
            <w:r w:rsidR="00B3284E">
              <w:rPr>
                <w:b/>
              </w:rPr>
              <w:t>fourth cycle</w:t>
            </w:r>
          </w:p>
        </w:tc>
        <w:tc>
          <w:tcPr>
            <w:tcW w:w="2085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849B701" w14:textId="6963861A" w:rsidR="00B52B1C" w:rsidRPr="009718F2" w:rsidRDefault="00B52B1C" w:rsidP="00B52B1C">
            <w:r w:rsidRPr="009718F2">
              <w:t>7</w:t>
            </w:r>
            <w:r w:rsidR="009718F2">
              <w:t>/73 (</w:t>
            </w:r>
            <w:r w:rsidR="00303D4D">
              <w:t>10</w:t>
            </w:r>
            <w:r w:rsidR="009718F2">
              <w:t>%)</w:t>
            </w:r>
          </w:p>
        </w:tc>
        <w:tc>
          <w:tcPr>
            <w:tcW w:w="2085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EFE94AE" w14:textId="38D460CA" w:rsidR="00B52B1C" w:rsidRPr="00F5366A" w:rsidRDefault="00B52B1C" w:rsidP="00B52B1C">
            <w:r w:rsidRPr="00F5366A">
              <w:t>1</w:t>
            </w:r>
            <w:r w:rsidR="009718F2" w:rsidRPr="00F5366A">
              <w:t>/11 (</w:t>
            </w:r>
            <w:r w:rsidR="00303D4D">
              <w:t>9</w:t>
            </w:r>
            <w:r w:rsidR="009718F2" w:rsidRPr="00F5366A">
              <w:t>%)</w:t>
            </w:r>
          </w:p>
        </w:tc>
        <w:tc>
          <w:tcPr>
            <w:tcW w:w="2085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79A9F98" w14:textId="04179ADF" w:rsidR="00B52B1C" w:rsidRPr="00F5366A" w:rsidRDefault="009718F2" w:rsidP="00B52B1C">
            <w:r w:rsidRPr="00F5366A">
              <w:t>0/24 (0%)</w:t>
            </w:r>
            <w:r w:rsidR="009B488D" w:rsidRPr="009B488D">
              <w:rPr>
                <w:vertAlign w:val="superscript"/>
              </w:rPr>
              <w:t>d</w:t>
            </w:r>
          </w:p>
        </w:tc>
        <w:tc>
          <w:tcPr>
            <w:tcW w:w="208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1E94F86" w14:textId="06D91D4A" w:rsidR="00B52B1C" w:rsidRPr="00F5366A" w:rsidRDefault="009718F2" w:rsidP="00B52B1C">
            <w:r w:rsidRPr="00F5366A">
              <w:t>0/7 (0%)</w:t>
            </w:r>
            <w:r w:rsidR="009B488D" w:rsidRPr="009B488D">
              <w:rPr>
                <w:vertAlign w:val="superscript"/>
              </w:rPr>
              <w:t>d</w:t>
            </w:r>
          </w:p>
        </w:tc>
      </w:tr>
      <w:tr w:rsidR="00B9406B" w14:paraId="2D131DA0" w14:textId="77777777" w:rsidTr="0086776F">
        <w:tc>
          <w:tcPr>
            <w:tcW w:w="32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FC6D99B" w14:textId="5B25D460" w:rsidR="00B52B1C" w:rsidRDefault="00B52B1C" w:rsidP="00B52B1C">
            <w:pPr>
              <w:jc w:val="right"/>
            </w:pPr>
            <w:r>
              <w:t xml:space="preserve">Total </w:t>
            </w:r>
            <w:r w:rsidR="00B3284E">
              <w:t>d</w:t>
            </w:r>
            <w:r>
              <w:t xml:space="preserve">ays in </w:t>
            </w:r>
            <w:r w:rsidR="00B3284E">
              <w:t>r</w:t>
            </w:r>
            <w:r>
              <w:t>eview (mean, SD)</w:t>
            </w:r>
          </w:p>
          <w:p w14:paraId="0A971057" w14:textId="77777777" w:rsidR="00B52B1C" w:rsidRDefault="00B52B1C" w:rsidP="00B52B1C">
            <w:pPr>
              <w:jc w:val="right"/>
            </w:pPr>
            <w:r>
              <w:t xml:space="preserve"> JHU</w:t>
            </w:r>
          </w:p>
          <w:p w14:paraId="605A84FD" w14:textId="77777777" w:rsidR="00B52B1C" w:rsidRPr="00827F68" w:rsidRDefault="00B52B1C" w:rsidP="00B52B1C">
            <w:pPr>
              <w:jc w:val="right"/>
            </w:pPr>
            <w:r>
              <w:t>NIH</w:t>
            </w:r>
          </w:p>
        </w:tc>
        <w:tc>
          <w:tcPr>
            <w:tcW w:w="2085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BACBE45" w14:textId="77777777" w:rsidR="00B52B1C" w:rsidRPr="009718F2" w:rsidRDefault="00B52B1C" w:rsidP="00B52B1C"/>
          <w:p w14:paraId="7D0C272B" w14:textId="77777777" w:rsidR="00B52B1C" w:rsidRPr="009718F2" w:rsidRDefault="00B52B1C" w:rsidP="00B52B1C">
            <w:r w:rsidRPr="009718F2">
              <w:t>28.43 (23.56)</w:t>
            </w:r>
          </w:p>
          <w:p w14:paraId="56478F1C" w14:textId="77777777" w:rsidR="00B52B1C" w:rsidRPr="009718F2" w:rsidRDefault="00B52B1C" w:rsidP="00B52B1C">
            <w:r w:rsidRPr="009718F2">
              <w:t>106 (23.32)</w:t>
            </w:r>
          </w:p>
        </w:tc>
        <w:tc>
          <w:tcPr>
            <w:tcW w:w="2085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24A13FE" w14:textId="77777777" w:rsidR="00B52B1C" w:rsidRPr="00F5366A" w:rsidRDefault="00B52B1C" w:rsidP="00B52B1C"/>
          <w:p w14:paraId="3EEDC38D" w14:textId="0269B666" w:rsidR="00B52B1C" w:rsidRPr="00F5366A" w:rsidRDefault="00B52B1C" w:rsidP="00B52B1C">
            <w:r w:rsidRPr="00F5366A">
              <w:t>12 (</w:t>
            </w:r>
            <w:r w:rsidR="009718F2" w:rsidRPr="00F5366A">
              <w:t>not applicable)</w:t>
            </w:r>
          </w:p>
          <w:p w14:paraId="4273CE9D" w14:textId="2C871344" w:rsidR="00B52B1C" w:rsidRPr="00F5366A" w:rsidRDefault="00B52B1C" w:rsidP="00B52B1C">
            <w:r w:rsidRPr="00F5366A">
              <w:t xml:space="preserve">145 </w:t>
            </w:r>
            <w:r w:rsidR="009718F2" w:rsidRPr="00F5366A">
              <w:t>(not applicable)</w:t>
            </w:r>
            <w:r w:rsidR="009718F2" w:rsidRPr="00F5366A" w:rsidDel="009718F2">
              <w:t xml:space="preserve"> </w:t>
            </w:r>
          </w:p>
        </w:tc>
        <w:tc>
          <w:tcPr>
            <w:tcW w:w="2085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FCA476E" w14:textId="77777777" w:rsidR="00B52B1C" w:rsidRPr="00F5366A" w:rsidRDefault="00B52B1C" w:rsidP="00B52B1C"/>
          <w:p w14:paraId="286D4D4E" w14:textId="77777777" w:rsidR="00F5366A" w:rsidRDefault="00F5366A" w:rsidP="00F5366A">
            <w:r w:rsidRPr="00B9406B">
              <w:t xml:space="preserve">Not </w:t>
            </w:r>
            <w:r>
              <w:t>a</w:t>
            </w:r>
            <w:r w:rsidRPr="00B9406B">
              <w:t>pplicable</w:t>
            </w:r>
            <w:r w:rsidRPr="00B9406B" w:rsidDel="00B9406B">
              <w:t xml:space="preserve"> </w:t>
            </w:r>
          </w:p>
          <w:p w14:paraId="6A066CA8" w14:textId="373D185B" w:rsidR="00B52B1C" w:rsidRPr="00F5366A" w:rsidRDefault="00B52B1C" w:rsidP="00B52B1C"/>
        </w:tc>
        <w:tc>
          <w:tcPr>
            <w:tcW w:w="208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3836AA9" w14:textId="77777777" w:rsidR="00B52B1C" w:rsidRPr="00F5366A" w:rsidRDefault="00B52B1C" w:rsidP="00B52B1C"/>
          <w:p w14:paraId="75E2B808" w14:textId="77777777" w:rsidR="00F5366A" w:rsidRDefault="00F5366A" w:rsidP="00F5366A">
            <w:r w:rsidRPr="00B9406B">
              <w:t xml:space="preserve">Not </w:t>
            </w:r>
            <w:r>
              <w:t>a</w:t>
            </w:r>
            <w:r w:rsidRPr="00B9406B">
              <w:t>pplicable</w:t>
            </w:r>
            <w:r w:rsidRPr="00B9406B" w:rsidDel="00B9406B">
              <w:t xml:space="preserve"> </w:t>
            </w:r>
          </w:p>
          <w:p w14:paraId="0BB154E9" w14:textId="043B66C8" w:rsidR="00B52B1C" w:rsidRPr="00F5366A" w:rsidRDefault="00B52B1C" w:rsidP="00B52B1C"/>
        </w:tc>
      </w:tr>
      <w:tr w:rsidR="00B9406B" w14:paraId="33AB63E1" w14:textId="77777777" w:rsidTr="0086776F">
        <w:tc>
          <w:tcPr>
            <w:tcW w:w="3240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16458B1" w14:textId="5551468F" w:rsidR="00B52B1C" w:rsidRDefault="00B52B1C" w:rsidP="00B52B1C">
            <w:pPr>
              <w:jc w:val="right"/>
              <w:rPr>
                <w:b/>
              </w:rPr>
            </w:pPr>
            <w:r>
              <w:rPr>
                <w:rFonts w:cstheme="minorHAnsi"/>
                <w:b/>
              </w:rPr>
              <w:t xml:space="preserve">Posted after </w:t>
            </w:r>
            <w:r w:rsidR="00B3284E">
              <w:rPr>
                <w:b/>
              </w:rPr>
              <w:t>fifth cycle</w:t>
            </w:r>
          </w:p>
        </w:tc>
        <w:tc>
          <w:tcPr>
            <w:tcW w:w="2085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1AB68C7" w14:textId="3A34B706" w:rsidR="00B52B1C" w:rsidRPr="009718F2" w:rsidRDefault="00B52B1C" w:rsidP="00B52B1C">
            <w:r w:rsidRPr="009718F2">
              <w:t>1</w:t>
            </w:r>
            <w:r w:rsidR="009718F2">
              <w:t>/73 (</w:t>
            </w:r>
            <w:r w:rsidR="00303D4D">
              <w:t>1</w:t>
            </w:r>
            <w:r w:rsidR="009718F2">
              <w:t>%)</w:t>
            </w:r>
          </w:p>
        </w:tc>
        <w:tc>
          <w:tcPr>
            <w:tcW w:w="2085" w:type="dxa"/>
            <w:tcBorders>
              <w:top w:val="nil"/>
              <w:bottom w:val="nil"/>
              <w:right w:val="single" w:sz="12" w:space="0" w:color="auto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7DF5209" w14:textId="3CB58EFA" w:rsidR="00B52B1C" w:rsidRPr="00F5366A" w:rsidRDefault="009718F2" w:rsidP="00B52B1C">
            <w:r w:rsidRPr="00F5366A">
              <w:t>0/11 (0%)</w:t>
            </w:r>
            <w:r w:rsidR="009B488D" w:rsidRPr="009B488D">
              <w:rPr>
                <w:vertAlign w:val="superscript"/>
              </w:rPr>
              <w:t>d</w:t>
            </w:r>
          </w:p>
        </w:tc>
        <w:tc>
          <w:tcPr>
            <w:tcW w:w="2085" w:type="dxa"/>
            <w:tcBorders>
              <w:top w:val="nil"/>
              <w:left w:val="single" w:sz="12" w:space="0" w:color="auto"/>
              <w:bottom w:val="nil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D5B28DE" w14:textId="74F6C9A1" w:rsidR="00B52B1C" w:rsidRPr="00F5366A" w:rsidRDefault="009718F2" w:rsidP="00B52B1C">
            <w:r w:rsidRPr="00F5366A">
              <w:t>0/24 (0%)</w:t>
            </w:r>
            <w:r w:rsidR="009B488D" w:rsidRPr="009B488D">
              <w:rPr>
                <w:vertAlign w:val="superscript"/>
              </w:rPr>
              <w:t>d</w:t>
            </w:r>
          </w:p>
        </w:tc>
        <w:tc>
          <w:tcPr>
            <w:tcW w:w="2085" w:type="dxa"/>
            <w:tcBorders>
              <w:top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D3BA165" w14:textId="3917BE1B" w:rsidR="00B52B1C" w:rsidRPr="00F5366A" w:rsidRDefault="009718F2" w:rsidP="00B52B1C">
            <w:r w:rsidRPr="00F5366A">
              <w:t>0/7 (0%)</w:t>
            </w:r>
            <w:r w:rsidR="009B488D" w:rsidRPr="009B488D">
              <w:rPr>
                <w:vertAlign w:val="superscript"/>
              </w:rPr>
              <w:t>d</w:t>
            </w:r>
          </w:p>
        </w:tc>
      </w:tr>
      <w:tr w:rsidR="00B9406B" w14:paraId="67C554BC" w14:textId="77777777" w:rsidTr="0086776F"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1236D74" w14:textId="4464BB07" w:rsidR="00B52B1C" w:rsidRDefault="00B52B1C" w:rsidP="00B52B1C">
            <w:pPr>
              <w:jc w:val="right"/>
            </w:pPr>
            <w:r>
              <w:t xml:space="preserve">Total </w:t>
            </w:r>
            <w:r w:rsidR="00B3284E">
              <w:t>d</w:t>
            </w:r>
            <w:r>
              <w:t xml:space="preserve">ays in </w:t>
            </w:r>
            <w:r w:rsidR="00B3284E">
              <w:t>r</w:t>
            </w:r>
            <w:r>
              <w:t>eview (mean, SD)</w:t>
            </w:r>
          </w:p>
          <w:p w14:paraId="572AD641" w14:textId="77777777" w:rsidR="00B52B1C" w:rsidRDefault="00B52B1C" w:rsidP="00B52B1C">
            <w:pPr>
              <w:jc w:val="right"/>
            </w:pPr>
            <w:r>
              <w:t xml:space="preserve"> JHU</w:t>
            </w:r>
          </w:p>
          <w:p w14:paraId="216A50A9" w14:textId="77777777" w:rsidR="00B52B1C" w:rsidRPr="00827F68" w:rsidRDefault="00B52B1C" w:rsidP="00B52B1C">
            <w:pPr>
              <w:jc w:val="right"/>
            </w:pPr>
            <w:r>
              <w:t>NIH</w:t>
            </w:r>
          </w:p>
        </w:tc>
        <w:tc>
          <w:tcPr>
            <w:tcW w:w="2085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6A51D18" w14:textId="77777777" w:rsidR="00B52B1C" w:rsidRPr="009718F2" w:rsidRDefault="00B52B1C" w:rsidP="00B52B1C"/>
          <w:p w14:paraId="0759CFF4" w14:textId="7D5C90FB" w:rsidR="00B52B1C" w:rsidRPr="009718F2" w:rsidRDefault="00B52B1C" w:rsidP="009718F2">
            <w:r w:rsidRPr="009718F2">
              <w:t xml:space="preserve">109 </w:t>
            </w:r>
            <w:r w:rsidR="009718F2" w:rsidRPr="009718F2">
              <w:t>(</w:t>
            </w:r>
            <w:r w:rsidR="009718F2">
              <w:t>not applicable)</w:t>
            </w:r>
          </w:p>
          <w:p w14:paraId="1B8B79E4" w14:textId="6332EE5C" w:rsidR="00B52B1C" w:rsidRPr="009718F2" w:rsidRDefault="00B52B1C" w:rsidP="009718F2">
            <w:r w:rsidRPr="009718F2">
              <w:t xml:space="preserve">153 </w:t>
            </w:r>
            <w:r w:rsidR="009718F2" w:rsidRPr="009718F2">
              <w:t>(</w:t>
            </w:r>
            <w:r w:rsidR="009718F2">
              <w:t>not applicable)</w:t>
            </w:r>
          </w:p>
        </w:tc>
        <w:tc>
          <w:tcPr>
            <w:tcW w:w="2085" w:type="dxa"/>
            <w:tcBorders>
              <w:top w:val="nil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0CFE6C9" w14:textId="77777777" w:rsidR="00B52B1C" w:rsidRPr="009718F2" w:rsidRDefault="00B52B1C" w:rsidP="00B52B1C"/>
          <w:p w14:paraId="48D97FFB" w14:textId="77777777" w:rsidR="00F5366A" w:rsidRDefault="00F5366A" w:rsidP="00F5366A">
            <w:r w:rsidRPr="00B9406B">
              <w:t xml:space="preserve">Not </w:t>
            </w:r>
            <w:r>
              <w:t>a</w:t>
            </w:r>
            <w:r w:rsidRPr="00B9406B">
              <w:t>pplicable</w:t>
            </w:r>
            <w:r w:rsidRPr="00B9406B" w:rsidDel="00B9406B">
              <w:t xml:space="preserve"> </w:t>
            </w:r>
          </w:p>
          <w:p w14:paraId="64B796B0" w14:textId="41788D82" w:rsidR="00B52B1C" w:rsidRPr="009718F2" w:rsidRDefault="00B52B1C" w:rsidP="00B52B1C"/>
        </w:tc>
        <w:tc>
          <w:tcPr>
            <w:tcW w:w="2085" w:type="dxa"/>
            <w:tcBorders>
              <w:top w:val="nil"/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21CC0D7" w14:textId="77777777" w:rsidR="00B52B1C" w:rsidRPr="009718F2" w:rsidRDefault="00B52B1C" w:rsidP="00B52B1C"/>
          <w:p w14:paraId="41EE36C8" w14:textId="77777777" w:rsidR="00F5366A" w:rsidRDefault="00F5366A" w:rsidP="00F5366A">
            <w:r w:rsidRPr="00B9406B">
              <w:t xml:space="preserve">Not </w:t>
            </w:r>
            <w:r>
              <w:t>a</w:t>
            </w:r>
            <w:r w:rsidRPr="00B9406B">
              <w:t>pplicable</w:t>
            </w:r>
            <w:r w:rsidRPr="00B9406B" w:rsidDel="00B9406B">
              <w:t xml:space="preserve"> </w:t>
            </w:r>
          </w:p>
          <w:p w14:paraId="41CFCFF7" w14:textId="15BAFFA6" w:rsidR="00B52B1C" w:rsidRPr="009718F2" w:rsidRDefault="00B52B1C" w:rsidP="00B52B1C"/>
        </w:tc>
        <w:tc>
          <w:tcPr>
            <w:tcW w:w="208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C6A12E4" w14:textId="77777777" w:rsidR="00B52B1C" w:rsidRPr="009718F2" w:rsidRDefault="00B52B1C" w:rsidP="00B52B1C"/>
          <w:p w14:paraId="3F8737E8" w14:textId="77777777" w:rsidR="00F5366A" w:rsidRDefault="00F5366A" w:rsidP="00F5366A">
            <w:r w:rsidRPr="00B9406B">
              <w:t xml:space="preserve">Not </w:t>
            </w:r>
            <w:r>
              <w:t>a</w:t>
            </w:r>
            <w:r w:rsidRPr="00B9406B">
              <w:t>pplicable</w:t>
            </w:r>
            <w:r w:rsidRPr="00B9406B" w:rsidDel="00B9406B">
              <w:t xml:space="preserve"> </w:t>
            </w:r>
          </w:p>
          <w:p w14:paraId="44CC2C1E" w14:textId="6AB86853" w:rsidR="00B52B1C" w:rsidRPr="009718F2" w:rsidRDefault="00B52B1C" w:rsidP="00B52B1C"/>
        </w:tc>
      </w:tr>
    </w:tbl>
    <w:p w14:paraId="1850A856" w14:textId="78BC9629" w:rsidR="00027D74" w:rsidRPr="0086776F" w:rsidRDefault="00BD4C37" w:rsidP="0086776F">
      <w:pPr>
        <w:ind w:left="-720"/>
        <w:rPr>
          <w:sz w:val="24"/>
          <w:szCs w:val="24"/>
        </w:rPr>
      </w:pPr>
      <w:r w:rsidRPr="0086776F">
        <w:rPr>
          <w:sz w:val="24"/>
          <w:szCs w:val="24"/>
        </w:rPr>
        <w:t>Abbreviation</w:t>
      </w:r>
      <w:r w:rsidR="00155EFE" w:rsidRPr="0086776F">
        <w:rPr>
          <w:sz w:val="24"/>
          <w:szCs w:val="24"/>
        </w:rPr>
        <w:t>s</w:t>
      </w:r>
      <w:r w:rsidRPr="0086776F">
        <w:rPr>
          <w:sz w:val="24"/>
          <w:szCs w:val="24"/>
        </w:rPr>
        <w:t xml:space="preserve">: </w:t>
      </w:r>
      <w:r w:rsidR="0086776F" w:rsidRPr="0015771B">
        <w:rPr>
          <w:sz w:val="24"/>
          <w:szCs w:val="24"/>
        </w:rPr>
        <w:t xml:space="preserve">IQR, </w:t>
      </w:r>
      <w:r w:rsidR="00B3284E">
        <w:rPr>
          <w:sz w:val="24"/>
          <w:szCs w:val="24"/>
        </w:rPr>
        <w:t>i</w:t>
      </w:r>
      <w:r w:rsidR="0086776F" w:rsidRPr="0015771B">
        <w:rPr>
          <w:sz w:val="24"/>
          <w:szCs w:val="24"/>
        </w:rPr>
        <w:t>nterquartile range</w:t>
      </w:r>
      <w:r w:rsidR="0086776F">
        <w:rPr>
          <w:sz w:val="24"/>
          <w:szCs w:val="24"/>
        </w:rPr>
        <w:t>;</w:t>
      </w:r>
      <w:r w:rsidR="0086776F" w:rsidRPr="0086776F">
        <w:rPr>
          <w:sz w:val="24"/>
          <w:szCs w:val="24"/>
        </w:rPr>
        <w:t xml:space="preserve"> JHU, Johns Hopkins University</w:t>
      </w:r>
      <w:r w:rsidR="0086776F">
        <w:rPr>
          <w:sz w:val="24"/>
          <w:szCs w:val="24"/>
        </w:rPr>
        <w:t>;</w:t>
      </w:r>
      <w:r w:rsidR="0086776F" w:rsidRPr="0086776F">
        <w:rPr>
          <w:sz w:val="24"/>
          <w:szCs w:val="24"/>
        </w:rPr>
        <w:t xml:space="preserve"> NIH, National Institutes of Health;</w:t>
      </w:r>
      <w:r w:rsidR="0086776F">
        <w:rPr>
          <w:sz w:val="24"/>
          <w:szCs w:val="24"/>
        </w:rPr>
        <w:t xml:space="preserve"> </w:t>
      </w:r>
      <w:r w:rsidR="00B3284E">
        <w:rPr>
          <w:sz w:val="24"/>
          <w:szCs w:val="24"/>
        </w:rPr>
        <w:t>n</w:t>
      </w:r>
      <w:r w:rsidR="0086776F" w:rsidRPr="0086776F">
        <w:rPr>
          <w:sz w:val="24"/>
          <w:szCs w:val="24"/>
        </w:rPr>
        <w:t>on-ACT</w:t>
      </w:r>
      <w:r w:rsidR="00B3284E">
        <w:rPr>
          <w:sz w:val="24"/>
          <w:szCs w:val="24"/>
        </w:rPr>
        <w:t>s</w:t>
      </w:r>
      <w:r w:rsidR="0086776F" w:rsidRPr="0086776F">
        <w:rPr>
          <w:sz w:val="24"/>
          <w:szCs w:val="24"/>
        </w:rPr>
        <w:t>, non-Applicable Clinical Trials; pACTs, probable Applicable Clinical Trials</w:t>
      </w:r>
      <w:r w:rsidR="0086776F">
        <w:rPr>
          <w:sz w:val="24"/>
          <w:szCs w:val="24"/>
        </w:rPr>
        <w:t>;</w:t>
      </w:r>
      <w:r w:rsidR="0086776F" w:rsidRPr="0086776F">
        <w:rPr>
          <w:sz w:val="24"/>
          <w:szCs w:val="24"/>
        </w:rPr>
        <w:t xml:space="preserve"> </w:t>
      </w:r>
      <w:r w:rsidR="00027D74" w:rsidRPr="0086776F">
        <w:rPr>
          <w:sz w:val="24"/>
          <w:szCs w:val="24"/>
        </w:rPr>
        <w:t>SD</w:t>
      </w:r>
      <w:r w:rsidRPr="0086776F">
        <w:rPr>
          <w:sz w:val="24"/>
          <w:szCs w:val="24"/>
        </w:rPr>
        <w:t>,</w:t>
      </w:r>
      <w:r w:rsidR="00027D74" w:rsidRPr="0086776F">
        <w:rPr>
          <w:sz w:val="24"/>
          <w:szCs w:val="24"/>
        </w:rPr>
        <w:t xml:space="preserve"> </w:t>
      </w:r>
      <w:r w:rsidR="00B3284E">
        <w:rPr>
          <w:sz w:val="24"/>
          <w:szCs w:val="24"/>
        </w:rPr>
        <w:t>s</w:t>
      </w:r>
      <w:r w:rsidR="00027D74" w:rsidRPr="0086776F">
        <w:rPr>
          <w:sz w:val="24"/>
          <w:szCs w:val="24"/>
        </w:rPr>
        <w:t>tandard deviation</w:t>
      </w:r>
    </w:p>
    <w:p w14:paraId="14808E47" w14:textId="03610867" w:rsidR="00E84361" w:rsidRDefault="005B0711" w:rsidP="00B3284E">
      <w:pPr>
        <w:ind w:left="-720"/>
        <w:rPr>
          <w:sz w:val="24"/>
          <w:szCs w:val="24"/>
        </w:rPr>
      </w:pPr>
      <w:r w:rsidRPr="0086776F">
        <w:rPr>
          <w:sz w:val="24"/>
          <w:szCs w:val="24"/>
        </w:rPr>
        <w:t xml:space="preserve">Legend: </w:t>
      </w:r>
      <w:r w:rsidR="00742079">
        <w:rPr>
          <w:sz w:val="24"/>
          <w:szCs w:val="24"/>
        </w:rPr>
        <w:t>We included records in t</w:t>
      </w:r>
      <w:r w:rsidRPr="00DF2D8F">
        <w:rPr>
          <w:sz w:val="24"/>
          <w:szCs w:val="24"/>
        </w:rPr>
        <w:t>he “JohnsHopkinsU” account</w:t>
      </w:r>
      <w:r w:rsidR="00742079">
        <w:rPr>
          <w:sz w:val="24"/>
          <w:szCs w:val="24"/>
        </w:rPr>
        <w:t>, which include</w:t>
      </w:r>
      <w:r w:rsidRPr="00DF2D8F">
        <w:rPr>
          <w:sz w:val="24"/>
          <w:szCs w:val="24"/>
        </w:rPr>
        <w:t xml:space="preserve"> studies conducted by the Johns Hopkins School of Medicine and the Johns Hopkins School of Nursing.  </w:t>
      </w:r>
      <w:r w:rsidR="00B3284E">
        <w:rPr>
          <w:sz w:val="24"/>
          <w:szCs w:val="24"/>
        </w:rPr>
        <w:t xml:space="preserve">Other parts of Johns Hopkins University, including </w:t>
      </w:r>
      <w:r w:rsidRPr="00DF2D8F">
        <w:rPr>
          <w:sz w:val="24"/>
          <w:szCs w:val="24"/>
        </w:rPr>
        <w:t>Bloomberg School of Public Health and Sidney Kimmel Comprehensive Cancer Center</w:t>
      </w:r>
      <w:r w:rsidR="00B3284E">
        <w:rPr>
          <w:sz w:val="24"/>
          <w:szCs w:val="24"/>
        </w:rPr>
        <w:t>,</w:t>
      </w:r>
      <w:r w:rsidRPr="00DF2D8F">
        <w:rPr>
          <w:sz w:val="24"/>
          <w:szCs w:val="24"/>
        </w:rPr>
        <w:t xml:space="preserve"> have separate accounts. </w:t>
      </w:r>
      <w:r w:rsidRPr="00382854">
        <w:rPr>
          <w:sz w:val="24"/>
          <w:szCs w:val="24"/>
        </w:rPr>
        <w:t xml:space="preserve"> </w:t>
      </w:r>
    </w:p>
    <w:p w14:paraId="1E81376D" w14:textId="04FA083F" w:rsidR="00E84361" w:rsidRDefault="005B0711" w:rsidP="00382854">
      <w:pPr>
        <w:ind w:left="-720"/>
        <w:rPr>
          <w:sz w:val="24"/>
          <w:szCs w:val="24"/>
          <w:vertAlign w:val="superscript"/>
        </w:rPr>
      </w:pPr>
      <w:r w:rsidRPr="00DF2D8F">
        <w:rPr>
          <w:sz w:val="24"/>
          <w:szCs w:val="24"/>
          <w:vertAlign w:val="superscript"/>
        </w:rPr>
        <w:t>a</w:t>
      </w:r>
      <w:r w:rsidR="00382854" w:rsidRPr="00382854">
        <w:rPr>
          <w:sz w:val="24"/>
          <w:szCs w:val="24"/>
        </w:rPr>
        <w:t>T</w:t>
      </w:r>
      <w:r w:rsidR="00382854" w:rsidRPr="00DF2D8F">
        <w:rPr>
          <w:sz w:val="24"/>
          <w:szCs w:val="24"/>
        </w:rPr>
        <w:t>he Food and Drugs Administration Amendments Act of 2007</w:t>
      </w:r>
      <w:r w:rsidR="003B0F68">
        <w:rPr>
          <w:sz w:val="24"/>
          <w:szCs w:val="24"/>
        </w:rPr>
        <w:t xml:space="preserve"> (FDAAA)</w:t>
      </w:r>
      <w:r w:rsidR="00382854" w:rsidRPr="00382854">
        <w:rPr>
          <w:sz w:val="24"/>
          <w:szCs w:val="24"/>
        </w:rPr>
        <w:t xml:space="preserve"> </w:t>
      </w:r>
      <w:r w:rsidR="00382854" w:rsidRPr="00DF2D8F">
        <w:rPr>
          <w:sz w:val="24"/>
          <w:szCs w:val="24"/>
        </w:rPr>
        <w:t>require</w:t>
      </w:r>
      <w:r w:rsidR="00382854">
        <w:rPr>
          <w:sz w:val="24"/>
          <w:szCs w:val="24"/>
        </w:rPr>
        <w:t>s</w:t>
      </w:r>
      <w:r w:rsidR="00382854" w:rsidRPr="00DF2D8F">
        <w:rPr>
          <w:sz w:val="24"/>
          <w:szCs w:val="24"/>
        </w:rPr>
        <w:t xml:space="preserve"> results reporting </w:t>
      </w:r>
      <w:r w:rsidR="00382854">
        <w:rPr>
          <w:sz w:val="24"/>
          <w:szCs w:val="24"/>
        </w:rPr>
        <w:t>for Applicable Clinical Trials (ACTs)</w:t>
      </w:r>
      <w:r w:rsidR="006D2974">
        <w:rPr>
          <w:sz w:val="24"/>
          <w:szCs w:val="24"/>
        </w:rPr>
        <w:t>.</w:t>
      </w:r>
      <w:r w:rsidR="00382854">
        <w:rPr>
          <w:sz w:val="24"/>
          <w:szCs w:val="24"/>
        </w:rPr>
        <w:t xml:space="preserve"> </w:t>
      </w:r>
      <w:r w:rsidR="00B3284E">
        <w:rPr>
          <w:sz w:val="24"/>
          <w:szCs w:val="24"/>
        </w:rPr>
        <w:t xml:space="preserve">Only </w:t>
      </w:r>
      <w:r w:rsidR="00B3284E" w:rsidRPr="00382854">
        <w:rPr>
          <w:sz w:val="24"/>
          <w:szCs w:val="24"/>
        </w:rPr>
        <w:t>one</w:t>
      </w:r>
      <w:r w:rsidR="00B3284E">
        <w:rPr>
          <w:sz w:val="24"/>
          <w:szCs w:val="24"/>
        </w:rPr>
        <w:t xml:space="preserve"> JHU</w:t>
      </w:r>
      <w:r w:rsidR="00B3284E" w:rsidRPr="00382854">
        <w:rPr>
          <w:sz w:val="24"/>
          <w:szCs w:val="24"/>
        </w:rPr>
        <w:t xml:space="preserve"> </w:t>
      </w:r>
      <w:r w:rsidR="00B3284E" w:rsidRPr="00DF2D8F">
        <w:rPr>
          <w:sz w:val="24"/>
          <w:szCs w:val="24"/>
        </w:rPr>
        <w:t>record</w:t>
      </w:r>
      <w:r w:rsidR="00B3284E">
        <w:rPr>
          <w:sz w:val="24"/>
          <w:szCs w:val="24"/>
        </w:rPr>
        <w:t>,</w:t>
      </w:r>
      <w:r w:rsidR="00B3284E" w:rsidRPr="00DF2D8F">
        <w:rPr>
          <w:sz w:val="24"/>
          <w:szCs w:val="24"/>
        </w:rPr>
        <w:t xml:space="preserve"> </w:t>
      </w:r>
      <w:r w:rsidR="00B3284E">
        <w:rPr>
          <w:sz w:val="24"/>
          <w:szCs w:val="24"/>
        </w:rPr>
        <w:t xml:space="preserve">submitted in 2018, </w:t>
      </w:r>
      <w:r w:rsidR="00B3284E" w:rsidRPr="00DF2D8F">
        <w:rPr>
          <w:sz w:val="24"/>
          <w:szCs w:val="24"/>
        </w:rPr>
        <w:t>was identified as an Applicable Clinical Trial (ACT)</w:t>
      </w:r>
      <w:r w:rsidR="00B3284E">
        <w:rPr>
          <w:sz w:val="24"/>
          <w:szCs w:val="24"/>
        </w:rPr>
        <w:t xml:space="preserve">; </w:t>
      </w:r>
      <w:r w:rsidR="00382854">
        <w:rPr>
          <w:sz w:val="24"/>
          <w:szCs w:val="24"/>
        </w:rPr>
        <w:t xml:space="preserve">ClinicalTrials.gov </w:t>
      </w:r>
      <w:r w:rsidR="00B3284E">
        <w:rPr>
          <w:sz w:val="24"/>
          <w:szCs w:val="24"/>
        </w:rPr>
        <w:t xml:space="preserve">identifies </w:t>
      </w:r>
      <w:r w:rsidR="00382854">
        <w:rPr>
          <w:sz w:val="24"/>
          <w:szCs w:val="24"/>
        </w:rPr>
        <w:t>trials that</w:t>
      </w:r>
      <w:r w:rsidR="006D2974">
        <w:rPr>
          <w:sz w:val="24"/>
          <w:szCs w:val="24"/>
        </w:rPr>
        <w:t xml:space="preserve"> </w:t>
      </w:r>
      <w:r w:rsidR="00382854">
        <w:rPr>
          <w:sz w:val="24"/>
          <w:szCs w:val="24"/>
        </w:rPr>
        <w:t xml:space="preserve">likely meet this definition as </w:t>
      </w:r>
      <w:r w:rsidR="006D2974">
        <w:rPr>
          <w:sz w:val="24"/>
          <w:szCs w:val="24"/>
        </w:rPr>
        <w:t>“</w:t>
      </w:r>
      <w:r w:rsidR="00382854">
        <w:rPr>
          <w:sz w:val="24"/>
          <w:szCs w:val="24"/>
        </w:rPr>
        <w:t>probable</w:t>
      </w:r>
      <w:r w:rsidR="006D2974">
        <w:rPr>
          <w:sz w:val="24"/>
          <w:szCs w:val="24"/>
        </w:rPr>
        <w:t>”</w:t>
      </w:r>
      <w:r w:rsidR="00382854">
        <w:rPr>
          <w:sz w:val="24"/>
          <w:szCs w:val="24"/>
        </w:rPr>
        <w:t xml:space="preserve"> Applicable Clinical Trials (pACTs). </w:t>
      </w:r>
      <w:r w:rsidR="00877839">
        <w:rPr>
          <w:sz w:val="24"/>
          <w:szCs w:val="24"/>
        </w:rPr>
        <w:t>W</w:t>
      </w:r>
      <w:r w:rsidR="00382854">
        <w:rPr>
          <w:sz w:val="24"/>
          <w:szCs w:val="24"/>
        </w:rPr>
        <w:t>e combine</w:t>
      </w:r>
      <w:r w:rsidR="006D2974">
        <w:rPr>
          <w:sz w:val="24"/>
          <w:szCs w:val="24"/>
        </w:rPr>
        <w:t>d</w:t>
      </w:r>
      <w:r w:rsidR="00382854">
        <w:rPr>
          <w:sz w:val="24"/>
          <w:szCs w:val="24"/>
        </w:rPr>
        <w:t xml:space="preserve"> the</w:t>
      </w:r>
      <w:r w:rsidRPr="00DF2D8F">
        <w:rPr>
          <w:sz w:val="24"/>
          <w:szCs w:val="24"/>
        </w:rPr>
        <w:t xml:space="preserve"> </w:t>
      </w:r>
      <w:r w:rsidR="00C318DA">
        <w:rPr>
          <w:sz w:val="24"/>
          <w:szCs w:val="24"/>
        </w:rPr>
        <w:t>ACT with the</w:t>
      </w:r>
      <w:r w:rsidR="00382854">
        <w:rPr>
          <w:sz w:val="24"/>
          <w:szCs w:val="24"/>
        </w:rPr>
        <w:t xml:space="preserve"> </w:t>
      </w:r>
      <w:r w:rsidRPr="00DF2D8F">
        <w:rPr>
          <w:sz w:val="24"/>
          <w:szCs w:val="24"/>
        </w:rPr>
        <w:t xml:space="preserve">pACTs </w:t>
      </w:r>
      <w:r w:rsidR="00382854">
        <w:rPr>
          <w:sz w:val="24"/>
          <w:szCs w:val="24"/>
        </w:rPr>
        <w:t xml:space="preserve">in our </w:t>
      </w:r>
      <w:r w:rsidR="00382854" w:rsidRPr="00303D4D">
        <w:rPr>
          <w:sz w:val="24"/>
          <w:szCs w:val="24"/>
        </w:rPr>
        <w:t>analysis</w:t>
      </w:r>
      <w:r w:rsidRPr="00303D4D">
        <w:rPr>
          <w:sz w:val="24"/>
          <w:szCs w:val="24"/>
        </w:rPr>
        <w:t>.</w:t>
      </w:r>
      <w:r w:rsidRPr="009B488D">
        <w:rPr>
          <w:sz w:val="24"/>
          <w:szCs w:val="24"/>
          <w:vertAlign w:val="superscript"/>
        </w:rPr>
        <w:t xml:space="preserve"> </w:t>
      </w:r>
    </w:p>
    <w:p w14:paraId="275A0F0F" w14:textId="3AFA513B" w:rsidR="00E84361" w:rsidRDefault="005B0711" w:rsidP="00382854">
      <w:pPr>
        <w:ind w:left="-720"/>
        <w:rPr>
          <w:sz w:val="24"/>
          <w:szCs w:val="24"/>
        </w:rPr>
      </w:pPr>
      <w:r w:rsidRPr="00DF2D8F">
        <w:rPr>
          <w:sz w:val="24"/>
          <w:szCs w:val="24"/>
          <w:vertAlign w:val="superscript"/>
        </w:rPr>
        <w:t>b</w:t>
      </w:r>
      <w:r w:rsidR="003B0F68">
        <w:rPr>
          <w:sz w:val="24"/>
          <w:szCs w:val="24"/>
        </w:rPr>
        <w:t>n</w:t>
      </w:r>
      <w:r w:rsidRPr="00DF2D8F">
        <w:rPr>
          <w:sz w:val="24"/>
          <w:szCs w:val="24"/>
        </w:rPr>
        <w:t xml:space="preserve">on-ACTs do not require results reporting under FDAAA, but </w:t>
      </w:r>
      <w:r w:rsidR="00956ED0">
        <w:rPr>
          <w:sz w:val="24"/>
          <w:szCs w:val="24"/>
        </w:rPr>
        <w:t xml:space="preserve">non-ACTs </w:t>
      </w:r>
      <w:r w:rsidRPr="00DF2D8F">
        <w:rPr>
          <w:sz w:val="24"/>
          <w:szCs w:val="24"/>
        </w:rPr>
        <w:t>may require results reporting according to a complementary policy if funded in full or in part by NIH.</w:t>
      </w:r>
      <w:r w:rsidR="00B3284E">
        <w:rPr>
          <w:sz w:val="24"/>
          <w:szCs w:val="24"/>
        </w:rPr>
        <w:t xml:space="preserve"> JHU investigators voluntarily submitted results </w:t>
      </w:r>
      <w:r w:rsidR="003B0F68">
        <w:rPr>
          <w:sz w:val="24"/>
          <w:szCs w:val="24"/>
        </w:rPr>
        <w:t xml:space="preserve">for </w:t>
      </w:r>
      <w:r w:rsidR="00742079">
        <w:rPr>
          <w:sz w:val="24"/>
          <w:szCs w:val="24"/>
        </w:rPr>
        <w:t xml:space="preserve">most </w:t>
      </w:r>
      <w:r w:rsidR="003B0F68">
        <w:rPr>
          <w:sz w:val="24"/>
          <w:szCs w:val="24"/>
        </w:rPr>
        <w:t>non-ACTs.</w:t>
      </w:r>
    </w:p>
    <w:p w14:paraId="3BE2C04E" w14:textId="37B74EC2" w:rsidR="00E84361" w:rsidRDefault="005B0711" w:rsidP="00736B63">
      <w:pPr>
        <w:ind w:left="-720"/>
        <w:rPr>
          <w:sz w:val="24"/>
          <w:szCs w:val="24"/>
        </w:rPr>
      </w:pPr>
      <w:r w:rsidRPr="009B488D">
        <w:rPr>
          <w:sz w:val="24"/>
          <w:szCs w:val="24"/>
          <w:vertAlign w:val="superscript"/>
        </w:rPr>
        <w:t xml:space="preserve"> </w:t>
      </w:r>
      <w:r w:rsidRPr="00DF2D8F">
        <w:rPr>
          <w:sz w:val="24"/>
          <w:szCs w:val="24"/>
          <w:vertAlign w:val="superscript"/>
        </w:rPr>
        <w:t>c</w:t>
      </w:r>
      <w:r w:rsidR="00E84361">
        <w:rPr>
          <w:sz w:val="24"/>
          <w:szCs w:val="24"/>
        </w:rPr>
        <w:t>As of</w:t>
      </w:r>
      <w:r w:rsidR="00E84361" w:rsidRPr="00E84361">
        <w:rPr>
          <w:sz w:val="24"/>
          <w:szCs w:val="24"/>
        </w:rPr>
        <w:t xml:space="preserve"> </w:t>
      </w:r>
      <w:r w:rsidR="00E84361" w:rsidRPr="00DF2D8F">
        <w:rPr>
          <w:sz w:val="24"/>
          <w:szCs w:val="24"/>
        </w:rPr>
        <w:t>January 7, 2019</w:t>
      </w:r>
      <w:r w:rsidR="00E84361">
        <w:rPr>
          <w:sz w:val="24"/>
          <w:szCs w:val="24"/>
        </w:rPr>
        <w:t xml:space="preserve"> </w:t>
      </w:r>
      <w:r w:rsidRPr="00DF2D8F">
        <w:rPr>
          <w:sz w:val="24"/>
          <w:szCs w:val="24"/>
        </w:rPr>
        <w:t>4/15</w:t>
      </w:r>
      <w:r w:rsidR="00303D4D">
        <w:rPr>
          <w:sz w:val="24"/>
          <w:szCs w:val="24"/>
        </w:rPr>
        <w:t xml:space="preserve"> </w:t>
      </w:r>
      <w:r w:rsidRPr="00DF2D8F">
        <w:rPr>
          <w:sz w:val="24"/>
          <w:szCs w:val="24"/>
        </w:rPr>
        <w:t xml:space="preserve">(27%) </w:t>
      </w:r>
      <w:r w:rsidRPr="009B488D">
        <w:rPr>
          <w:sz w:val="24"/>
          <w:szCs w:val="24"/>
        </w:rPr>
        <w:t>n</w:t>
      </w:r>
      <w:r w:rsidRPr="00DF2D8F">
        <w:rPr>
          <w:sz w:val="24"/>
          <w:szCs w:val="24"/>
        </w:rPr>
        <w:t>on-ACT</w:t>
      </w:r>
      <w:r w:rsidRPr="009B488D">
        <w:rPr>
          <w:sz w:val="24"/>
          <w:szCs w:val="24"/>
        </w:rPr>
        <w:t>s</w:t>
      </w:r>
      <w:r w:rsidRPr="00DF2D8F">
        <w:rPr>
          <w:sz w:val="24"/>
          <w:szCs w:val="24"/>
        </w:rPr>
        <w:t xml:space="preserve"> </w:t>
      </w:r>
      <w:r w:rsidR="00736B63">
        <w:rPr>
          <w:sz w:val="24"/>
          <w:szCs w:val="24"/>
        </w:rPr>
        <w:t>submitted in</w:t>
      </w:r>
      <w:r w:rsidR="00736B63" w:rsidRPr="00DF2D8F">
        <w:rPr>
          <w:sz w:val="24"/>
          <w:szCs w:val="24"/>
        </w:rPr>
        <w:t xml:space="preserve"> </w:t>
      </w:r>
      <w:r w:rsidRPr="00DF2D8F">
        <w:rPr>
          <w:sz w:val="24"/>
          <w:szCs w:val="24"/>
        </w:rPr>
        <w:t>20</w:t>
      </w:r>
      <w:bookmarkStart w:id="0" w:name="_GoBack"/>
      <w:bookmarkEnd w:id="0"/>
      <w:r w:rsidRPr="00DF2D8F">
        <w:rPr>
          <w:sz w:val="24"/>
          <w:szCs w:val="24"/>
        </w:rPr>
        <w:t>17</w:t>
      </w:r>
      <w:r w:rsidR="00736B63" w:rsidRPr="00736B63">
        <w:rPr>
          <w:sz w:val="24"/>
          <w:szCs w:val="24"/>
        </w:rPr>
        <w:t xml:space="preserve"> </w:t>
      </w:r>
      <w:r w:rsidR="00736B63">
        <w:rPr>
          <w:sz w:val="24"/>
          <w:szCs w:val="24"/>
        </w:rPr>
        <w:t xml:space="preserve">had been returned </w:t>
      </w:r>
      <w:r w:rsidR="003B0F68">
        <w:rPr>
          <w:sz w:val="24"/>
          <w:szCs w:val="24"/>
        </w:rPr>
        <w:t xml:space="preserve">by NIH to JHU </w:t>
      </w:r>
      <w:r w:rsidR="00736B63">
        <w:rPr>
          <w:sz w:val="24"/>
          <w:szCs w:val="24"/>
        </w:rPr>
        <w:t xml:space="preserve">with comments at least once. These records had been in JHU and NIH review for </w:t>
      </w:r>
      <w:r w:rsidR="0086776F" w:rsidRPr="0086776F">
        <w:rPr>
          <w:sz w:val="24"/>
          <w:szCs w:val="24"/>
        </w:rPr>
        <w:t>211</w:t>
      </w:r>
      <w:r w:rsidR="0086776F">
        <w:rPr>
          <w:sz w:val="24"/>
          <w:szCs w:val="24"/>
        </w:rPr>
        <w:t>.00</w:t>
      </w:r>
      <w:r w:rsidR="00736B63" w:rsidRPr="0086776F">
        <w:rPr>
          <w:sz w:val="24"/>
          <w:szCs w:val="24"/>
        </w:rPr>
        <w:t xml:space="preserve"> (</w:t>
      </w:r>
      <w:r w:rsidR="0086776F" w:rsidRPr="0086776F">
        <w:rPr>
          <w:sz w:val="24"/>
          <w:szCs w:val="24"/>
        </w:rPr>
        <w:t>234.82</w:t>
      </w:r>
      <w:r w:rsidR="00736B63" w:rsidRPr="0086776F">
        <w:rPr>
          <w:sz w:val="24"/>
          <w:szCs w:val="24"/>
        </w:rPr>
        <w:t xml:space="preserve">) and </w:t>
      </w:r>
      <w:r w:rsidR="0086776F" w:rsidRPr="0086776F">
        <w:rPr>
          <w:sz w:val="24"/>
          <w:szCs w:val="24"/>
        </w:rPr>
        <w:t>271.50</w:t>
      </w:r>
      <w:r w:rsidR="00736B63" w:rsidRPr="0086776F">
        <w:rPr>
          <w:sz w:val="24"/>
          <w:szCs w:val="24"/>
        </w:rPr>
        <w:t xml:space="preserve"> (</w:t>
      </w:r>
      <w:r w:rsidR="0086776F">
        <w:rPr>
          <w:sz w:val="24"/>
          <w:szCs w:val="24"/>
        </w:rPr>
        <w:t>173.13)</w:t>
      </w:r>
      <w:r w:rsidR="00736B63">
        <w:rPr>
          <w:sz w:val="24"/>
          <w:szCs w:val="24"/>
        </w:rPr>
        <w:t xml:space="preserve"> days, respectively. </w:t>
      </w:r>
      <w:r w:rsidR="00E84361">
        <w:rPr>
          <w:sz w:val="24"/>
          <w:szCs w:val="24"/>
        </w:rPr>
        <w:t>As of</w:t>
      </w:r>
      <w:r w:rsidR="00E84361" w:rsidRPr="00E84361">
        <w:rPr>
          <w:sz w:val="24"/>
          <w:szCs w:val="24"/>
        </w:rPr>
        <w:t xml:space="preserve"> </w:t>
      </w:r>
      <w:r w:rsidR="00E84361" w:rsidRPr="00DF2D8F">
        <w:rPr>
          <w:sz w:val="24"/>
          <w:szCs w:val="24"/>
        </w:rPr>
        <w:t>January 7, 2019</w:t>
      </w:r>
      <w:r w:rsidR="00E84361">
        <w:rPr>
          <w:sz w:val="24"/>
          <w:szCs w:val="24"/>
        </w:rPr>
        <w:t xml:space="preserve"> 2</w:t>
      </w:r>
      <w:r w:rsidRPr="00DF2D8F">
        <w:rPr>
          <w:sz w:val="24"/>
          <w:szCs w:val="24"/>
        </w:rPr>
        <w:t>/7</w:t>
      </w:r>
      <w:r w:rsidR="00303D4D">
        <w:rPr>
          <w:sz w:val="24"/>
          <w:szCs w:val="24"/>
        </w:rPr>
        <w:t xml:space="preserve"> </w:t>
      </w:r>
      <w:r w:rsidRPr="00DF2D8F">
        <w:rPr>
          <w:sz w:val="24"/>
          <w:szCs w:val="24"/>
        </w:rPr>
        <w:t xml:space="preserve">(29%) </w:t>
      </w:r>
      <w:r w:rsidRPr="009B488D">
        <w:rPr>
          <w:sz w:val="24"/>
          <w:szCs w:val="24"/>
        </w:rPr>
        <w:t>n</w:t>
      </w:r>
      <w:r w:rsidRPr="00DF2D8F">
        <w:rPr>
          <w:sz w:val="24"/>
          <w:szCs w:val="24"/>
        </w:rPr>
        <w:t>on-ACT</w:t>
      </w:r>
      <w:r w:rsidRPr="009B488D">
        <w:rPr>
          <w:sz w:val="24"/>
          <w:szCs w:val="24"/>
        </w:rPr>
        <w:t>s</w:t>
      </w:r>
      <w:r w:rsidRPr="00DF2D8F">
        <w:rPr>
          <w:sz w:val="24"/>
          <w:szCs w:val="24"/>
        </w:rPr>
        <w:t xml:space="preserve"> </w:t>
      </w:r>
      <w:r w:rsidR="00E84361">
        <w:rPr>
          <w:sz w:val="24"/>
          <w:szCs w:val="24"/>
        </w:rPr>
        <w:t>submitted in</w:t>
      </w:r>
      <w:r w:rsidR="00E84361" w:rsidRPr="00DF2D8F">
        <w:rPr>
          <w:sz w:val="24"/>
          <w:szCs w:val="24"/>
        </w:rPr>
        <w:t xml:space="preserve"> </w:t>
      </w:r>
      <w:r w:rsidRPr="00DF2D8F">
        <w:rPr>
          <w:sz w:val="24"/>
          <w:szCs w:val="24"/>
        </w:rPr>
        <w:t xml:space="preserve">2018 </w:t>
      </w:r>
      <w:r w:rsidR="00E84361">
        <w:rPr>
          <w:sz w:val="24"/>
          <w:szCs w:val="24"/>
        </w:rPr>
        <w:t>had not been returned by NIH</w:t>
      </w:r>
      <w:r w:rsidRPr="00DF2D8F">
        <w:rPr>
          <w:sz w:val="24"/>
          <w:szCs w:val="24"/>
        </w:rPr>
        <w:t xml:space="preserve"> </w:t>
      </w:r>
      <w:r w:rsidR="00E84361">
        <w:rPr>
          <w:sz w:val="24"/>
          <w:szCs w:val="24"/>
        </w:rPr>
        <w:t>after their first submission</w:t>
      </w:r>
      <w:r w:rsidR="003B0F68">
        <w:rPr>
          <w:sz w:val="24"/>
          <w:szCs w:val="24"/>
        </w:rPr>
        <w:t xml:space="preserve">; these records </w:t>
      </w:r>
      <w:r w:rsidR="00E84361">
        <w:rPr>
          <w:sz w:val="24"/>
          <w:szCs w:val="24"/>
        </w:rPr>
        <w:t xml:space="preserve">had been in </w:t>
      </w:r>
      <w:r w:rsidR="00736B63">
        <w:rPr>
          <w:sz w:val="24"/>
          <w:szCs w:val="24"/>
        </w:rPr>
        <w:t xml:space="preserve">NIH </w:t>
      </w:r>
      <w:r w:rsidR="00E84361">
        <w:rPr>
          <w:sz w:val="24"/>
          <w:szCs w:val="24"/>
        </w:rPr>
        <w:t>review for 132 and 153 days</w:t>
      </w:r>
      <w:r w:rsidR="009B488D" w:rsidRPr="009B488D">
        <w:rPr>
          <w:sz w:val="24"/>
          <w:szCs w:val="24"/>
        </w:rPr>
        <w:t>.</w:t>
      </w:r>
    </w:p>
    <w:p w14:paraId="4CC3FB16" w14:textId="45DABAA7" w:rsidR="005B0711" w:rsidRPr="00303D4D" w:rsidRDefault="009B488D" w:rsidP="00303D4D">
      <w:pPr>
        <w:ind w:left="-720"/>
        <w:rPr>
          <w:sz w:val="24"/>
          <w:szCs w:val="24"/>
        </w:rPr>
      </w:pPr>
      <w:r w:rsidRPr="009B488D">
        <w:rPr>
          <w:vertAlign w:val="superscript"/>
        </w:rPr>
        <w:t>d</w:t>
      </w:r>
      <w:r w:rsidRPr="00956ED0">
        <w:rPr>
          <w:sz w:val="24"/>
          <w:szCs w:val="24"/>
        </w:rPr>
        <w:t xml:space="preserve">All records </w:t>
      </w:r>
      <w:r w:rsidR="003B0F68">
        <w:rPr>
          <w:sz w:val="24"/>
          <w:szCs w:val="24"/>
        </w:rPr>
        <w:t>were</w:t>
      </w:r>
      <w:r w:rsidRPr="00956ED0">
        <w:rPr>
          <w:sz w:val="24"/>
          <w:szCs w:val="24"/>
        </w:rPr>
        <w:t xml:space="preserve"> posted before this review cycle.</w:t>
      </w:r>
      <w:r w:rsidR="003B0F68" w:rsidDel="003B0F68">
        <w:rPr>
          <w:sz w:val="24"/>
          <w:szCs w:val="24"/>
        </w:rPr>
        <w:t xml:space="preserve"> </w:t>
      </w:r>
    </w:p>
    <w:p w14:paraId="6BA687FF" w14:textId="66804D19" w:rsidR="0031687A" w:rsidRPr="005B0711" w:rsidRDefault="0031687A" w:rsidP="005B0711">
      <w:pPr>
        <w:ind w:left="-720"/>
        <w:rPr>
          <w:sz w:val="24"/>
          <w:szCs w:val="24"/>
        </w:rPr>
      </w:pPr>
    </w:p>
    <w:sectPr w:rsidR="0031687A" w:rsidRPr="005B0711" w:rsidSect="005B0711">
      <w:pgSz w:w="15840" w:h="12240" w:orient="landscape"/>
      <w:pgMar w:top="1440" w:right="2160" w:bottom="1440" w:left="216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D58A35" w16cid:durableId="205AC8F5"/>
  <w16cid:commentId w16cid:paraId="29F60E1F" w16cid:durableId="205ACA2A"/>
  <w16cid:commentId w16cid:paraId="50043557" w16cid:durableId="205AC9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D2F7A"/>
    <w:multiLevelType w:val="hybridMultilevel"/>
    <w:tmpl w:val="FE7209FE"/>
    <w:lvl w:ilvl="0" w:tplc="43325D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A1"/>
    <w:rsid w:val="0001603C"/>
    <w:rsid w:val="00027D74"/>
    <w:rsid w:val="000B587F"/>
    <w:rsid w:val="000D438C"/>
    <w:rsid w:val="00153113"/>
    <w:rsid w:val="00155EFE"/>
    <w:rsid w:val="00156ACE"/>
    <w:rsid w:val="00174A09"/>
    <w:rsid w:val="0019718E"/>
    <w:rsid w:val="002104A4"/>
    <w:rsid w:val="00242935"/>
    <w:rsid w:val="00287D3F"/>
    <w:rsid w:val="002C3E87"/>
    <w:rsid w:val="002C7E9C"/>
    <w:rsid w:val="00300FDA"/>
    <w:rsid w:val="00301A79"/>
    <w:rsid w:val="00303D4D"/>
    <w:rsid w:val="00305675"/>
    <w:rsid w:val="0031687A"/>
    <w:rsid w:val="00382854"/>
    <w:rsid w:val="003B0F68"/>
    <w:rsid w:val="003E3106"/>
    <w:rsid w:val="0043101F"/>
    <w:rsid w:val="00450B1F"/>
    <w:rsid w:val="00474309"/>
    <w:rsid w:val="004A03DF"/>
    <w:rsid w:val="004C7A65"/>
    <w:rsid w:val="004D3174"/>
    <w:rsid w:val="005B0711"/>
    <w:rsid w:val="005B1618"/>
    <w:rsid w:val="005E63E4"/>
    <w:rsid w:val="00633483"/>
    <w:rsid w:val="00667E31"/>
    <w:rsid w:val="006C0C5E"/>
    <w:rsid w:val="006D2974"/>
    <w:rsid w:val="006D34C0"/>
    <w:rsid w:val="00736B63"/>
    <w:rsid w:val="00742079"/>
    <w:rsid w:val="007972A1"/>
    <w:rsid w:val="007979DE"/>
    <w:rsid w:val="007A0CA5"/>
    <w:rsid w:val="007A411D"/>
    <w:rsid w:val="007B4828"/>
    <w:rsid w:val="007C651E"/>
    <w:rsid w:val="007F3AAA"/>
    <w:rsid w:val="00834845"/>
    <w:rsid w:val="00865F1C"/>
    <w:rsid w:val="0086776F"/>
    <w:rsid w:val="00877839"/>
    <w:rsid w:val="0089355F"/>
    <w:rsid w:val="008A7A22"/>
    <w:rsid w:val="008D2DE3"/>
    <w:rsid w:val="00900639"/>
    <w:rsid w:val="00956ED0"/>
    <w:rsid w:val="009573C5"/>
    <w:rsid w:val="009718F2"/>
    <w:rsid w:val="009838C9"/>
    <w:rsid w:val="00987E9C"/>
    <w:rsid w:val="00991AC9"/>
    <w:rsid w:val="0099724A"/>
    <w:rsid w:val="009A1D98"/>
    <w:rsid w:val="009B488D"/>
    <w:rsid w:val="009E7EC0"/>
    <w:rsid w:val="00A121ED"/>
    <w:rsid w:val="00A6200D"/>
    <w:rsid w:val="00AA385C"/>
    <w:rsid w:val="00B202D8"/>
    <w:rsid w:val="00B3284E"/>
    <w:rsid w:val="00B52B1C"/>
    <w:rsid w:val="00B61E50"/>
    <w:rsid w:val="00B72839"/>
    <w:rsid w:val="00B9406B"/>
    <w:rsid w:val="00BB5BAF"/>
    <w:rsid w:val="00BD4C37"/>
    <w:rsid w:val="00C318DA"/>
    <w:rsid w:val="00D0583D"/>
    <w:rsid w:val="00D700D7"/>
    <w:rsid w:val="00D94308"/>
    <w:rsid w:val="00D958EB"/>
    <w:rsid w:val="00DF2D8F"/>
    <w:rsid w:val="00E75A18"/>
    <w:rsid w:val="00E84361"/>
    <w:rsid w:val="00E8696D"/>
    <w:rsid w:val="00EB673D"/>
    <w:rsid w:val="00EC2A23"/>
    <w:rsid w:val="00F5366A"/>
    <w:rsid w:val="00FA6190"/>
    <w:rsid w:val="00FC2432"/>
    <w:rsid w:val="00FD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DEDA"/>
  <w15:chartTrackingRefBased/>
  <w15:docId w15:val="{79739F0F-5882-4F19-868B-C8EF3656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7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72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24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34C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18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18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18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8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979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 Tetteh</dc:creator>
  <cp:keywords/>
  <dc:description/>
  <cp:lastModifiedBy>Prince Nuamah</cp:lastModifiedBy>
  <cp:revision>2</cp:revision>
  <cp:lastPrinted>2019-04-04T18:09:00Z</cp:lastPrinted>
  <dcterms:created xsi:type="dcterms:W3CDTF">2019-04-17T16:49:00Z</dcterms:created>
  <dcterms:modified xsi:type="dcterms:W3CDTF">2019-04-17T16:49:00Z</dcterms:modified>
</cp:coreProperties>
</file>