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E2EBE" w14:textId="77777777" w:rsidR="00713191" w:rsidRPr="00CD7285" w:rsidRDefault="0066286F" w:rsidP="00CD7285">
      <w:pPr>
        <w:spacing w:after="0" w:line="240" w:lineRule="auto"/>
        <w:outlineLvl w:val="0"/>
        <w:rPr>
          <w:rFonts w:cstheme="minorHAnsi"/>
          <w:b/>
        </w:rPr>
      </w:pPr>
      <w:r>
        <w:rPr>
          <w:rFonts w:cstheme="minorHAnsi"/>
          <w:b/>
        </w:rPr>
        <w:t>D</w:t>
      </w:r>
      <w:r w:rsidR="0053170D">
        <w:rPr>
          <w:rFonts w:cstheme="minorHAnsi"/>
          <w:b/>
        </w:rPr>
        <w:t>elay</w:t>
      </w:r>
      <w:r>
        <w:rPr>
          <w:rFonts w:cstheme="minorHAnsi"/>
          <w:b/>
        </w:rPr>
        <w:t>ed</w:t>
      </w:r>
      <w:r w:rsidR="00713191" w:rsidRPr="00CD7285">
        <w:rPr>
          <w:rFonts w:cstheme="minorHAnsi"/>
          <w:b/>
        </w:rPr>
        <w:t xml:space="preserve"> </w:t>
      </w:r>
      <w:r w:rsidR="0053170D">
        <w:rPr>
          <w:rFonts w:cstheme="minorHAnsi"/>
          <w:b/>
        </w:rPr>
        <w:t>posting of</w:t>
      </w:r>
      <w:r w:rsidR="00C81393" w:rsidRPr="00CD7285">
        <w:rPr>
          <w:rFonts w:cstheme="minorHAnsi"/>
          <w:b/>
        </w:rPr>
        <w:t xml:space="preserve"> results on ClinicalTrials.gov</w:t>
      </w:r>
    </w:p>
    <w:p w14:paraId="6F03D90E" w14:textId="77777777" w:rsidR="006E4872" w:rsidRPr="00CD7285" w:rsidRDefault="006E4872" w:rsidP="00CD7285">
      <w:pPr>
        <w:spacing w:after="0" w:line="240" w:lineRule="auto"/>
        <w:rPr>
          <w:rFonts w:cstheme="minorHAnsi"/>
        </w:rPr>
      </w:pPr>
    </w:p>
    <w:p w14:paraId="01AAEA79" w14:textId="77777777" w:rsidR="006E4872" w:rsidRPr="00CD7285" w:rsidRDefault="006E4872" w:rsidP="00CD7285">
      <w:pPr>
        <w:spacing w:after="0" w:line="240" w:lineRule="auto"/>
        <w:rPr>
          <w:rFonts w:cstheme="minorHAnsi"/>
        </w:rPr>
      </w:pPr>
      <w:r w:rsidRPr="00CD7285">
        <w:rPr>
          <w:rFonts w:cstheme="minorHAnsi"/>
          <w:b/>
        </w:rPr>
        <w:t>Anthony Keyes</w:t>
      </w:r>
      <w:r w:rsidR="00911519" w:rsidRPr="00CD7285">
        <w:rPr>
          <w:rFonts w:cstheme="minorHAnsi"/>
          <w:b/>
        </w:rPr>
        <w:t>, MBA PMP (Corresponding author)</w:t>
      </w:r>
    </w:p>
    <w:p w14:paraId="14F1C527" w14:textId="77777777" w:rsidR="006E4872" w:rsidRPr="00CD7285" w:rsidRDefault="006E4872" w:rsidP="00CD7285">
      <w:pPr>
        <w:spacing w:after="0" w:line="240" w:lineRule="auto"/>
        <w:rPr>
          <w:rFonts w:cstheme="minorHAnsi"/>
        </w:rPr>
      </w:pPr>
      <w:r w:rsidRPr="00CD7285">
        <w:rPr>
          <w:rFonts w:cstheme="minorHAnsi"/>
        </w:rPr>
        <w:t>Program Manager, Clinical Research Projects</w:t>
      </w:r>
    </w:p>
    <w:p w14:paraId="1A252E8E" w14:textId="77777777" w:rsidR="006E4872" w:rsidRPr="00CD7285" w:rsidRDefault="006E4872" w:rsidP="00CD7285">
      <w:pPr>
        <w:spacing w:after="0" w:line="240" w:lineRule="auto"/>
        <w:rPr>
          <w:rFonts w:cstheme="minorHAnsi"/>
        </w:rPr>
      </w:pPr>
      <w:r w:rsidRPr="00CD7285">
        <w:rPr>
          <w:rFonts w:cstheme="minorHAnsi"/>
        </w:rPr>
        <w:t>Johns Hopkins University School of Medicine</w:t>
      </w:r>
    </w:p>
    <w:p w14:paraId="1F77CFB6" w14:textId="77777777" w:rsidR="006E4872" w:rsidRPr="00CD7285" w:rsidRDefault="006E4872" w:rsidP="00CD7285">
      <w:pPr>
        <w:spacing w:after="0" w:line="240" w:lineRule="auto"/>
        <w:rPr>
          <w:rFonts w:cstheme="minorHAnsi"/>
        </w:rPr>
      </w:pPr>
      <w:r w:rsidRPr="00CD7285">
        <w:rPr>
          <w:rFonts w:cstheme="minorHAnsi"/>
        </w:rPr>
        <w:t>301 Mason Lord Drive</w:t>
      </w:r>
    </w:p>
    <w:p w14:paraId="52682F97" w14:textId="77777777" w:rsidR="006E4872" w:rsidRPr="00CD7285" w:rsidRDefault="006E4872" w:rsidP="00CD7285">
      <w:pPr>
        <w:spacing w:after="0" w:line="240" w:lineRule="auto"/>
        <w:rPr>
          <w:rFonts w:cstheme="minorHAnsi"/>
        </w:rPr>
      </w:pPr>
      <w:r w:rsidRPr="00CD7285">
        <w:rPr>
          <w:rFonts w:cstheme="minorHAnsi"/>
        </w:rPr>
        <w:t>Baltimore, MD 21224</w:t>
      </w:r>
    </w:p>
    <w:p w14:paraId="01F68FB9" w14:textId="77777777" w:rsidR="006E4872" w:rsidRPr="00CD7285" w:rsidRDefault="00C140DE" w:rsidP="00CD7285">
      <w:pPr>
        <w:spacing w:after="0" w:line="240" w:lineRule="auto"/>
        <w:rPr>
          <w:rFonts w:cstheme="minorHAnsi"/>
        </w:rPr>
      </w:pPr>
      <w:hyperlink r:id="rId6" w:history="1">
        <w:r w:rsidR="006B6C44" w:rsidRPr="00CD7285">
          <w:rPr>
            <w:rStyle w:val="Hyperlink"/>
            <w:rFonts w:cstheme="minorHAnsi"/>
            <w:color w:val="auto"/>
          </w:rPr>
          <w:t>akeyes1@jhmi.edu</w:t>
        </w:r>
      </w:hyperlink>
    </w:p>
    <w:p w14:paraId="6AF453D8" w14:textId="77777777" w:rsidR="006B6C44" w:rsidRPr="00CD7285" w:rsidRDefault="006B6C44" w:rsidP="00CD7285">
      <w:pPr>
        <w:spacing w:after="0" w:line="240" w:lineRule="auto"/>
        <w:rPr>
          <w:rFonts w:cstheme="minorHAnsi"/>
        </w:rPr>
      </w:pPr>
    </w:p>
    <w:p w14:paraId="3A4162AF" w14:textId="77777777" w:rsidR="006B6C44" w:rsidRPr="00CD7285" w:rsidRDefault="006B6C44" w:rsidP="00CD7285">
      <w:pPr>
        <w:spacing w:after="0" w:line="240" w:lineRule="auto"/>
        <w:rPr>
          <w:rFonts w:cstheme="minorHAnsi"/>
          <w:b/>
        </w:rPr>
      </w:pPr>
      <w:r w:rsidRPr="00CD7285">
        <w:rPr>
          <w:rFonts w:cstheme="minorHAnsi"/>
          <w:b/>
        </w:rPr>
        <w:t>Evan Mayo-Wilson</w:t>
      </w:r>
      <w:r w:rsidR="00911519" w:rsidRPr="00CD7285">
        <w:rPr>
          <w:rFonts w:cstheme="minorHAnsi"/>
          <w:b/>
        </w:rPr>
        <w:t>, DPhil</w:t>
      </w:r>
      <w:r w:rsidR="00C66402">
        <w:rPr>
          <w:rFonts w:cstheme="minorHAnsi"/>
          <w:b/>
        </w:rPr>
        <w:t>, MPA</w:t>
      </w:r>
    </w:p>
    <w:p w14:paraId="79739CA0" w14:textId="77777777" w:rsidR="006B6C44" w:rsidRPr="00CD7285" w:rsidRDefault="00C66402" w:rsidP="00CD7285">
      <w:pPr>
        <w:spacing w:after="0" w:line="240" w:lineRule="auto"/>
        <w:rPr>
          <w:rFonts w:cstheme="minorHAnsi"/>
        </w:rPr>
      </w:pPr>
      <w:r>
        <w:rPr>
          <w:rFonts w:cstheme="minorHAnsi"/>
        </w:rPr>
        <w:t>Associate</w:t>
      </w:r>
      <w:r w:rsidRPr="00CD7285">
        <w:rPr>
          <w:rFonts w:cstheme="minorHAnsi"/>
        </w:rPr>
        <w:t xml:space="preserve"> </w:t>
      </w:r>
      <w:r w:rsidR="006B6C44" w:rsidRPr="00CD7285">
        <w:rPr>
          <w:rFonts w:cstheme="minorHAnsi"/>
        </w:rPr>
        <w:t>Scientist</w:t>
      </w:r>
    </w:p>
    <w:p w14:paraId="634CAA26" w14:textId="77777777" w:rsidR="006B6C44" w:rsidRPr="00CD7285" w:rsidRDefault="006B6C44" w:rsidP="00CD7285">
      <w:pPr>
        <w:spacing w:after="0" w:line="240" w:lineRule="auto"/>
        <w:rPr>
          <w:rFonts w:cstheme="minorHAnsi"/>
        </w:rPr>
      </w:pPr>
      <w:r w:rsidRPr="00CD7285">
        <w:rPr>
          <w:rFonts w:cstheme="minorHAnsi"/>
        </w:rPr>
        <w:t>Department of Epidemiology</w:t>
      </w:r>
    </w:p>
    <w:p w14:paraId="0F284FBF" w14:textId="77777777" w:rsidR="006B6C44" w:rsidRPr="00CD7285" w:rsidRDefault="006B6C44" w:rsidP="00CD7285">
      <w:pPr>
        <w:spacing w:after="0" w:line="240" w:lineRule="auto"/>
        <w:rPr>
          <w:rFonts w:cstheme="minorHAnsi"/>
        </w:rPr>
      </w:pPr>
      <w:r w:rsidRPr="00CD7285">
        <w:rPr>
          <w:rFonts w:cstheme="minorHAnsi"/>
        </w:rPr>
        <w:t>Johns Hopkins University Bloomberg School of Public Health</w:t>
      </w:r>
    </w:p>
    <w:p w14:paraId="188800FF" w14:textId="77777777" w:rsidR="006E4872" w:rsidRPr="00CD7285" w:rsidRDefault="006E4872" w:rsidP="00CD7285">
      <w:pPr>
        <w:spacing w:after="0" w:line="240" w:lineRule="auto"/>
        <w:rPr>
          <w:rFonts w:cstheme="minorHAnsi"/>
        </w:rPr>
      </w:pPr>
    </w:p>
    <w:p w14:paraId="349AE95D" w14:textId="77777777" w:rsidR="006E4872" w:rsidRPr="00CD7285" w:rsidRDefault="006E4872" w:rsidP="00CD7285">
      <w:pPr>
        <w:spacing w:after="0" w:line="240" w:lineRule="auto"/>
        <w:rPr>
          <w:rFonts w:cstheme="minorHAnsi"/>
          <w:b/>
        </w:rPr>
      </w:pPr>
      <w:r w:rsidRPr="00CD7285">
        <w:rPr>
          <w:rFonts w:cstheme="minorHAnsi"/>
          <w:b/>
        </w:rPr>
        <w:t>Nidhi Atri</w:t>
      </w:r>
      <w:r w:rsidR="00911519" w:rsidRPr="00CD7285">
        <w:rPr>
          <w:rFonts w:cstheme="minorHAnsi"/>
          <w:b/>
        </w:rPr>
        <w:t>, MD</w:t>
      </w:r>
    </w:p>
    <w:p w14:paraId="35F76D80" w14:textId="77777777" w:rsidR="006E4872" w:rsidRPr="00CD7285" w:rsidRDefault="006E4872" w:rsidP="00CD7285">
      <w:pPr>
        <w:spacing w:after="0" w:line="240" w:lineRule="auto"/>
        <w:rPr>
          <w:rFonts w:cstheme="minorHAnsi"/>
        </w:rPr>
      </w:pPr>
      <w:r w:rsidRPr="00CD7285">
        <w:rPr>
          <w:rFonts w:cstheme="minorHAnsi"/>
        </w:rPr>
        <w:t>Clinical Research Compliance Specialist</w:t>
      </w:r>
    </w:p>
    <w:p w14:paraId="7030A3BC" w14:textId="77777777" w:rsidR="006E4872" w:rsidRPr="00CD7285" w:rsidRDefault="006E4872" w:rsidP="00CD7285">
      <w:pPr>
        <w:spacing w:after="0" w:line="240" w:lineRule="auto"/>
        <w:rPr>
          <w:rFonts w:cstheme="minorHAnsi"/>
        </w:rPr>
      </w:pPr>
      <w:r w:rsidRPr="00CD7285">
        <w:rPr>
          <w:rFonts w:cstheme="minorHAnsi"/>
        </w:rPr>
        <w:t>Johns Hopkins University School of Medicine</w:t>
      </w:r>
    </w:p>
    <w:p w14:paraId="15065424" w14:textId="77777777" w:rsidR="006E4872" w:rsidRDefault="006E4872" w:rsidP="00CD7285">
      <w:pPr>
        <w:spacing w:after="0" w:line="240" w:lineRule="auto"/>
        <w:outlineLvl w:val="0"/>
        <w:rPr>
          <w:rFonts w:cstheme="minorHAnsi"/>
        </w:rPr>
      </w:pPr>
    </w:p>
    <w:p w14:paraId="2ED6B1D6" w14:textId="77777777" w:rsidR="00F22B17" w:rsidRDefault="00F22B17" w:rsidP="00CD7285">
      <w:pPr>
        <w:spacing w:after="0" w:line="240" w:lineRule="auto"/>
        <w:outlineLvl w:val="0"/>
        <w:rPr>
          <w:rFonts w:cstheme="minorHAnsi"/>
          <w:b/>
        </w:rPr>
      </w:pPr>
      <w:r w:rsidRPr="00C66402">
        <w:rPr>
          <w:rFonts w:cstheme="minorHAnsi"/>
          <w:b/>
        </w:rPr>
        <w:t xml:space="preserve">Aliya </w:t>
      </w:r>
      <w:r w:rsidR="0009090A" w:rsidRPr="00C66402">
        <w:rPr>
          <w:rFonts w:cstheme="minorHAnsi"/>
          <w:b/>
        </w:rPr>
        <w:t>L</w:t>
      </w:r>
      <w:r w:rsidRPr="00C66402">
        <w:rPr>
          <w:rFonts w:cstheme="minorHAnsi"/>
          <w:b/>
        </w:rPr>
        <w:t>a</w:t>
      </w:r>
      <w:r w:rsidR="0009090A" w:rsidRPr="00C66402">
        <w:rPr>
          <w:rFonts w:cstheme="minorHAnsi"/>
          <w:b/>
        </w:rPr>
        <w:t>l</w:t>
      </w:r>
      <w:r w:rsidRPr="00C66402">
        <w:rPr>
          <w:rFonts w:cstheme="minorHAnsi"/>
          <w:b/>
        </w:rPr>
        <w:t>ji</w:t>
      </w:r>
      <w:r w:rsidR="0009090A" w:rsidRPr="00C66402">
        <w:rPr>
          <w:rFonts w:cstheme="minorHAnsi"/>
          <w:b/>
        </w:rPr>
        <w:t>, MD</w:t>
      </w:r>
    </w:p>
    <w:p w14:paraId="7D712087" w14:textId="77777777" w:rsidR="0009090A" w:rsidRPr="00CD7285" w:rsidRDefault="0009090A" w:rsidP="0009090A">
      <w:pPr>
        <w:spacing w:after="0" w:line="240" w:lineRule="auto"/>
        <w:rPr>
          <w:rFonts w:cstheme="minorHAnsi"/>
        </w:rPr>
      </w:pPr>
      <w:r w:rsidRPr="00CD7285">
        <w:rPr>
          <w:rFonts w:cstheme="minorHAnsi"/>
        </w:rPr>
        <w:t>Clinical Research Compliance Specialist</w:t>
      </w:r>
    </w:p>
    <w:p w14:paraId="77F9C750" w14:textId="77777777" w:rsidR="0009090A" w:rsidRPr="00CD7285" w:rsidRDefault="0009090A" w:rsidP="0009090A">
      <w:pPr>
        <w:spacing w:after="0" w:line="240" w:lineRule="auto"/>
        <w:rPr>
          <w:rFonts w:cstheme="minorHAnsi"/>
        </w:rPr>
      </w:pPr>
      <w:r w:rsidRPr="00CD7285">
        <w:rPr>
          <w:rFonts w:cstheme="minorHAnsi"/>
        </w:rPr>
        <w:t>Johns Hopkins University School of Medicine</w:t>
      </w:r>
    </w:p>
    <w:p w14:paraId="44603409" w14:textId="77777777" w:rsidR="00F22B17" w:rsidRPr="00CD7285" w:rsidRDefault="00F22B17" w:rsidP="00CD7285">
      <w:pPr>
        <w:spacing w:after="0" w:line="240" w:lineRule="auto"/>
        <w:outlineLvl w:val="0"/>
        <w:rPr>
          <w:rFonts w:cstheme="minorHAnsi"/>
        </w:rPr>
      </w:pPr>
    </w:p>
    <w:p w14:paraId="39B90D5E" w14:textId="77777777" w:rsidR="006E4872" w:rsidRPr="00CD7285" w:rsidRDefault="006E4872" w:rsidP="00CD7285">
      <w:pPr>
        <w:spacing w:after="0" w:line="240" w:lineRule="auto"/>
        <w:outlineLvl w:val="0"/>
        <w:rPr>
          <w:rFonts w:cstheme="minorHAnsi"/>
          <w:b/>
        </w:rPr>
      </w:pPr>
      <w:r w:rsidRPr="00CD7285">
        <w:rPr>
          <w:rFonts w:cstheme="minorHAnsi"/>
          <w:b/>
        </w:rPr>
        <w:t>Prince S. Nuamah</w:t>
      </w:r>
      <w:r w:rsidR="00911519" w:rsidRPr="00CD7285">
        <w:rPr>
          <w:rFonts w:cstheme="minorHAnsi"/>
          <w:b/>
        </w:rPr>
        <w:t>, MD, MPH</w:t>
      </w:r>
    </w:p>
    <w:p w14:paraId="0B42AFA9" w14:textId="77777777" w:rsidR="006E4872" w:rsidRPr="00CD7285" w:rsidRDefault="006E4872" w:rsidP="00CD7285">
      <w:pPr>
        <w:spacing w:after="0" w:line="240" w:lineRule="auto"/>
        <w:outlineLvl w:val="0"/>
        <w:rPr>
          <w:rFonts w:cstheme="minorHAnsi"/>
        </w:rPr>
      </w:pPr>
      <w:r w:rsidRPr="00CD7285">
        <w:rPr>
          <w:rFonts w:cstheme="minorHAnsi"/>
        </w:rPr>
        <w:t>Clinical Research Compliance Specialist</w:t>
      </w:r>
    </w:p>
    <w:p w14:paraId="18599813" w14:textId="77777777" w:rsidR="00822BAB" w:rsidRDefault="006E4872" w:rsidP="00CD7285">
      <w:pPr>
        <w:spacing w:after="0" w:line="240" w:lineRule="auto"/>
        <w:outlineLvl w:val="0"/>
        <w:rPr>
          <w:rFonts w:cstheme="minorHAnsi"/>
        </w:rPr>
      </w:pPr>
      <w:r w:rsidRPr="00CD7285">
        <w:rPr>
          <w:rFonts w:cstheme="minorHAnsi"/>
        </w:rPr>
        <w:t>Johns Hopkins University School of Medicine</w:t>
      </w:r>
    </w:p>
    <w:p w14:paraId="402BD4CA" w14:textId="77777777" w:rsidR="00F22B17" w:rsidRPr="00C66402" w:rsidRDefault="00F22B17" w:rsidP="00CD7285">
      <w:pPr>
        <w:spacing w:after="0" w:line="240" w:lineRule="auto"/>
        <w:outlineLvl w:val="0"/>
        <w:rPr>
          <w:rFonts w:cstheme="minorHAnsi"/>
          <w:b/>
        </w:rPr>
      </w:pPr>
    </w:p>
    <w:p w14:paraId="6C8F1296" w14:textId="77777777" w:rsidR="00F22B17" w:rsidRDefault="00F22B17" w:rsidP="00CD7285">
      <w:pPr>
        <w:spacing w:after="0" w:line="240" w:lineRule="auto"/>
        <w:outlineLvl w:val="0"/>
        <w:rPr>
          <w:rFonts w:cstheme="minorHAnsi"/>
          <w:b/>
        </w:rPr>
      </w:pPr>
      <w:r w:rsidRPr="00C66402">
        <w:rPr>
          <w:rFonts w:cstheme="minorHAnsi"/>
          <w:b/>
        </w:rPr>
        <w:t>Oswald</w:t>
      </w:r>
      <w:r w:rsidR="0009090A" w:rsidRPr="00C66402">
        <w:rPr>
          <w:rFonts w:cstheme="minorHAnsi"/>
          <w:b/>
        </w:rPr>
        <w:t xml:space="preserve"> Tetteh, MD, MPH</w:t>
      </w:r>
    </w:p>
    <w:p w14:paraId="47C8F017" w14:textId="77777777" w:rsidR="0009090A" w:rsidRPr="00CD7285" w:rsidRDefault="0009090A" w:rsidP="0009090A">
      <w:pPr>
        <w:spacing w:after="0" w:line="240" w:lineRule="auto"/>
        <w:outlineLvl w:val="0"/>
        <w:rPr>
          <w:rFonts w:cstheme="minorHAnsi"/>
        </w:rPr>
      </w:pPr>
      <w:r w:rsidRPr="00CD7285">
        <w:rPr>
          <w:rFonts w:cstheme="minorHAnsi"/>
        </w:rPr>
        <w:t>Clinical Research Compliance Specialist</w:t>
      </w:r>
    </w:p>
    <w:p w14:paraId="02AF75E8" w14:textId="77777777" w:rsidR="0009090A" w:rsidRPr="0009090A" w:rsidRDefault="0009090A" w:rsidP="00CD7285">
      <w:pPr>
        <w:spacing w:after="0" w:line="240" w:lineRule="auto"/>
        <w:outlineLvl w:val="0"/>
        <w:rPr>
          <w:rFonts w:cstheme="minorHAnsi"/>
        </w:rPr>
      </w:pPr>
      <w:r w:rsidRPr="00CD7285">
        <w:rPr>
          <w:rFonts w:cstheme="minorHAnsi"/>
        </w:rPr>
        <w:t>Johns Hopkins University School of Medicine</w:t>
      </w:r>
    </w:p>
    <w:p w14:paraId="204AE6B4" w14:textId="77777777" w:rsidR="006E4872" w:rsidRPr="00CD7285" w:rsidRDefault="006E4872" w:rsidP="00CD7285">
      <w:pPr>
        <w:spacing w:after="0" w:line="240" w:lineRule="auto"/>
        <w:outlineLvl w:val="0"/>
        <w:rPr>
          <w:rFonts w:cstheme="minorHAnsi"/>
        </w:rPr>
      </w:pPr>
    </w:p>
    <w:p w14:paraId="74813B51" w14:textId="77777777" w:rsidR="006E4872" w:rsidRPr="00CD7285" w:rsidRDefault="006E4872" w:rsidP="00CD7285">
      <w:pPr>
        <w:spacing w:after="0" w:line="240" w:lineRule="auto"/>
        <w:outlineLvl w:val="0"/>
        <w:rPr>
          <w:rFonts w:cstheme="minorHAnsi"/>
          <w:b/>
        </w:rPr>
      </w:pPr>
      <w:r w:rsidRPr="00CD7285">
        <w:rPr>
          <w:rFonts w:cstheme="minorHAnsi"/>
          <w:b/>
        </w:rPr>
        <w:t xml:space="preserve">Daniel </w:t>
      </w:r>
      <w:r w:rsidR="00542841">
        <w:rPr>
          <w:rFonts w:cstheme="minorHAnsi"/>
          <w:b/>
        </w:rPr>
        <w:t xml:space="preserve">E. </w:t>
      </w:r>
      <w:r w:rsidRPr="00CD7285">
        <w:rPr>
          <w:rFonts w:cstheme="minorHAnsi"/>
          <w:b/>
        </w:rPr>
        <w:t>Ford</w:t>
      </w:r>
      <w:r w:rsidR="00911519" w:rsidRPr="00CD7285">
        <w:rPr>
          <w:rFonts w:cstheme="minorHAnsi"/>
          <w:b/>
        </w:rPr>
        <w:t>, MD, MPH</w:t>
      </w:r>
    </w:p>
    <w:p w14:paraId="1CCD7E8D" w14:textId="77777777" w:rsidR="006E4872" w:rsidRPr="00CD7285" w:rsidRDefault="006E4872" w:rsidP="00CD7285">
      <w:pPr>
        <w:spacing w:after="0" w:line="240" w:lineRule="auto"/>
        <w:outlineLvl w:val="0"/>
        <w:rPr>
          <w:rFonts w:cstheme="minorHAnsi"/>
        </w:rPr>
      </w:pPr>
      <w:r w:rsidRPr="00CD7285">
        <w:rPr>
          <w:rFonts w:cstheme="minorHAnsi"/>
        </w:rPr>
        <w:t>Professor of Medicine</w:t>
      </w:r>
    </w:p>
    <w:p w14:paraId="127C9EE6" w14:textId="77777777" w:rsidR="006E4872" w:rsidRPr="00CD7285" w:rsidRDefault="006E4872" w:rsidP="00CD7285">
      <w:pPr>
        <w:spacing w:after="0" w:line="240" w:lineRule="auto"/>
        <w:outlineLvl w:val="0"/>
        <w:rPr>
          <w:rFonts w:cstheme="minorHAnsi"/>
        </w:rPr>
      </w:pPr>
      <w:r w:rsidRPr="00CD7285">
        <w:rPr>
          <w:rFonts w:cstheme="minorHAnsi"/>
        </w:rPr>
        <w:t>Johns Hopkins University School of Medicine</w:t>
      </w:r>
    </w:p>
    <w:p w14:paraId="51E88F75" w14:textId="77777777" w:rsidR="00543A8E" w:rsidRDefault="00543A8E" w:rsidP="00CD7285">
      <w:pPr>
        <w:spacing w:after="0" w:line="240" w:lineRule="auto"/>
        <w:outlineLvl w:val="0"/>
        <w:rPr>
          <w:rFonts w:cstheme="minorHAnsi"/>
        </w:rPr>
      </w:pPr>
    </w:p>
    <w:p w14:paraId="61D4544B" w14:textId="4CD6CEFD" w:rsidR="00C47396" w:rsidRDefault="00C47396" w:rsidP="00DE129D">
      <w:pPr>
        <w:spacing w:after="0" w:line="240" w:lineRule="auto"/>
        <w:outlineLvl w:val="0"/>
        <w:rPr>
          <w:rFonts w:cstheme="minorHAnsi"/>
          <w:b/>
        </w:rPr>
      </w:pPr>
      <w:r>
        <w:rPr>
          <w:rFonts w:cstheme="minorHAnsi"/>
          <w:b/>
        </w:rPr>
        <w:t>Word Count</w:t>
      </w:r>
      <w:r w:rsidR="005040A1">
        <w:rPr>
          <w:rFonts w:cstheme="minorHAnsi"/>
          <w:b/>
        </w:rPr>
        <w:t xml:space="preserve"> of the manuscript text</w:t>
      </w:r>
      <w:r>
        <w:rPr>
          <w:rFonts w:cstheme="minorHAnsi"/>
          <w:b/>
        </w:rPr>
        <w:t xml:space="preserve">: </w:t>
      </w:r>
      <w:r w:rsidR="00964A7A">
        <w:rPr>
          <w:rFonts w:cstheme="minorHAnsi"/>
        </w:rPr>
        <w:t>59</w:t>
      </w:r>
      <w:r w:rsidR="00C140DE">
        <w:rPr>
          <w:rFonts w:cstheme="minorHAnsi"/>
        </w:rPr>
        <w:t>0</w:t>
      </w:r>
      <w:r w:rsidR="001270C5">
        <w:rPr>
          <w:rFonts w:cstheme="minorHAnsi"/>
        </w:rPr>
        <w:t xml:space="preserve"> </w:t>
      </w:r>
      <w:bookmarkStart w:id="0" w:name="_GoBack"/>
      <w:bookmarkEnd w:id="0"/>
    </w:p>
    <w:p w14:paraId="29B2A474" w14:textId="77777777" w:rsidR="00C47396" w:rsidRDefault="00C47396" w:rsidP="00DE129D">
      <w:pPr>
        <w:spacing w:after="0" w:line="240" w:lineRule="auto"/>
        <w:outlineLvl w:val="0"/>
        <w:rPr>
          <w:rFonts w:cstheme="minorHAnsi"/>
          <w:b/>
        </w:rPr>
      </w:pPr>
    </w:p>
    <w:p w14:paraId="455BBC80" w14:textId="77777777" w:rsidR="006356F4" w:rsidRPr="00691286" w:rsidRDefault="006356F4" w:rsidP="00DE129D">
      <w:pPr>
        <w:spacing w:after="0" w:line="240" w:lineRule="auto"/>
        <w:outlineLvl w:val="0"/>
        <w:rPr>
          <w:rFonts w:cstheme="minorHAnsi"/>
          <w:b/>
        </w:rPr>
      </w:pPr>
      <w:r w:rsidRPr="006356F4">
        <w:rPr>
          <w:rFonts w:cstheme="minorHAnsi"/>
          <w:b/>
        </w:rPr>
        <w:t>Details of Contributors</w:t>
      </w:r>
    </w:p>
    <w:p w14:paraId="6B5B437A" w14:textId="77777777" w:rsidR="00AF4DDB" w:rsidRDefault="006356F4" w:rsidP="00DE1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i/>
        </w:rPr>
        <w:t>C</w:t>
      </w:r>
      <w:r w:rsidRPr="00691286">
        <w:rPr>
          <w:rFonts w:cstheme="minorHAnsi"/>
          <w:i/>
        </w:rPr>
        <w:t>onception and design</w:t>
      </w:r>
      <w:r w:rsidRPr="00691286">
        <w:rPr>
          <w:rFonts w:cstheme="minorHAnsi"/>
        </w:rPr>
        <w:t xml:space="preserve">: </w:t>
      </w:r>
      <w:r w:rsidR="003B1D29">
        <w:rPr>
          <w:rFonts w:cstheme="minorHAnsi"/>
        </w:rPr>
        <w:t xml:space="preserve">AK </w:t>
      </w:r>
      <w:r w:rsidR="00AF4DDB">
        <w:rPr>
          <w:rFonts w:cstheme="minorHAnsi"/>
        </w:rPr>
        <w:t xml:space="preserve">and DF </w:t>
      </w:r>
      <w:r w:rsidR="003B1D29">
        <w:rPr>
          <w:rFonts w:cstheme="minorHAnsi"/>
        </w:rPr>
        <w:t>conceived the idea for the study</w:t>
      </w:r>
      <w:r w:rsidR="00AF4DDB">
        <w:rPr>
          <w:rFonts w:cstheme="minorHAnsi"/>
        </w:rPr>
        <w:t>.</w:t>
      </w:r>
    </w:p>
    <w:p w14:paraId="27389C61" w14:textId="77777777" w:rsidR="00691286" w:rsidRPr="00691286" w:rsidRDefault="00691286" w:rsidP="00DE1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1D3EEDC" w14:textId="77777777" w:rsidR="006356F4" w:rsidRDefault="006356F4" w:rsidP="00DE1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91286">
        <w:rPr>
          <w:rFonts w:cstheme="minorHAnsi"/>
          <w:i/>
        </w:rPr>
        <w:t>Acquisition of data</w:t>
      </w:r>
      <w:r w:rsidRPr="00691286">
        <w:rPr>
          <w:rFonts w:cstheme="minorHAnsi"/>
        </w:rPr>
        <w:t xml:space="preserve">: </w:t>
      </w:r>
      <w:r w:rsidR="003B1D29">
        <w:rPr>
          <w:rFonts w:cstheme="minorHAnsi"/>
        </w:rPr>
        <w:t>NA, AK</w:t>
      </w:r>
      <w:r w:rsidR="00AA24A7">
        <w:rPr>
          <w:rFonts w:cstheme="minorHAnsi"/>
        </w:rPr>
        <w:t>,</w:t>
      </w:r>
      <w:r w:rsidR="003B1D29">
        <w:rPr>
          <w:rFonts w:cstheme="minorHAnsi"/>
        </w:rPr>
        <w:t xml:space="preserve"> PN</w:t>
      </w:r>
      <w:r w:rsidR="00AA24A7">
        <w:rPr>
          <w:rFonts w:cstheme="minorHAnsi"/>
        </w:rPr>
        <w:t>, AL and OT</w:t>
      </w:r>
      <w:r w:rsidR="003B1D29">
        <w:rPr>
          <w:rFonts w:cstheme="minorHAnsi"/>
        </w:rPr>
        <w:t xml:space="preserve"> acquired</w:t>
      </w:r>
      <w:r>
        <w:rPr>
          <w:rFonts w:cstheme="minorHAnsi"/>
        </w:rPr>
        <w:t xml:space="preserve"> data</w:t>
      </w:r>
    </w:p>
    <w:p w14:paraId="7A7F3B8B" w14:textId="77777777" w:rsidR="00691286" w:rsidRPr="00691286" w:rsidRDefault="00691286" w:rsidP="00DE1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E1C4A97" w14:textId="77777777" w:rsidR="006356F4" w:rsidRDefault="006356F4" w:rsidP="00DE1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91286">
        <w:rPr>
          <w:rFonts w:cstheme="minorHAnsi"/>
          <w:i/>
        </w:rPr>
        <w:lastRenderedPageBreak/>
        <w:t>Analysis and interpretation of data</w:t>
      </w:r>
      <w:r w:rsidRPr="00691286">
        <w:rPr>
          <w:rFonts w:cstheme="minorHAnsi"/>
        </w:rPr>
        <w:t xml:space="preserve">: </w:t>
      </w:r>
      <w:r w:rsidR="00C66402">
        <w:rPr>
          <w:rFonts w:cstheme="minorHAnsi"/>
        </w:rPr>
        <w:t>AK, EMW and PN checked the data and developed a codebook.</w:t>
      </w:r>
      <w:r w:rsidR="00E87D6F">
        <w:rPr>
          <w:rFonts w:cstheme="minorHAnsi"/>
        </w:rPr>
        <w:t xml:space="preserve"> </w:t>
      </w:r>
      <w:r w:rsidR="003B1D29">
        <w:rPr>
          <w:rFonts w:cstheme="minorHAnsi"/>
        </w:rPr>
        <w:t>AK,</w:t>
      </w:r>
      <w:r w:rsidR="00C66402">
        <w:rPr>
          <w:rFonts w:cstheme="minorHAnsi"/>
        </w:rPr>
        <w:t xml:space="preserve"> </w:t>
      </w:r>
      <w:r w:rsidR="00AF4DDB">
        <w:rPr>
          <w:rFonts w:cstheme="minorHAnsi"/>
        </w:rPr>
        <w:t>EMW</w:t>
      </w:r>
      <w:r w:rsidR="00C66402">
        <w:rPr>
          <w:rFonts w:cstheme="minorHAnsi"/>
        </w:rPr>
        <w:t>, and NA</w:t>
      </w:r>
      <w:r w:rsidR="00AF4DDB">
        <w:rPr>
          <w:rFonts w:cstheme="minorHAnsi"/>
        </w:rPr>
        <w:t xml:space="preserve"> consulted with a statistician </w:t>
      </w:r>
      <w:r w:rsidR="002C1761">
        <w:rPr>
          <w:rFonts w:cstheme="minorHAnsi"/>
        </w:rPr>
        <w:t xml:space="preserve">who conducted the </w:t>
      </w:r>
      <w:r w:rsidR="00AF4DDB">
        <w:rPr>
          <w:rFonts w:cstheme="minorHAnsi"/>
        </w:rPr>
        <w:t>statistical analysis.</w:t>
      </w:r>
      <w:r w:rsidR="00E87D6F">
        <w:rPr>
          <w:rFonts w:cstheme="minorHAnsi"/>
        </w:rPr>
        <w:t xml:space="preserve"> </w:t>
      </w:r>
      <w:r w:rsidRPr="00691286">
        <w:rPr>
          <w:rFonts w:cstheme="minorHAnsi"/>
        </w:rPr>
        <w:t>All authors contributed to interpreting the results.</w:t>
      </w:r>
    </w:p>
    <w:p w14:paraId="1E666FE1" w14:textId="77777777" w:rsidR="00691286" w:rsidRPr="00691286" w:rsidRDefault="00691286" w:rsidP="00DE1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ADEC94D" w14:textId="77777777" w:rsidR="006356F4" w:rsidRDefault="006356F4" w:rsidP="00DE1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91286">
        <w:rPr>
          <w:rFonts w:cstheme="minorHAnsi"/>
          <w:i/>
        </w:rPr>
        <w:t>Drafting of manuscript</w:t>
      </w:r>
      <w:r w:rsidRPr="00691286">
        <w:rPr>
          <w:rFonts w:cstheme="minorHAnsi"/>
        </w:rPr>
        <w:t xml:space="preserve">: </w:t>
      </w:r>
      <w:r>
        <w:rPr>
          <w:rFonts w:cstheme="minorHAnsi"/>
        </w:rPr>
        <w:t>AK and NA</w:t>
      </w:r>
      <w:r w:rsidRPr="00691286">
        <w:rPr>
          <w:rFonts w:cstheme="minorHAnsi"/>
        </w:rPr>
        <w:t xml:space="preserve"> wrote the first draft of the manuscript.</w:t>
      </w:r>
      <w:r w:rsidR="00E87D6F">
        <w:rPr>
          <w:rFonts w:cstheme="minorHAnsi"/>
        </w:rPr>
        <w:t xml:space="preserve"> </w:t>
      </w:r>
      <w:r w:rsidR="0059714D">
        <w:rPr>
          <w:rFonts w:cstheme="minorHAnsi"/>
        </w:rPr>
        <w:t>NA, AK</w:t>
      </w:r>
      <w:r w:rsidR="00AA24A7">
        <w:rPr>
          <w:rFonts w:cstheme="minorHAnsi"/>
        </w:rPr>
        <w:t>, PN, AL, OT</w:t>
      </w:r>
      <w:r w:rsidR="0059714D">
        <w:rPr>
          <w:rFonts w:cstheme="minorHAnsi"/>
        </w:rPr>
        <w:t xml:space="preserve"> and </w:t>
      </w:r>
      <w:r w:rsidR="00AF4DDB">
        <w:rPr>
          <w:rFonts w:cstheme="minorHAnsi"/>
        </w:rPr>
        <w:t>EMW substantially revised the manuscript for critical content.</w:t>
      </w:r>
    </w:p>
    <w:p w14:paraId="2FDD8283" w14:textId="77777777" w:rsidR="00691286" w:rsidRPr="00691286" w:rsidRDefault="00691286" w:rsidP="00DE12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FE4B8E0" w14:textId="77777777" w:rsidR="006356F4" w:rsidRPr="00691286" w:rsidRDefault="006356F4" w:rsidP="00DE129D">
      <w:pPr>
        <w:spacing w:after="0" w:line="240" w:lineRule="auto"/>
        <w:rPr>
          <w:rFonts w:cstheme="minorHAnsi"/>
          <w:b/>
        </w:rPr>
      </w:pPr>
      <w:r w:rsidRPr="00691286">
        <w:rPr>
          <w:rFonts w:cstheme="minorHAnsi"/>
          <w:i/>
        </w:rPr>
        <w:t>Critical revision</w:t>
      </w:r>
      <w:r w:rsidRPr="00691286">
        <w:rPr>
          <w:rFonts w:cstheme="minorHAnsi"/>
        </w:rPr>
        <w:t>: All authors reviewed, provided critical revisions, and approved the manuscript for publication.</w:t>
      </w:r>
    </w:p>
    <w:p w14:paraId="649548AF" w14:textId="77777777" w:rsidR="006356F4" w:rsidRPr="00CD7285" w:rsidRDefault="006356F4" w:rsidP="00CD7285">
      <w:pPr>
        <w:spacing w:after="0" w:line="240" w:lineRule="auto"/>
        <w:outlineLvl w:val="0"/>
        <w:rPr>
          <w:rFonts w:cstheme="minorHAnsi"/>
        </w:rPr>
      </w:pPr>
    </w:p>
    <w:p w14:paraId="4E123D36" w14:textId="77777777" w:rsidR="00BD5AD0" w:rsidRPr="00CD7285" w:rsidRDefault="00BD5AD0" w:rsidP="00BD5AD0">
      <w:pPr>
        <w:spacing w:after="0" w:line="240" w:lineRule="auto"/>
        <w:outlineLvl w:val="0"/>
        <w:rPr>
          <w:rFonts w:cstheme="minorHAnsi"/>
          <w:b/>
        </w:rPr>
      </w:pPr>
      <w:r w:rsidRPr="00CD7285">
        <w:rPr>
          <w:rFonts w:cstheme="minorHAnsi"/>
          <w:b/>
        </w:rPr>
        <w:t>Acknowledgement</w:t>
      </w:r>
    </w:p>
    <w:p w14:paraId="2CC32014" w14:textId="77777777" w:rsidR="00BD5AD0" w:rsidRPr="00CD7285" w:rsidRDefault="00BD5AD0" w:rsidP="00BD5AD0">
      <w:pPr>
        <w:autoSpaceDE w:val="0"/>
        <w:autoSpaceDN w:val="0"/>
        <w:spacing w:after="0" w:line="240" w:lineRule="auto"/>
        <w:rPr>
          <w:rFonts w:cstheme="minorHAnsi"/>
        </w:rPr>
      </w:pPr>
      <w:r w:rsidRPr="00CD7285">
        <w:rPr>
          <w:rFonts w:eastAsia="Times New Roman" w:cstheme="minorHAnsi"/>
        </w:rPr>
        <w:t>Dhananj</w:t>
      </w:r>
      <w:r>
        <w:rPr>
          <w:rFonts w:eastAsia="Times New Roman" w:cstheme="minorHAnsi"/>
        </w:rPr>
        <w:t>ay Vaidya, M.B.B.S., M.P.H., Ph</w:t>
      </w:r>
      <w:r w:rsidRPr="00CD7285">
        <w:rPr>
          <w:rFonts w:eastAsia="Times New Roman" w:cstheme="minorHAnsi"/>
        </w:rPr>
        <w:t xml:space="preserve">D, Associate Professor of Medicine in the General Internal Medicine Department, performed </w:t>
      </w:r>
      <w:r>
        <w:rPr>
          <w:rFonts w:eastAsia="Times New Roman" w:cstheme="minorHAnsi"/>
        </w:rPr>
        <w:t xml:space="preserve">the final </w:t>
      </w:r>
      <w:r w:rsidRPr="00CD7285">
        <w:rPr>
          <w:rFonts w:eastAsia="Times New Roman" w:cstheme="minorHAnsi"/>
        </w:rPr>
        <w:t>statistical analysis</w:t>
      </w:r>
      <w:r>
        <w:rPr>
          <w:rFonts w:eastAsia="Times New Roman" w:cstheme="minorHAnsi"/>
        </w:rPr>
        <w:t xml:space="preserve"> in Stata 15.1. </w:t>
      </w:r>
      <w:r>
        <w:rPr>
          <w:rFonts w:cstheme="minorHAnsi"/>
        </w:rPr>
        <w:t xml:space="preserve">DV receives salary support from </w:t>
      </w:r>
      <w:r w:rsidRPr="00704094">
        <w:rPr>
          <w:rFonts w:cstheme="minorHAnsi"/>
        </w:rPr>
        <w:t>the Johns Hopkins Institute for Clinical and Translational Research (ICTR), which is funded in part by Grant Number UL1 TR001079</w:t>
      </w:r>
      <w:r>
        <w:rPr>
          <w:rFonts w:cstheme="minorHAnsi"/>
        </w:rPr>
        <w:t>.</w:t>
      </w:r>
    </w:p>
    <w:p w14:paraId="54B2627A" w14:textId="77777777" w:rsidR="00BD5AD0" w:rsidRDefault="00BD5AD0" w:rsidP="00BD5AD0">
      <w:pPr>
        <w:spacing w:after="0" w:line="240" w:lineRule="auto"/>
        <w:outlineLvl w:val="0"/>
        <w:rPr>
          <w:rFonts w:cstheme="minorHAnsi"/>
        </w:rPr>
      </w:pPr>
    </w:p>
    <w:p w14:paraId="5A78B989" w14:textId="77777777" w:rsidR="00BD5AD0" w:rsidRPr="001A4095" w:rsidRDefault="00BD5AD0" w:rsidP="00BD5AD0">
      <w:pPr>
        <w:spacing w:after="0" w:line="240" w:lineRule="auto"/>
        <w:outlineLvl w:val="0"/>
        <w:rPr>
          <w:rFonts w:cstheme="minorHAnsi"/>
          <w:b/>
        </w:rPr>
      </w:pPr>
      <w:r w:rsidRPr="001A4095">
        <w:rPr>
          <w:rFonts w:cstheme="minorHAnsi"/>
          <w:b/>
        </w:rPr>
        <w:t>Potential Conflicts of Interest</w:t>
      </w:r>
    </w:p>
    <w:p w14:paraId="6472A717" w14:textId="77777777" w:rsidR="00BD5AD0" w:rsidRDefault="00BD5AD0" w:rsidP="00BD5AD0">
      <w:pPr>
        <w:spacing w:after="0" w:line="240" w:lineRule="auto"/>
        <w:outlineLvl w:val="0"/>
        <w:rPr>
          <w:rFonts w:cstheme="minorHAnsi"/>
        </w:rPr>
      </w:pPr>
      <w:r>
        <w:rPr>
          <w:rFonts w:cstheme="minorHAnsi"/>
        </w:rPr>
        <w:lastRenderedPageBreak/>
        <w:t>AK is the Co-chair of the Clinical Trials Registration and results Reporting Taskforce, a</w:t>
      </w:r>
      <w:r w:rsidRPr="001A4095">
        <w:rPr>
          <w:rFonts w:cstheme="minorHAnsi"/>
        </w:rPr>
        <w:t xml:space="preserve"> national consortium of members of academic medical centers, universities, hospitals, and non-profit organizations focused on the implementation of domestic clinical trials registration and results reporting requirements in the ClinicalTrials.gov public repository.</w:t>
      </w:r>
    </w:p>
    <w:p w14:paraId="1D8113E5" w14:textId="77777777" w:rsidR="00BD5AD0" w:rsidRPr="00CD7285" w:rsidRDefault="00BD5AD0" w:rsidP="00BD5AD0">
      <w:pPr>
        <w:spacing w:after="0" w:line="240" w:lineRule="auto"/>
        <w:outlineLvl w:val="0"/>
        <w:rPr>
          <w:rFonts w:cstheme="minorHAnsi"/>
        </w:rPr>
      </w:pPr>
    </w:p>
    <w:p w14:paraId="7BE4F94D" w14:textId="77777777" w:rsidR="00BD5AD0" w:rsidRDefault="00BD5AD0" w:rsidP="00BD5AD0">
      <w:pPr>
        <w:spacing w:after="0" w:line="240" w:lineRule="auto"/>
        <w:outlineLvl w:val="0"/>
        <w:rPr>
          <w:rFonts w:cstheme="minorHAnsi"/>
        </w:rPr>
      </w:pPr>
      <w:r w:rsidRPr="00CD7285">
        <w:rPr>
          <w:rFonts w:cstheme="minorHAnsi"/>
          <w:b/>
        </w:rPr>
        <w:t>Funding/Support</w:t>
      </w:r>
    </w:p>
    <w:p w14:paraId="1A3CF942" w14:textId="77777777" w:rsidR="00BD5AD0" w:rsidRDefault="00BD5AD0" w:rsidP="00BD5AD0">
      <w:pPr>
        <w:spacing w:after="0" w:line="240" w:lineRule="auto"/>
        <w:outlineLvl w:val="0"/>
        <w:rPr>
          <w:rFonts w:cstheme="minorHAnsi"/>
        </w:rPr>
      </w:pPr>
      <w:r w:rsidRPr="00704094">
        <w:rPr>
          <w:rFonts w:cstheme="minorHAnsi"/>
        </w:rPr>
        <w:t>This publication was made possible by the Johns Hopkins Institute for Clinical and Translational Research (ICTR)</w:t>
      </w:r>
      <w:r>
        <w:rPr>
          <w:rFonts w:cstheme="minorHAnsi"/>
        </w:rPr>
        <w:t>,</w:t>
      </w:r>
      <w:r w:rsidRPr="00704094">
        <w:rPr>
          <w:rFonts w:cstheme="minorHAnsi"/>
        </w:rPr>
        <w:t xml:space="preserve"> which is funded in part by Grant Number UL1 TR001079</w:t>
      </w:r>
      <w:r w:rsidR="00E87D6F">
        <w:rPr>
          <w:rFonts w:cstheme="minorHAnsi"/>
        </w:rPr>
        <w:t xml:space="preserve"> </w:t>
      </w:r>
      <w:r w:rsidRPr="00704094">
        <w:rPr>
          <w:rFonts w:cstheme="minorHAnsi"/>
        </w:rPr>
        <w:t>(AK,</w:t>
      </w:r>
      <w:r w:rsidR="00DC5DA9">
        <w:rPr>
          <w:rFonts w:cstheme="minorHAnsi"/>
        </w:rPr>
        <w:t xml:space="preserve"> EMW,</w:t>
      </w:r>
      <w:r>
        <w:rPr>
          <w:rFonts w:cstheme="minorHAnsi"/>
        </w:rPr>
        <w:t xml:space="preserve"> NA,</w:t>
      </w:r>
      <w:r w:rsidRPr="00704094">
        <w:rPr>
          <w:rFonts w:cstheme="minorHAnsi"/>
        </w:rPr>
        <w:t xml:space="preserve"> </w:t>
      </w:r>
      <w:r>
        <w:rPr>
          <w:rFonts w:cstheme="minorHAnsi"/>
        </w:rPr>
        <w:t xml:space="preserve">AL, </w:t>
      </w:r>
      <w:r w:rsidRPr="00704094">
        <w:rPr>
          <w:rFonts w:cstheme="minorHAnsi"/>
        </w:rPr>
        <w:t xml:space="preserve">PN, </w:t>
      </w:r>
      <w:r>
        <w:rPr>
          <w:rFonts w:cstheme="minorHAnsi"/>
        </w:rPr>
        <w:t xml:space="preserve">OT, </w:t>
      </w:r>
      <w:r w:rsidRPr="00704094">
        <w:rPr>
          <w:rFonts w:cstheme="minorHAnsi"/>
        </w:rPr>
        <w:t xml:space="preserve">DF (Principal Investigator)). </w:t>
      </w:r>
      <w:r>
        <w:rPr>
          <w:rFonts w:cstheme="minorHAnsi"/>
        </w:rPr>
        <w:t>E</w:t>
      </w:r>
      <w:r w:rsidRPr="00704094">
        <w:rPr>
          <w:rFonts w:cstheme="minorHAnsi"/>
        </w:rPr>
        <w:t>MW was</w:t>
      </w:r>
      <w:r w:rsidR="00DC5DA9">
        <w:rPr>
          <w:rFonts w:cstheme="minorHAnsi"/>
        </w:rPr>
        <w:t xml:space="preserve"> also</w:t>
      </w:r>
      <w:r w:rsidRPr="00704094">
        <w:rPr>
          <w:rFonts w:cstheme="minorHAnsi"/>
        </w:rPr>
        <w:t xml:space="preserve"> supported by JH-ICTR and </w:t>
      </w:r>
      <w:r w:rsidRPr="00691286">
        <w:rPr>
          <w:rFonts w:cstheme="minorHAnsi"/>
        </w:rPr>
        <w:t>Johns Hopkins Center for Excellence in Regulatory Science and Innovation (JH-CERSI) grant from the U.S. Food and Drug Administration (U01 FD004977-01; Caleb Alexander; P</w:t>
      </w:r>
      <w:r>
        <w:rPr>
          <w:rFonts w:cstheme="minorHAnsi"/>
        </w:rPr>
        <w:t xml:space="preserve">rincipal </w:t>
      </w:r>
      <w:r w:rsidRPr="00691286">
        <w:rPr>
          <w:rFonts w:cstheme="minorHAnsi"/>
        </w:rPr>
        <w:t>I</w:t>
      </w:r>
      <w:r>
        <w:rPr>
          <w:rFonts w:cstheme="minorHAnsi"/>
        </w:rPr>
        <w:t>nvestigator</w:t>
      </w:r>
      <w:r w:rsidRPr="00691286">
        <w:rPr>
          <w:rFonts w:cstheme="minorHAnsi"/>
        </w:rPr>
        <w:t>)</w:t>
      </w:r>
      <w:r w:rsidRPr="00704094">
        <w:rPr>
          <w:rFonts w:cstheme="minorHAnsi"/>
        </w:rPr>
        <w:t>.</w:t>
      </w:r>
    </w:p>
    <w:p w14:paraId="30331D3D" w14:textId="77777777" w:rsidR="00BD5AD0" w:rsidRDefault="00BD5AD0" w:rsidP="00CD7285">
      <w:pPr>
        <w:spacing w:after="0" w:line="240" w:lineRule="auto"/>
        <w:outlineLvl w:val="0"/>
        <w:rPr>
          <w:rFonts w:eastAsia="Times New Roman" w:cstheme="minorHAnsi"/>
        </w:rPr>
      </w:pPr>
    </w:p>
    <w:p w14:paraId="33F572D8" w14:textId="77777777" w:rsidR="00543A8E" w:rsidRPr="00CD7285" w:rsidRDefault="00543A8E" w:rsidP="00CD7285">
      <w:pPr>
        <w:spacing w:after="0" w:line="240" w:lineRule="auto"/>
        <w:outlineLvl w:val="0"/>
        <w:rPr>
          <w:rFonts w:cstheme="minorHAnsi"/>
          <w:b/>
        </w:rPr>
      </w:pPr>
      <w:r w:rsidRPr="00CD7285">
        <w:rPr>
          <w:rFonts w:cstheme="minorHAnsi"/>
          <w:b/>
        </w:rPr>
        <w:t>Role of Funder</w:t>
      </w:r>
    </w:p>
    <w:p w14:paraId="6A439F75" w14:textId="77777777" w:rsidR="00F7124D" w:rsidRPr="00F7124D" w:rsidRDefault="00543A8E" w:rsidP="00F7124D">
      <w:pPr>
        <w:spacing w:after="0" w:line="240" w:lineRule="auto"/>
        <w:outlineLvl w:val="0"/>
        <w:rPr>
          <w:rFonts w:cstheme="minorHAnsi"/>
        </w:rPr>
      </w:pPr>
      <w:r w:rsidRPr="00CD7285">
        <w:rPr>
          <w:rFonts w:cstheme="minorHAnsi"/>
        </w:rPr>
        <w:t xml:space="preserve">The funders were not involved in the design or conduct of the study, manuscript preparation, or the decision to </w:t>
      </w:r>
      <w:r w:rsidRPr="00CD7285">
        <w:rPr>
          <w:rFonts w:cstheme="minorHAnsi"/>
        </w:rPr>
        <w:lastRenderedPageBreak/>
        <w:t>submit the manuscript for publication</w:t>
      </w:r>
      <w:r w:rsidR="00F7124D" w:rsidRPr="00F7124D">
        <w:rPr>
          <w:rFonts w:cstheme="minorHAnsi"/>
        </w:rPr>
        <w:t xml:space="preserve">; its contents are solely the responsibility of the authors and do not necessarily represent the official views of </w:t>
      </w:r>
      <w:r w:rsidR="00D17BB6">
        <w:t>Johns Hopkins ICTR, FDA,</w:t>
      </w:r>
      <w:r w:rsidR="00D17BB6" w:rsidRPr="00F7124D">
        <w:rPr>
          <w:rFonts w:cstheme="minorHAnsi"/>
        </w:rPr>
        <w:t xml:space="preserve"> </w:t>
      </w:r>
      <w:r w:rsidR="00F7124D" w:rsidRPr="00F7124D">
        <w:rPr>
          <w:rFonts w:cstheme="minorHAnsi"/>
        </w:rPr>
        <w:t>HHS</w:t>
      </w:r>
      <w:r w:rsidR="00D17BB6">
        <w:t>, NCATS or NIH.</w:t>
      </w:r>
    </w:p>
    <w:p w14:paraId="3F494749" w14:textId="77777777" w:rsidR="00543A8E" w:rsidRPr="00CD7285" w:rsidRDefault="00543A8E" w:rsidP="00CD7285">
      <w:pPr>
        <w:spacing w:after="0" w:line="240" w:lineRule="auto"/>
        <w:outlineLvl w:val="0"/>
        <w:rPr>
          <w:rFonts w:cstheme="minorHAnsi"/>
          <w:b/>
        </w:rPr>
      </w:pPr>
    </w:p>
    <w:p w14:paraId="7940980E" w14:textId="77777777" w:rsidR="00543A8E" w:rsidRPr="00CD7285" w:rsidRDefault="00543A8E" w:rsidP="00CD7285">
      <w:pPr>
        <w:spacing w:after="0" w:line="240" w:lineRule="auto"/>
        <w:outlineLvl w:val="0"/>
        <w:rPr>
          <w:rFonts w:cstheme="minorHAnsi"/>
          <w:b/>
        </w:rPr>
      </w:pPr>
      <w:r w:rsidRPr="00CD7285">
        <w:rPr>
          <w:rFonts w:cstheme="minorHAnsi"/>
          <w:b/>
        </w:rPr>
        <w:t>D</w:t>
      </w:r>
      <w:r w:rsidR="001C6787" w:rsidRPr="00CD7285">
        <w:rPr>
          <w:rFonts w:cstheme="minorHAnsi"/>
          <w:b/>
        </w:rPr>
        <w:t>ata access, Responsibility, and A</w:t>
      </w:r>
      <w:r w:rsidRPr="00CD7285">
        <w:rPr>
          <w:rFonts w:cstheme="minorHAnsi"/>
          <w:b/>
        </w:rPr>
        <w:t>nalysis</w:t>
      </w:r>
    </w:p>
    <w:p w14:paraId="3E163770" w14:textId="77777777" w:rsidR="00543A8E" w:rsidRPr="00CD7285" w:rsidRDefault="00543A8E" w:rsidP="00CD7285">
      <w:pPr>
        <w:spacing w:after="0" w:line="240" w:lineRule="auto"/>
        <w:outlineLvl w:val="0"/>
        <w:rPr>
          <w:rFonts w:cstheme="minorHAnsi"/>
        </w:rPr>
      </w:pPr>
      <w:r w:rsidRPr="00CD7285">
        <w:rPr>
          <w:rFonts w:cstheme="minorHAnsi"/>
        </w:rPr>
        <w:t xml:space="preserve">The data and statistical code used for generating results described in this paper are available </w:t>
      </w:r>
      <w:r w:rsidR="00F7124D">
        <w:rPr>
          <w:rFonts w:cstheme="minorHAnsi"/>
        </w:rPr>
        <w:t>from Dryad at LINK.</w:t>
      </w:r>
    </w:p>
    <w:p w14:paraId="7559A252" w14:textId="77777777" w:rsidR="006E4872" w:rsidRPr="00CD7285" w:rsidRDefault="006E4872" w:rsidP="00CD7285">
      <w:pPr>
        <w:spacing w:after="0" w:line="240" w:lineRule="auto"/>
        <w:outlineLvl w:val="0"/>
        <w:rPr>
          <w:rFonts w:cstheme="minorHAnsi"/>
        </w:rPr>
      </w:pPr>
    </w:p>
    <w:p w14:paraId="0AB50D71" w14:textId="77777777" w:rsidR="00536FF5" w:rsidRDefault="00536FF5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5ED16005" w14:textId="77777777" w:rsidR="001357D3" w:rsidRPr="00CD7285" w:rsidRDefault="00002BFA" w:rsidP="00CD7285">
      <w:pPr>
        <w:spacing w:after="0" w:line="240" w:lineRule="auto"/>
        <w:outlineLvl w:val="0"/>
        <w:rPr>
          <w:rFonts w:cstheme="minorHAnsi"/>
          <w:b/>
        </w:rPr>
      </w:pPr>
      <w:r w:rsidRPr="00CD7285">
        <w:rPr>
          <w:rFonts w:cstheme="minorHAnsi"/>
          <w:b/>
        </w:rPr>
        <w:lastRenderedPageBreak/>
        <w:t>Introduction</w:t>
      </w:r>
    </w:p>
    <w:p w14:paraId="215D93F5" w14:textId="0BCAD2B6" w:rsidR="00D61E66" w:rsidRDefault="00DA7468" w:rsidP="00CD7285">
      <w:pPr>
        <w:spacing w:after="0" w:line="240" w:lineRule="auto"/>
        <w:rPr>
          <w:rFonts w:cstheme="minorHAnsi"/>
        </w:rPr>
      </w:pPr>
      <w:r w:rsidRPr="00CD7285">
        <w:rPr>
          <w:rFonts w:cstheme="minorHAnsi"/>
        </w:rPr>
        <w:t>T</w:t>
      </w:r>
      <w:r w:rsidR="001357D3" w:rsidRPr="00CD7285">
        <w:rPr>
          <w:rFonts w:cstheme="minorHAnsi"/>
        </w:rPr>
        <w:t xml:space="preserve">he Food and Drug </w:t>
      </w:r>
      <w:r w:rsidR="001357D3" w:rsidRPr="001E616C">
        <w:rPr>
          <w:rFonts w:cstheme="minorHAnsi"/>
        </w:rPr>
        <w:t>Administration Amendments Act of 2007 (FDAAA</w:t>
      </w:r>
      <w:proofErr w:type="gramStart"/>
      <w:r w:rsidR="001357D3" w:rsidRPr="001E616C">
        <w:rPr>
          <w:rFonts w:cstheme="minorHAnsi"/>
        </w:rPr>
        <w:t>)</w:t>
      </w:r>
      <w:r w:rsidR="00C81393" w:rsidRPr="001E616C">
        <w:rPr>
          <w:rFonts w:cstheme="minorHAnsi"/>
          <w:vertAlign w:val="superscript"/>
        </w:rPr>
        <w:t>1</w:t>
      </w:r>
      <w:proofErr w:type="gramEnd"/>
      <w:r w:rsidR="00330FC4" w:rsidRPr="001E616C">
        <w:rPr>
          <w:rFonts w:cstheme="minorHAnsi"/>
        </w:rPr>
        <w:t xml:space="preserve"> </w:t>
      </w:r>
      <w:r w:rsidR="002950E2" w:rsidRPr="001E616C">
        <w:rPr>
          <w:rFonts w:cstheme="minorHAnsi"/>
        </w:rPr>
        <w:t xml:space="preserve">requires that </w:t>
      </w:r>
      <w:r w:rsidR="00330FC4" w:rsidRPr="001E616C">
        <w:rPr>
          <w:rFonts w:cstheme="minorHAnsi"/>
        </w:rPr>
        <w:t>Applicable Clinical Trials (ACTs)</w:t>
      </w:r>
      <w:r w:rsidR="00953CC6" w:rsidRPr="001E616C">
        <w:rPr>
          <w:rFonts w:cstheme="minorHAnsi"/>
        </w:rPr>
        <w:t xml:space="preserve"> </w:t>
      </w:r>
      <w:r w:rsidR="00B44E91">
        <w:rPr>
          <w:rFonts w:cstheme="minorHAnsi"/>
        </w:rPr>
        <w:t>submit</w:t>
      </w:r>
      <w:r w:rsidR="00B44E91" w:rsidRPr="001E616C">
        <w:rPr>
          <w:rFonts w:cstheme="minorHAnsi"/>
        </w:rPr>
        <w:t xml:space="preserve"> </w:t>
      </w:r>
      <w:r w:rsidR="00953CC6" w:rsidRPr="001E616C">
        <w:rPr>
          <w:rFonts w:cstheme="minorHAnsi"/>
        </w:rPr>
        <w:t xml:space="preserve">results </w:t>
      </w:r>
      <w:r w:rsidR="00B44E91">
        <w:rPr>
          <w:rFonts w:cstheme="minorHAnsi"/>
        </w:rPr>
        <w:t>to</w:t>
      </w:r>
      <w:r w:rsidR="00B44E91" w:rsidRPr="001E616C">
        <w:rPr>
          <w:rFonts w:cstheme="minorHAnsi"/>
        </w:rPr>
        <w:t xml:space="preserve"> </w:t>
      </w:r>
      <w:r w:rsidR="002950E2" w:rsidRPr="001E616C">
        <w:rPr>
          <w:rFonts w:cstheme="minorHAnsi"/>
        </w:rPr>
        <w:t>ClinicalTrials.gov</w:t>
      </w:r>
      <w:r w:rsidR="001D404E" w:rsidRPr="001E616C">
        <w:rPr>
          <w:rFonts w:cstheme="minorHAnsi"/>
        </w:rPr>
        <w:t xml:space="preserve"> within one year of completion</w:t>
      </w:r>
      <w:r w:rsidRPr="001E616C">
        <w:rPr>
          <w:rFonts w:cstheme="minorHAnsi"/>
        </w:rPr>
        <w:t xml:space="preserve">. </w:t>
      </w:r>
      <w:r w:rsidR="00E87D6F" w:rsidRPr="001E616C">
        <w:rPr>
          <w:rFonts w:cstheme="minorHAnsi"/>
        </w:rPr>
        <w:t xml:space="preserve">A complementary </w:t>
      </w:r>
      <w:r w:rsidR="003A3F72" w:rsidRPr="001E616C">
        <w:rPr>
          <w:rFonts w:cstheme="minorHAnsi"/>
        </w:rPr>
        <w:t xml:space="preserve">National Institutes of Health (NIH) </w:t>
      </w:r>
      <w:r w:rsidR="00E87D6F" w:rsidRPr="001E616C">
        <w:rPr>
          <w:rFonts w:cstheme="minorHAnsi"/>
        </w:rPr>
        <w:t xml:space="preserve">policy requires that non-Applicable Clinical Trials (non-ACTs) </w:t>
      </w:r>
      <w:r w:rsidR="00B44E91">
        <w:rPr>
          <w:rFonts w:cstheme="minorHAnsi"/>
        </w:rPr>
        <w:t>submit</w:t>
      </w:r>
      <w:r w:rsidR="00B44E91" w:rsidRPr="001E616C">
        <w:rPr>
          <w:rFonts w:cstheme="minorHAnsi"/>
        </w:rPr>
        <w:t xml:space="preserve"> </w:t>
      </w:r>
      <w:r w:rsidR="00E87D6F" w:rsidRPr="001E616C">
        <w:rPr>
          <w:rFonts w:cstheme="minorHAnsi"/>
        </w:rPr>
        <w:t>r</w:t>
      </w:r>
      <w:r w:rsidR="00BD1E7B">
        <w:rPr>
          <w:rFonts w:cstheme="minorHAnsi"/>
        </w:rPr>
        <w:t>esults if</w:t>
      </w:r>
      <w:r w:rsidR="00CB40D5">
        <w:rPr>
          <w:rFonts w:cstheme="minorHAnsi"/>
        </w:rPr>
        <w:t xml:space="preserve"> funded by </w:t>
      </w:r>
      <w:r w:rsidR="00E87D6F" w:rsidRPr="001E616C">
        <w:rPr>
          <w:rFonts w:cstheme="minorHAnsi"/>
        </w:rPr>
        <w:t>grant</w:t>
      </w:r>
      <w:r w:rsidR="00CB40D5">
        <w:rPr>
          <w:rFonts w:cstheme="minorHAnsi"/>
        </w:rPr>
        <w:t>s</w:t>
      </w:r>
      <w:r w:rsidR="00E87D6F" w:rsidRPr="001E616C">
        <w:rPr>
          <w:rFonts w:cstheme="minorHAnsi"/>
        </w:rPr>
        <w:t xml:space="preserve"> submitted to NIH </w:t>
      </w:r>
      <w:r w:rsidR="0065632E">
        <w:rPr>
          <w:rFonts w:cstheme="minorHAnsi"/>
        </w:rPr>
        <w:t>from</w:t>
      </w:r>
      <w:r w:rsidR="00E87D6F" w:rsidRPr="001E616C">
        <w:rPr>
          <w:rFonts w:cstheme="minorHAnsi"/>
        </w:rPr>
        <w:t xml:space="preserve"> January 18, 2017.</w:t>
      </w:r>
      <w:r w:rsidR="003F5781" w:rsidRPr="001E616C">
        <w:rPr>
          <w:rFonts w:cstheme="minorHAnsi"/>
          <w:vertAlign w:val="superscript"/>
        </w:rPr>
        <w:t xml:space="preserve">2 </w:t>
      </w:r>
    </w:p>
    <w:p w14:paraId="1E01E650" w14:textId="77777777" w:rsidR="00D61E66" w:rsidRDefault="00D61E66" w:rsidP="00CD7285">
      <w:pPr>
        <w:spacing w:after="0" w:line="240" w:lineRule="auto"/>
        <w:rPr>
          <w:rFonts w:cstheme="minorHAnsi"/>
        </w:rPr>
      </w:pPr>
    </w:p>
    <w:p w14:paraId="49ED4967" w14:textId="052CDFC9" w:rsidR="00694757" w:rsidRPr="00CD7285" w:rsidRDefault="0065632E" w:rsidP="00CD7285">
      <w:pPr>
        <w:spacing w:after="0" w:line="240" w:lineRule="auto"/>
        <w:rPr>
          <w:rFonts w:cstheme="minorHAnsi"/>
        </w:rPr>
      </w:pPr>
      <w:r>
        <w:rPr>
          <w:rFonts w:cstheme="minorHAnsi"/>
        </w:rPr>
        <w:t>After</w:t>
      </w:r>
      <w:r w:rsidR="00D61E66" w:rsidRPr="00361DEF">
        <w:rPr>
          <w:rFonts w:cstheme="minorHAnsi"/>
        </w:rPr>
        <w:t xml:space="preserve"> investigator</w:t>
      </w:r>
      <w:r>
        <w:rPr>
          <w:rFonts w:cstheme="minorHAnsi"/>
        </w:rPr>
        <w:t>s submit</w:t>
      </w:r>
      <w:r w:rsidR="00D61E66" w:rsidRPr="00361DEF">
        <w:rPr>
          <w:rFonts w:cstheme="minorHAnsi"/>
        </w:rPr>
        <w:t xml:space="preserve"> </w:t>
      </w:r>
      <w:r w:rsidR="00B44E91" w:rsidRPr="00361DEF">
        <w:rPr>
          <w:rFonts w:cstheme="minorHAnsi"/>
        </w:rPr>
        <w:t>results</w:t>
      </w:r>
      <w:r w:rsidR="00D61E66" w:rsidRPr="00361DEF">
        <w:rPr>
          <w:rFonts w:cstheme="minorHAnsi"/>
        </w:rPr>
        <w:t>,</w:t>
      </w:r>
      <w:r w:rsidR="00283474" w:rsidRPr="00361DEF">
        <w:rPr>
          <w:rFonts w:cstheme="minorHAnsi"/>
        </w:rPr>
        <w:t xml:space="preserve"> NIH</w:t>
      </w:r>
      <w:r w:rsidR="00D61E66" w:rsidRPr="00361DEF">
        <w:rPr>
          <w:rFonts w:cstheme="minorHAnsi"/>
        </w:rPr>
        <w:t xml:space="preserve"> </w:t>
      </w:r>
      <w:r w:rsidR="00B273DB" w:rsidRPr="00361DEF">
        <w:rPr>
          <w:rFonts w:cstheme="minorHAnsi"/>
        </w:rPr>
        <w:t xml:space="preserve">specialists at the National Library of Medicine </w:t>
      </w:r>
      <w:r w:rsidR="00625B15" w:rsidRPr="00361DEF">
        <w:rPr>
          <w:rFonts w:cstheme="minorHAnsi"/>
        </w:rPr>
        <w:t>perform</w:t>
      </w:r>
      <w:r>
        <w:rPr>
          <w:rFonts w:cstheme="minorHAnsi"/>
        </w:rPr>
        <w:t xml:space="preserve"> </w:t>
      </w:r>
      <w:r w:rsidR="00625B15" w:rsidRPr="00361DEF">
        <w:rPr>
          <w:rFonts w:cstheme="minorHAnsi"/>
        </w:rPr>
        <w:t xml:space="preserve">quality </w:t>
      </w:r>
      <w:r w:rsidR="00D61E66" w:rsidRPr="00361DEF">
        <w:rPr>
          <w:rFonts w:cstheme="minorHAnsi"/>
        </w:rPr>
        <w:t>review</w:t>
      </w:r>
      <w:r>
        <w:rPr>
          <w:rFonts w:cstheme="minorHAnsi"/>
        </w:rPr>
        <w:t>s</w:t>
      </w:r>
      <w:r w:rsidR="00D61E66" w:rsidRPr="00361DEF">
        <w:rPr>
          <w:rFonts w:cstheme="minorHAnsi"/>
        </w:rPr>
        <w:t xml:space="preserve"> </w:t>
      </w:r>
      <w:r w:rsidR="005E5DD0" w:rsidRPr="00361DEF">
        <w:rPr>
          <w:rFonts w:cstheme="minorHAnsi"/>
        </w:rPr>
        <w:t xml:space="preserve">and </w:t>
      </w:r>
      <w:r>
        <w:rPr>
          <w:rFonts w:cstheme="minorHAnsi"/>
        </w:rPr>
        <w:t>may send comments to</w:t>
      </w:r>
      <w:r w:rsidR="00D61E66" w:rsidRPr="00361DEF">
        <w:rPr>
          <w:rFonts w:cstheme="minorHAnsi"/>
        </w:rPr>
        <w:t xml:space="preserve"> investigator</w:t>
      </w:r>
      <w:r>
        <w:rPr>
          <w:rFonts w:cstheme="minorHAnsi"/>
        </w:rPr>
        <w:t>s</w:t>
      </w:r>
      <w:r w:rsidR="00283474" w:rsidRPr="00361DEF">
        <w:rPr>
          <w:rFonts w:cstheme="minorHAnsi"/>
        </w:rPr>
        <w:t xml:space="preserve">. Investigators must resubmit </w:t>
      </w:r>
      <w:r w:rsidR="00D61E66" w:rsidRPr="00361DEF">
        <w:rPr>
          <w:rFonts w:cstheme="minorHAnsi"/>
        </w:rPr>
        <w:t>records</w:t>
      </w:r>
      <w:r w:rsidR="005E5DD0" w:rsidRPr="00361DEF">
        <w:rPr>
          <w:rFonts w:cstheme="minorHAnsi"/>
        </w:rPr>
        <w:t xml:space="preserve"> receiving comments within</w:t>
      </w:r>
      <w:r w:rsidR="009B5211" w:rsidRPr="00361DEF">
        <w:rPr>
          <w:rFonts w:cstheme="minorHAnsi"/>
        </w:rPr>
        <w:t xml:space="preserve"> 25 </w:t>
      </w:r>
      <w:r w:rsidR="00BB3B30" w:rsidRPr="00361DEF">
        <w:rPr>
          <w:rFonts w:cstheme="minorHAnsi"/>
        </w:rPr>
        <w:t xml:space="preserve">calendar </w:t>
      </w:r>
      <w:r w:rsidR="009B5211" w:rsidRPr="00361DEF">
        <w:rPr>
          <w:rFonts w:cstheme="minorHAnsi"/>
        </w:rPr>
        <w:t>days</w:t>
      </w:r>
      <w:r w:rsidR="004B70A3" w:rsidRPr="00361DEF">
        <w:rPr>
          <w:rFonts w:cstheme="minorHAnsi"/>
        </w:rPr>
        <w:t>.</w:t>
      </w:r>
      <w:r w:rsidR="00BB3B30" w:rsidRPr="00361DEF">
        <w:rPr>
          <w:rFonts w:cstheme="minorHAnsi"/>
        </w:rPr>
        <w:t xml:space="preserve"> </w:t>
      </w:r>
      <w:r>
        <w:rPr>
          <w:rFonts w:cstheme="minorHAnsi"/>
        </w:rPr>
        <w:t>Whether or not NIH comments on</w:t>
      </w:r>
      <w:r w:rsidR="004B70A3" w:rsidRPr="00361DEF">
        <w:rPr>
          <w:rFonts w:cstheme="minorHAnsi"/>
        </w:rPr>
        <w:t xml:space="preserve"> record</w:t>
      </w:r>
      <w:r>
        <w:rPr>
          <w:rFonts w:cstheme="minorHAnsi"/>
        </w:rPr>
        <w:t>s</w:t>
      </w:r>
      <w:r w:rsidR="004B70A3" w:rsidRPr="00361DEF">
        <w:rPr>
          <w:rFonts w:cstheme="minorHAnsi"/>
        </w:rPr>
        <w:t>,</w:t>
      </w:r>
      <w:r w:rsidR="003A06CA" w:rsidRPr="00361DEF">
        <w:rPr>
          <w:rFonts w:cstheme="minorHAnsi"/>
        </w:rPr>
        <w:t xml:space="preserve"> </w:t>
      </w:r>
      <w:r w:rsidR="009B5211" w:rsidRPr="00361DEF">
        <w:rPr>
          <w:rFonts w:cstheme="minorHAnsi"/>
        </w:rPr>
        <w:t xml:space="preserve">NIH </w:t>
      </w:r>
      <w:r w:rsidR="00283474" w:rsidRPr="00361DEF">
        <w:rPr>
          <w:rFonts w:cstheme="minorHAnsi"/>
        </w:rPr>
        <w:t xml:space="preserve">must </w:t>
      </w:r>
      <w:r w:rsidR="007337E4" w:rsidRPr="00361DEF">
        <w:rPr>
          <w:rFonts w:cstheme="minorHAnsi"/>
        </w:rPr>
        <w:t>post</w:t>
      </w:r>
      <w:r w:rsidR="003A06CA" w:rsidRPr="00361DEF">
        <w:rPr>
          <w:rFonts w:cstheme="minorHAnsi"/>
        </w:rPr>
        <w:t xml:space="preserve"> </w:t>
      </w:r>
      <w:r w:rsidR="00354BD8" w:rsidRPr="00361DEF">
        <w:rPr>
          <w:rFonts w:cstheme="minorHAnsi"/>
        </w:rPr>
        <w:t>results</w:t>
      </w:r>
      <w:r w:rsidR="00BB3B30" w:rsidRPr="00361DEF">
        <w:rPr>
          <w:rFonts w:cstheme="minorHAnsi"/>
        </w:rPr>
        <w:t xml:space="preserve"> on ClinicalTrials.gov </w:t>
      </w:r>
      <w:r w:rsidR="001357D3" w:rsidRPr="00361DEF">
        <w:rPr>
          <w:rFonts w:cstheme="minorHAnsi"/>
        </w:rPr>
        <w:t xml:space="preserve">within </w:t>
      </w:r>
      <w:r w:rsidR="007337E4" w:rsidRPr="00361DEF">
        <w:rPr>
          <w:rFonts w:cstheme="minorHAnsi"/>
        </w:rPr>
        <w:t>30</w:t>
      </w:r>
      <w:r w:rsidR="00953CC6" w:rsidRPr="00361DEF">
        <w:rPr>
          <w:rFonts w:cstheme="minorHAnsi"/>
        </w:rPr>
        <w:t xml:space="preserve"> </w:t>
      </w:r>
      <w:r w:rsidR="001357D3" w:rsidRPr="00361DEF">
        <w:rPr>
          <w:rFonts w:cstheme="minorHAnsi"/>
        </w:rPr>
        <w:t>calendar days</w:t>
      </w:r>
      <w:r w:rsidR="00C66402" w:rsidRPr="00361DEF">
        <w:rPr>
          <w:rFonts w:cstheme="minorHAnsi"/>
        </w:rPr>
        <w:t xml:space="preserve"> of </w:t>
      </w:r>
      <w:r w:rsidR="003A3F72" w:rsidRPr="00361DEF">
        <w:rPr>
          <w:rFonts w:cstheme="minorHAnsi"/>
        </w:rPr>
        <w:t>first</w:t>
      </w:r>
      <w:r w:rsidR="00BB3B30" w:rsidRPr="00361DEF">
        <w:rPr>
          <w:rFonts w:cstheme="minorHAnsi"/>
        </w:rPr>
        <w:t xml:space="preserve"> </w:t>
      </w:r>
      <w:r w:rsidR="00C66402" w:rsidRPr="00361DEF">
        <w:rPr>
          <w:rFonts w:cstheme="minorHAnsi"/>
        </w:rPr>
        <w:t>submission</w:t>
      </w:r>
      <w:r w:rsidR="00354BD8" w:rsidRPr="00361DEF">
        <w:rPr>
          <w:rFonts w:cstheme="minorHAnsi"/>
        </w:rPr>
        <w:t>.</w:t>
      </w:r>
      <w:r w:rsidR="006B4E69" w:rsidRPr="00361DEF">
        <w:rPr>
          <w:rFonts w:cstheme="minorHAnsi"/>
          <w:vertAlign w:val="superscript"/>
        </w:rPr>
        <w:t>1</w:t>
      </w:r>
      <w:proofErr w:type="gramStart"/>
      <w:r w:rsidR="00CB40D5">
        <w:rPr>
          <w:rFonts w:cstheme="minorHAnsi"/>
          <w:vertAlign w:val="superscript"/>
        </w:rPr>
        <w:t>,</w:t>
      </w:r>
      <w:r w:rsidR="003F5781" w:rsidRPr="00361DEF">
        <w:rPr>
          <w:rFonts w:cstheme="minorHAnsi"/>
          <w:vertAlign w:val="superscript"/>
        </w:rPr>
        <w:t>3</w:t>
      </w:r>
      <w:proofErr w:type="gramEnd"/>
      <w:r w:rsidR="003F5781" w:rsidRPr="00361DEF">
        <w:rPr>
          <w:rFonts w:cstheme="minorHAnsi"/>
        </w:rPr>
        <w:t xml:space="preserve"> </w:t>
      </w:r>
      <w:r w:rsidR="00016B47" w:rsidRPr="001E616C">
        <w:rPr>
          <w:rFonts w:cstheme="minorHAnsi"/>
        </w:rPr>
        <w:t xml:space="preserve">We </w:t>
      </w:r>
      <w:r w:rsidR="00493832" w:rsidRPr="001E616C">
        <w:rPr>
          <w:rFonts w:cstheme="minorHAnsi"/>
        </w:rPr>
        <w:t>evaluate</w:t>
      </w:r>
      <w:r w:rsidR="00883611" w:rsidRPr="001E616C">
        <w:rPr>
          <w:rFonts w:cstheme="minorHAnsi"/>
        </w:rPr>
        <w:t>d</w:t>
      </w:r>
      <w:r>
        <w:rPr>
          <w:rFonts w:cstheme="minorHAnsi"/>
        </w:rPr>
        <w:t xml:space="preserve"> the time between submitting</w:t>
      </w:r>
      <w:r w:rsidR="00493832" w:rsidRPr="001E616C">
        <w:rPr>
          <w:rFonts w:cstheme="minorHAnsi"/>
        </w:rPr>
        <w:t xml:space="preserve"> and </w:t>
      </w:r>
      <w:r w:rsidR="003B0309" w:rsidRPr="001E616C">
        <w:rPr>
          <w:rFonts w:cstheme="minorHAnsi"/>
        </w:rPr>
        <w:t>posting</w:t>
      </w:r>
      <w:r w:rsidR="00883611" w:rsidRPr="001E616C">
        <w:rPr>
          <w:rFonts w:cstheme="minorHAnsi"/>
        </w:rPr>
        <w:t xml:space="preserve"> </w:t>
      </w:r>
      <w:r w:rsidR="00704094" w:rsidRPr="001E616C">
        <w:rPr>
          <w:rFonts w:cstheme="minorHAnsi"/>
        </w:rPr>
        <w:t xml:space="preserve">results for </w:t>
      </w:r>
      <w:r w:rsidR="00883611" w:rsidRPr="001E616C">
        <w:rPr>
          <w:rFonts w:cstheme="minorHAnsi"/>
        </w:rPr>
        <w:t>Johns Hopkins University</w:t>
      </w:r>
      <w:r w:rsidR="003B3D7B" w:rsidRPr="001E616C">
        <w:rPr>
          <w:rFonts w:cstheme="minorHAnsi"/>
        </w:rPr>
        <w:t xml:space="preserve"> (JHU)</w:t>
      </w:r>
      <w:r w:rsidR="00883611" w:rsidRPr="001E616C">
        <w:rPr>
          <w:rFonts w:cstheme="minorHAnsi"/>
        </w:rPr>
        <w:t xml:space="preserve"> </w:t>
      </w:r>
      <w:r w:rsidR="00C81393" w:rsidRPr="001E616C">
        <w:rPr>
          <w:rFonts w:cstheme="minorHAnsi"/>
        </w:rPr>
        <w:t>records</w:t>
      </w:r>
      <w:r w:rsidR="00D2425F" w:rsidRPr="001E616C">
        <w:rPr>
          <w:rFonts w:cstheme="minorHAnsi"/>
        </w:rPr>
        <w:t>.</w:t>
      </w:r>
    </w:p>
    <w:p w14:paraId="2F25D30E" w14:textId="77777777" w:rsidR="00310B7C" w:rsidRPr="00CD7285" w:rsidRDefault="00310B7C" w:rsidP="00CD7285">
      <w:pPr>
        <w:spacing w:after="0" w:line="240" w:lineRule="auto"/>
        <w:rPr>
          <w:rFonts w:cstheme="minorHAnsi"/>
          <w:b/>
        </w:rPr>
      </w:pPr>
    </w:p>
    <w:p w14:paraId="591E835F" w14:textId="77777777" w:rsidR="004E09D6" w:rsidRPr="00CD7285" w:rsidRDefault="00002BFA" w:rsidP="00CD7285">
      <w:pPr>
        <w:spacing w:after="0" w:line="240" w:lineRule="auto"/>
        <w:outlineLvl w:val="0"/>
        <w:rPr>
          <w:rFonts w:cstheme="minorHAnsi"/>
          <w:b/>
        </w:rPr>
      </w:pPr>
      <w:r w:rsidRPr="00CD7285">
        <w:rPr>
          <w:rFonts w:cstheme="minorHAnsi"/>
          <w:b/>
        </w:rPr>
        <w:t>Methods</w:t>
      </w:r>
    </w:p>
    <w:p w14:paraId="02A2B1B3" w14:textId="3241130A" w:rsidR="002C1761" w:rsidRDefault="003E6835" w:rsidP="00CD7285">
      <w:pPr>
        <w:spacing w:after="0" w:line="240" w:lineRule="auto"/>
        <w:rPr>
          <w:rFonts w:cstheme="minorHAnsi"/>
        </w:rPr>
      </w:pPr>
      <w:r w:rsidRPr="00CD7285">
        <w:rPr>
          <w:rFonts w:cstheme="minorHAnsi"/>
        </w:rPr>
        <w:t xml:space="preserve">We </w:t>
      </w:r>
      <w:r w:rsidR="00F47CEB" w:rsidRPr="00CD7285">
        <w:rPr>
          <w:rFonts w:cstheme="minorHAnsi"/>
        </w:rPr>
        <w:t>included</w:t>
      </w:r>
      <w:r w:rsidR="007337E4" w:rsidRPr="00CD7285">
        <w:rPr>
          <w:rFonts w:cstheme="minorHAnsi"/>
        </w:rPr>
        <w:t xml:space="preserve"> </w:t>
      </w:r>
      <w:r w:rsidR="0065632E">
        <w:rPr>
          <w:rFonts w:cstheme="minorHAnsi"/>
        </w:rPr>
        <w:t>JHU records</w:t>
      </w:r>
      <w:r w:rsidR="00B06F49" w:rsidRPr="00CD7285">
        <w:rPr>
          <w:rFonts w:cstheme="minorHAnsi"/>
        </w:rPr>
        <w:t xml:space="preserve"> </w:t>
      </w:r>
      <w:r w:rsidR="00AA40A8" w:rsidRPr="00CD7285">
        <w:rPr>
          <w:rFonts w:cstheme="minorHAnsi"/>
        </w:rPr>
        <w:t xml:space="preserve">that </w:t>
      </w:r>
      <w:r w:rsidR="00B82EF7" w:rsidRPr="00CD7285">
        <w:rPr>
          <w:rFonts w:cstheme="minorHAnsi"/>
        </w:rPr>
        <w:t xml:space="preserve">first </w:t>
      </w:r>
      <w:r w:rsidR="00AA40A8" w:rsidRPr="00CD7285">
        <w:rPr>
          <w:rFonts w:cstheme="minorHAnsi"/>
        </w:rPr>
        <w:t>submitted results</w:t>
      </w:r>
      <w:r w:rsidR="00F47CEB" w:rsidRPr="00CD7285">
        <w:rPr>
          <w:rFonts w:cstheme="minorHAnsi"/>
        </w:rPr>
        <w:t xml:space="preserve"> </w:t>
      </w:r>
      <w:r w:rsidR="00AA40A8" w:rsidRPr="00CD7285">
        <w:rPr>
          <w:rFonts w:cstheme="minorHAnsi"/>
        </w:rPr>
        <w:t xml:space="preserve">to ClinicalTrials.gov </w:t>
      </w:r>
      <w:r w:rsidR="002B271E" w:rsidRPr="00CD7285">
        <w:rPr>
          <w:rFonts w:cstheme="minorHAnsi"/>
        </w:rPr>
        <w:t>in 2017</w:t>
      </w:r>
      <w:r w:rsidR="00E8114C">
        <w:rPr>
          <w:rFonts w:cstheme="minorHAnsi"/>
        </w:rPr>
        <w:t xml:space="preserve"> and 2018</w:t>
      </w:r>
      <w:r w:rsidR="003A3F72">
        <w:rPr>
          <w:rFonts w:cstheme="minorHAnsi"/>
        </w:rPr>
        <w:t xml:space="preserve">, including </w:t>
      </w:r>
      <w:r w:rsidR="004A694B">
        <w:rPr>
          <w:rFonts w:cstheme="minorHAnsi"/>
        </w:rPr>
        <w:t xml:space="preserve">non-ACTs </w:t>
      </w:r>
      <w:r w:rsidR="004A694B">
        <w:rPr>
          <w:rFonts w:cstheme="minorHAnsi"/>
        </w:rPr>
        <w:lastRenderedPageBreak/>
        <w:t xml:space="preserve">that </w:t>
      </w:r>
      <w:r w:rsidR="00E34BFD">
        <w:rPr>
          <w:rFonts w:cstheme="minorHAnsi"/>
        </w:rPr>
        <w:t xml:space="preserve">were not required to submit results but submitted results </w:t>
      </w:r>
      <w:r w:rsidR="004A694B">
        <w:rPr>
          <w:rFonts w:cstheme="minorHAnsi"/>
        </w:rPr>
        <w:t xml:space="preserve">voluntarily. </w:t>
      </w:r>
      <w:r w:rsidR="002C1761">
        <w:rPr>
          <w:rFonts w:cstheme="minorHAnsi"/>
        </w:rPr>
        <w:t>We included data about eligible records up to January 7, 2019.</w:t>
      </w:r>
    </w:p>
    <w:p w14:paraId="3687DFDE" w14:textId="77777777" w:rsidR="00912C40" w:rsidRPr="00CD7285" w:rsidRDefault="00912C40" w:rsidP="00CD7285">
      <w:pPr>
        <w:spacing w:after="0" w:line="240" w:lineRule="auto"/>
        <w:rPr>
          <w:rFonts w:cstheme="minorHAnsi"/>
        </w:rPr>
      </w:pPr>
    </w:p>
    <w:p w14:paraId="15A41834" w14:textId="51FBC6FA" w:rsidR="00350896" w:rsidRPr="00CD7285" w:rsidRDefault="0065632E" w:rsidP="00CD7285">
      <w:pPr>
        <w:spacing w:after="0" w:line="240" w:lineRule="auto"/>
        <w:rPr>
          <w:rFonts w:cstheme="minorHAnsi"/>
        </w:rPr>
      </w:pPr>
      <w:r>
        <w:rPr>
          <w:rFonts w:cstheme="minorHAnsi"/>
        </w:rPr>
        <w:t>W</w:t>
      </w:r>
      <w:r w:rsidR="003B3D7B" w:rsidRPr="00CD7285">
        <w:rPr>
          <w:rFonts w:cstheme="minorHAnsi"/>
        </w:rPr>
        <w:t xml:space="preserve">e </w:t>
      </w:r>
      <w:r>
        <w:rPr>
          <w:rFonts w:cstheme="minorHAnsi"/>
        </w:rPr>
        <w:t>used</w:t>
      </w:r>
      <w:r w:rsidR="00D2425F" w:rsidRPr="00CD7285">
        <w:rPr>
          <w:rFonts w:cstheme="minorHAnsi"/>
        </w:rPr>
        <w:t xml:space="preserve"> </w:t>
      </w:r>
      <w:r>
        <w:rPr>
          <w:rFonts w:cstheme="minorHAnsi"/>
        </w:rPr>
        <w:t>both</w:t>
      </w:r>
      <w:r w:rsidR="003B3D7B" w:rsidRPr="00CD7285">
        <w:rPr>
          <w:rFonts w:cstheme="minorHAnsi"/>
        </w:rPr>
        <w:t xml:space="preserve"> publicly available</w:t>
      </w:r>
      <w:r>
        <w:rPr>
          <w:rFonts w:cstheme="minorHAnsi"/>
        </w:rPr>
        <w:t xml:space="preserve"> information and information</w:t>
      </w:r>
      <w:r w:rsidR="00D2425F" w:rsidRPr="00CD7285">
        <w:rPr>
          <w:rFonts w:cstheme="minorHAnsi"/>
        </w:rPr>
        <w:t xml:space="preserve"> available only </w:t>
      </w:r>
      <w:r w:rsidR="00D2425F" w:rsidRPr="002E34BD">
        <w:rPr>
          <w:rFonts w:cstheme="minorHAnsi"/>
        </w:rPr>
        <w:t xml:space="preserve">to </w:t>
      </w:r>
      <w:r w:rsidR="003B3D7B" w:rsidRPr="002E34BD">
        <w:rPr>
          <w:rFonts w:cstheme="minorHAnsi"/>
        </w:rPr>
        <w:t>JHU.</w:t>
      </w:r>
      <w:r w:rsidR="00E87D6F">
        <w:rPr>
          <w:rFonts w:cstheme="minorHAnsi"/>
        </w:rPr>
        <w:t xml:space="preserve"> </w:t>
      </w:r>
      <w:r w:rsidR="001E616C">
        <w:rPr>
          <w:rFonts w:cstheme="minorHAnsi"/>
        </w:rPr>
        <w:t>Data</w:t>
      </w:r>
      <w:r w:rsidR="00350896" w:rsidRPr="002E34BD">
        <w:rPr>
          <w:rFonts w:cstheme="minorHAnsi"/>
        </w:rPr>
        <w:t xml:space="preserve"> and</w:t>
      </w:r>
      <w:r w:rsidR="00F1144B" w:rsidRPr="002E34BD">
        <w:rPr>
          <w:rFonts w:cstheme="minorHAnsi"/>
        </w:rPr>
        <w:t xml:space="preserve"> </w:t>
      </w:r>
      <w:r w:rsidR="00350896" w:rsidRPr="002E34BD">
        <w:rPr>
          <w:rFonts w:cstheme="minorHAnsi"/>
        </w:rPr>
        <w:t xml:space="preserve">code </w:t>
      </w:r>
      <w:r w:rsidR="00EC53C7" w:rsidRPr="002E34BD">
        <w:rPr>
          <w:rFonts w:cstheme="minorHAnsi"/>
        </w:rPr>
        <w:t xml:space="preserve">used to conduct this analysis </w:t>
      </w:r>
      <w:r w:rsidR="00350896" w:rsidRPr="002E34BD">
        <w:rPr>
          <w:rFonts w:cstheme="minorHAnsi"/>
        </w:rPr>
        <w:t xml:space="preserve">are available </w:t>
      </w:r>
      <w:r w:rsidR="001E616C">
        <w:rPr>
          <w:rFonts w:cstheme="minorHAnsi"/>
        </w:rPr>
        <w:t xml:space="preserve">at </w:t>
      </w:r>
      <w:commentRangeStart w:id="1"/>
      <w:r w:rsidR="00C56599">
        <w:fldChar w:fldCharType="begin"/>
      </w:r>
      <w:r w:rsidR="00C56599">
        <w:instrText xml:space="preserve"> HYPERLINK "http://www.LINK.com" </w:instrText>
      </w:r>
      <w:r w:rsidR="00C56599">
        <w:fldChar w:fldCharType="separate"/>
      </w:r>
      <w:r w:rsidR="00350896" w:rsidRPr="001E616C">
        <w:rPr>
          <w:rStyle w:val="Hyperlink"/>
          <w:rFonts w:cstheme="minorHAnsi"/>
          <w:color w:val="auto"/>
          <w:highlight w:val="yellow"/>
        </w:rPr>
        <w:t>www.LINK.com</w:t>
      </w:r>
      <w:r w:rsidR="00C56599">
        <w:rPr>
          <w:rStyle w:val="Hyperlink"/>
          <w:rFonts w:cstheme="minorHAnsi"/>
          <w:color w:val="auto"/>
          <w:highlight w:val="yellow"/>
        </w:rPr>
        <w:fldChar w:fldCharType="end"/>
      </w:r>
      <w:r w:rsidR="00350896" w:rsidRPr="002E34BD">
        <w:rPr>
          <w:rFonts w:cstheme="minorHAnsi"/>
        </w:rPr>
        <w:t>.</w:t>
      </w:r>
      <w:commentRangeEnd w:id="1"/>
      <w:r w:rsidR="00C83427">
        <w:rPr>
          <w:rStyle w:val="CommentReference"/>
        </w:rPr>
        <w:commentReference w:id="1"/>
      </w:r>
    </w:p>
    <w:p w14:paraId="5341311F" w14:textId="77777777" w:rsidR="00350896" w:rsidRPr="00CD7285" w:rsidRDefault="00350896" w:rsidP="00CD7285">
      <w:pPr>
        <w:spacing w:after="0" w:line="240" w:lineRule="auto"/>
        <w:rPr>
          <w:rFonts w:cstheme="minorHAnsi"/>
        </w:rPr>
      </w:pPr>
    </w:p>
    <w:p w14:paraId="07064EE0" w14:textId="045B7685" w:rsidR="002C1761" w:rsidRDefault="001441C9" w:rsidP="00CD7285">
      <w:pPr>
        <w:spacing w:after="0" w:line="240" w:lineRule="auto"/>
        <w:rPr>
          <w:rFonts w:cstheme="minorHAnsi"/>
        </w:rPr>
      </w:pPr>
      <w:r>
        <w:rPr>
          <w:rFonts w:cstheme="minorHAnsi"/>
        </w:rPr>
        <w:t>For each record, w</w:t>
      </w:r>
      <w:r w:rsidRPr="00CD7285">
        <w:rPr>
          <w:rFonts w:cstheme="minorHAnsi"/>
        </w:rPr>
        <w:t xml:space="preserve">e </w:t>
      </w:r>
      <w:r w:rsidR="002D7171" w:rsidRPr="00CD7285">
        <w:rPr>
          <w:rFonts w:cstheme="minorHAnsi"/>
        </w:rPr>
        <w:t xml:space="preserve">calculated </w:t>
      </w:r>
      <w:r w:rsidR="003360A9" w:rsidRPr="00CD7285">
        <w:rPr>
          <w:rFonts w:cstheme="minorHAnsi"/>
        </w:rPr>
        <w:t xml:space="preserve">the number of </w:t>
      </w:r>
      <w:r w:rsidR="00B44E91">
        <w:rPr>
          <w:rFonts w:cstheme="minorHAnsi"/>
        </w:rPr>
        <w:t xml:space="preserve">results </w:t>
      </w:r>
      <w:r w:rsidR="002C1761">
        <w:rPr>
          <w:rFonts w:cstheme="minorHAnsi"/>
        </w:rPr>
        <w:t>“</w:t>
      </w:r>
      <w:r w:rsidR="00647903">
        <w:rPr>
          <w:rFonts w:cstheme="minorHAnsi"/>
        </w:rPr>
        <w:t>submission cycles</w:t>
      </w:r>
      <w:r w:rsidR="002C1761">
        <w:rPr>
          <w:rFonts w:cstheme="minorHAnsi"/>
        </w:rPr>
        <w:t>”</w:t>
      </w:r>
      <w:r w:rsidR="00647903">
        <w:rPr>
          <w:rFonts w:cstheme="minorHAnsi"/>
        </w:rPr>
        <w:t xml:space="preserve"> </w:t>
      </w:r>
      <w:r>
        <w:rPr>
          <w:rFonts w:cstheme="minorHAnsi"/>
        </w:rPr>
        <w:t xml:space="preserve">and the number </w:t>
      </w:r>
      <w:r w:rsidR="003360A9" w:rsidRPr="00CD7285">
        <w:rPr>
          <w:rFonts w:cstheme="minorHAnsi"/>
        </w:rPr>
        <w:t xml:space="preserve">days </w:t>
      </w:r>
      <w:r w:rsidR="002B271E" w:rsidRPr="00CD7285">
        <w:rPr>
          <w:rFonts w:cstheme="minorHAnsi"/>
        </w:rPr>
        <w:t xml:space="preserve">between </w:t>
      </w:r>
      <w:r w:rsidR="004D0F02" w:rsidRPr="00CD7285">
        <w:rPr>
          <w:rFonts w:cstheme="minorHAnsi"/>
        </w:rPr>
        <w:t xml:space="preserve">first </w:t>
      </w:r>
      <w:r w:rsidR="002B271E" w:rsidRPr="00CD7285">
        <w:rPr>
          <w:rFonts w:cstheme="minorHAnsi"/>
        </w:rPr>
        <w:t xml:space="preserve">submission and public posting, including the number of days </w:t>
      </w:r>
      <w:r w:rsidR="002D7171" w:rsidRPr="00CD7285">
        <w:rPr>
          <w:rFonts w:cstheme="minorHAnsi"/>
        </w:rPr>
        <w:t xml:space="preserve">under review by </w:t>
      </w:r>
      <w:r w:rsidR="004D0F02" w:rsidRPr="00CD7285">
        <w:rPr>
          <w:rFonts w:cstheme="minorHAnsi"/>
        </w:rPr>
        <w:t>NIH</w:t>
      </w:r>
      <w:r w:rsidR="002D7171" w:rsidRPr="00CD7285">
        <w:rPr>
          <w:rFonts w:cstheme="minorHAnsi"/>
        </w:rPr>
        <w:t xml:space="preserve"> and under review by JHU</w:t>
      </w:r>
      <w:r>
        <w:rPr>
          <w:rFonts w:cstheme="minorHAnsi"/>
        </w:rPr>
        <w:t xml:space="preserve"> (Table 1)</w:t>
      </w:r>
      <w:r w:rsidR="002D7171" w:rsidRPr="00CD7285">
        <w:rPr>
          <w:rFonts w:cstheme="minorHAnsi"/>
        </w:rPr>
        <w:t>.</w:t>
      </w:r>
      <w:r w:rsidR="00B16D56" w:rsidRPr="00CD7285">
        <w:rPr>
          <w:rFonts w:cstheme="minorHAnsi"/>
        </w:rPr>
        <w:t xml:space="preserve"> </w:t>
      </w:r>
      <w:r w:rsidR="001E616C">
        <w:rPr>
          <w:rFonts w:cstheme="minorHAnsi"/>
        </w:rPr>
        <w:t>The first</w:t>
      </w:r>
      <w:r w:rsidR="002C1761">
        <w:rPr>
          <w:rFonts w:cstheme="minorHAnsi"/>
        </w:rPr>
        <w:t xml:space="preserve"> "submission cycle” began </w:t>
      </w:r>
      <w:r w:rsidR="002C1761" w:rsidRPr="00CD7285">
        <w:rPr>
          <w:rFonts w:cstheme="minorHAnsi"/>
        </w:rPr>
        <w:t xml:space="preserve">the day </w:t>
      </w:r>
      <w:r w:rsidR="00BD1E7B">
        <w:rPr>
          <w:rFonts w:cstheme="minorHAnsi"/>
        </w:rPr>
        <w:t xml:space="preserve">investigators submitted results </w:t>
      </w:r>
      <w:r w:rsidR="002C1761">
        <w:rPr>
          <w:rFonts w:cstheme="minorHAnsi"/>
        </w:rPr>
        <w:t xml:space="preserve">and concluded when results were either </w:t>
      </w:r>
      <w:r w:rsidR="002C1761" w:rsidRPr="00CD7285">
        <w:rPr>
          <w:rFonts w:cstheme="minorHAnsi"/>
        </w:rPr>
        <w:t xml:space="preserve">posted </w:t>
      </w:r>
      <w:r w:rsidR="002C1761">
        <w:rPr>
          <w:rFonts w:cstheme="minorHAnsi"/>
        </w:rPr>
        <w:t>by NIH</w:t>
      </w:r>
      <w:r w:rsidR="009D713D">
        <w:rPr>
          <w:rFonts w:cstheme="minorHAnsi"/>
        </w:rPr>
        <w:t xml:space="preserve"> </w:t>
      </w:r>
      <w:r w:rsidR="002C1761" w:rsidRPr="00CD7285">
        <w:rPr>
          <w:rFonts w:cstheme="minorHAnsi"/>
        </w:rPr>
        <w:t>or</w:t>
      </w:r>
      <w:r w:rsidR="002C1761">
        <w:rPr>
          <w:rFonts w:cstheme="minorHAnsi"/>
        </w:rPr>
        <w:t xml:space="preserve"> the record was</w:t>
      </w:r>
      <w:r w:rsidR="002C1761" w:rsidRPr="00CD7285">
        <w:rPr>
          <w:rFonts w:cstheme="minorHAnsi"/>
        </w:rPr>
        <w:t xml:space="preserve"> returned to JHU with comments.</w:t>
      </w:r>
    </w:p>
    <w:p w14:paraId="180CAE56" w14:textId="77777777" w:rsidR="002C1761" w:rsidRDefault="002C1761" w:rsidP="00CD7285">
      <w:pPr>
        <w:spacing w:after="0" w:line="240" w:lineRule="auto"/>
        <w:rPr>
          <w:rFonts w:cstheme="minorHAnsi"/>
        </w:rPr>
      </w:pPr>
    </w:p>
    <w:p w14:paraId="3988CD3E" w14:textId="77777777" w:rsidR="00AF591F" w:rsidRDefault="002C1761" w:rsidP="00CD7285">
      <w:pPr>
        <w:spacing w:after="0" w:line="240" w:lineRule="auto"/>
        <w:rPr>
          <w:rFonts w:cstheme="minorHAnsi"/>
        </w:rPr>
      </w:pPr>
      <w:r w:rsidRPr="00CD7285">
        <w:rPr>
          <w:rFonts w:cstheme="minorHAnsi"/>
        </w:rPr>
        <w:t xml:space="preserve">We used Stata 15.1 to </w:t>
      </w:r>
      <w:r>
        <w:rPr>
          <w:rFonts w:cstheme="minorHAnsi"/>
        </w:rPr>
        <w:t>conduct the analysis.</w:t>
      </w:r>
    </w:p>
    <w:p w14:paraId="50369F9C" w14:textId="77777777" w:rsidR="002C1761" w:rsidRDefault="002C1761" w:rsidP="00CD7285">
      <w:pPr>
        <w:spacing w:after="0" w:line="240" w:lineRule="auto"/>
        <w:rPr>
          <w:rFonts w:cstheme="minorHAnsi"/>
        </w:rPr>
      </w:pPr>
    </w:p>
    <w:p w14:paraId="5A960693" w14:textId="77777777" w:rsidR="00002BFA" w:rsidRPr="00CD7285" w:rsidRDefault="00002BFA" w:rsidP="00CD7285">
      <w:pPr>
        <w:spacing w:after="0" w:line="240" w:lineRule="auto"/>
        <w:outlineLvl w:val="0"/>
        <w:rPr>
          <w:rFonts w:cstheme="minorHAnsi"/>
          <w:b/>
        </w:rPr>
      </w:pPr>
      <w:r w:rsidRPr="00CD7285">
        <w:rPr>
          <w:rFonts w:cstheme="minorHAnsi"/>
          <w:b/>
        </w:rPr>
        <w:t>Results</w:t>
      </w:r>
    </w:p>
    <w:p w14:paraId="48872C9D" w14:textId="3132A572" w:rsidR="002742C2" w:rsidRPr="001E616C" w:rsidRDefault="00E8114C" w:rsidP="001441C9">
      <w:pPr>
        <w:pStyle w:val="ListParagraph"/>
        <w:ind w:left="0"/>
        <w:rPr>
          <w:rFonts w:asciiTheme="minorHAnsi" w:eastAsiaTheme="minorHAnsi" w:hAnsiTheme="minorHAnsi" w:cstheme="minorHAnsi"/>
        </w:rPr>
      </w:pPr>
      <w:r w:rsidRPr="001E616C">
        <w:rPr>
          <w:rFonts w:asciiTheme="minorHAnsi" w:hAnsiTheme="minorHAnsi" w:cstheme="minorHAnsi"/>
        </w:rPr>
        <w:t>In 2017</w:t>
      </w:r>
      <w:r w:rsidR="00BD1E7B">
        <w:rPr>
          <w:rFonts w:asciiTheme="minorHAnsi" w:hAnsiTheme="minorHAnsi" w:cstheme="minorHAnsi"/>
        </w:rPr>
        <w:t>,</w:t>
      </w:r>
      <w:r w:rsidRPr="001E616C">
        <w:rPr>
          <w:rFonts w:asciiTheme="minorHAnsi" w:hAnsiTheme="minorHAnsi" w:cstheme="minorHAnsi"/>
        </w:rPr>
        <w:t xml:space="preserve"> JHU </w:t>
      </w:r>
      <w:r w:rsidR="0001604A" w:rsidRPr="001E616C">
        <w:rPr>
          <w:rFonts w:asciiTheme="minorHAnsi" w:hAnsiTheme="minorHAnsi" w:cstheme="minorHAnsi"/>
        </w:rPr>
        <w:t>submitted</w:t>
      </w:r>
      <w:r w:rsidRPr="001E616C">
        <w:rPr>
          <w:rFonts w:asciiTheme="minorHAnsi" w:hAnsiTheme="minorHAnsi" w:cstheme="minorHAnsi"/>
        </w:rPr>
        <w:t xml:space="preserve"> 88 </w:t>
      </w:r>
      <w:r w:rsidR="002B271E" w:rsidRPr="001E616C">
        <w:rPr>
          <w:rFonts w:asciiTheme="minorHAnsi" w:hAnsiTheme="minorHAnsi" w:cstheme="minorHAnsi"/>
        </w:rPr>
        <w:t>records</w:t>
      </w:r>
      <w:r w:rsidR="004048EF" w:rsidRPr="001E616C">
        <w:rPr>
          <w:rFonts w:asciiTheme="minorHAnsi" w:hAnsiTheme="minorHAnsi" w:cstheme="minorHAnsi"/>
        </w:rPr>
        <w:t xml:space="preserve">, including </w:t>
      </w:r>
      <w:r w:rsidR="002B271E" w:rsidRPr="001E616C">
        <w:rPr>
          <w:rFonts w:asciiTheme="minorHAnsi" w:hAnsiTheme="minorHAnsi" w:cstheme="minorHAnsi"/>
        </w:rPr>
        <w:t>7</w:t>
      </w:r>
      <w:r w:rsidR="007577B1" w:rsidRPr="001E616C">
        <w:rPr>
          <w:rFonts w:asciiTheme="minorHAnsi" w:hAnsiTheme="minorHAnsi" w:cstheme="minorHAnsi"/>
        </w:rPr>
        <w:t>3</w:t>
      </w:r>
      <w:r w:rsidR="002B271E" w:rsidRPr="001E616C">
        <w:rPr>
          <w:rFonts w:asciiTheme="minorHAnsi" w:hAnsiTheme="minorHAnsi" w:cstheme="minorHAnsi"/>
        </w:rPr>
        <w:t>/</w:t>
      </w:r>
      <w:r w:rsidR="00A16B13" w:rsidRPr="001E616C">
        <w:rPr>
          <w:rFonts w:asciiTheme="minorHAnsi" w:hAnsiTheme="minorHAnsi" w:cstheme="minorHAnsi"/>
        </w:rPr>
        <w:t>88</w:t>
      </w:r>
      <w:r w:rsidRPr="001E616C">
        <w:rPr>
          <w:rFonts w:asciiTheme="minorHAnsi" w:hAnsiTheme="minorHAnsi" w:cstheme="minorHAnsi"/>
        </w:rPr>
        <w:t xml:space="preserve"> </w:t>
      </w:r>
      <w:r w:rsidR="002B271E" w:rsidRPr="001E616C">
        <w:rPr>
          <w:rFonts w:asciiTheme="minorHAnsi" w:hAnsiTheme="minorHAnsi" w:cstheme="minorHAnsi"/>
        </w:rPr>
        <w:t>(</w:t>
      </w:r>
      <w:r w:rsidR="00A16B13" w:rsidRPr="001E616C">
        <w:rPr>
          <w:rFonts w:asciiTheme="minorHAnsi" w:hAnsiTheme="minorHAnsi" w:cstheme="minorHAnsi"/>
        </w:rPr>
        <w:t>83</w:t>
      </w:r>
      <w:r w:rsidR="002B271E" w:rsidRPr="001E616C">
        <w:rPr>
          <w:rFonts w:asciiTheme="minorHAnsi" w:hAnsiTheme="minorHAnsi" w:cstheme="minorHAnsi"/>
        </w:rPr>
        <w:t xml:space="preserve">%) </w:t>
      </w:r>
      <w:r w:rsidR="004F7C9A">
        <w:rPr>
          <w:rFonts w:asciiTheme="minorHAnsi" w:hAnsiTheme="minorHAnsi" w:cstheme="minorHAnsi"/>
        </w:rPr>
        <w:t>probable A</w:t>
      </w:r>
      <w:r w:rsidR="00361DEF">
        <w:rPr>
          <w:rFonts w:asciiTheme="minorHAnsi" w:hAnsiTheme="minorHAnsi" w:cstheme="minorHAnsi"/>
        </w:rPr>
        <w:t xml:space="preserve">pplicable Clinical Trials </w:t>
      </w:r>
      <w:r w:rsidR="004F7C9A">
        <w:rPr>
          <w:rFonts w:asciiTheme="minorHAnsi" w:hAnsiTheme="minorHAnsi" w:cstheme="minorHAnsi"/>
        </w:rPr>
        <w:t>(</w:t>
      </w:r>
      <w:r w:rsidR="00B16D56" w:rsidRPr="001E616C">
        <w:rPr>
          <w:rFonts w:asciiTheme="minorHAnsi" w:hAnsiTheme="minorHAnsi" w:cstheme="minorHAnsi"/>
        </w:rPr>
        <w:t>pACT</w:t>
      </w:r>
      <w:r w:rsidR="002C1761" w:rsidRPr="001E616C">
        <w:rPr>
          <w:rFonts w:asciiTheme="minorHAnsi" w:hAnsiTheme="minorHAnsi" w:cstheme="minorHAnsi"/>
        </w:rPr>
        <w:t>s</w:t>
      </w:r>
      <w:r w:rsidR="004F7C9A">
        <w:rPr>
          <w:rFonts w:asciiTheme="minorHAnsi" w:hAnsiTheme="minorHAnsi" w:cstheme="minorHAnsi"/>
        </w:rPr>
        <w:t>)</w:t>
      </w:r>
      <w:r w:rsidR="002B271E" w:rsidRPr="001E616C">
        <w:rPr>
          <w:rFonts w:asciiTheme="minorHAnsi" w:hAnsiTheme="minorHAnsi" w:cstheme="minorHAnsi"/>
        </w:rPr>
        <w:t xml:space="preserve"> and </w:t>
      </w:r>
      <w:r w:rsidR="00A16B13" w:rsidRPr="001E616C">
        <w:rPr>
          <w:rFonts w:asciiTheme="minorHAnsi" w:hAnsiTheme="minorHAnsi" w:cstheme="minorHAnsi"/>
        </w:rPr>
        <w:t>15/88 (17</w:t>
      </w:r>
      <w:r w:rsidR="002B271E" w:rsidRPr="001E616C">
        <w:rPr>
          <w:rFonts w:asciiTheme="minorHAnsi" w:hAnsiTheme="minorHAnsi" w:cstheme="minorHAnsi"/>
        </w:rPr>
        <w:t xml:space="preserve">%) </w:t>
      </w:r>
      <w:r w:rsidR="00B16D56" w:rsidRPr="001E616C">
        <w:rPr>
          <w:rFonts w:asciiTheme="minorHAnsi" w:hAnsiTheme="minorHAnsi" w:cstheme="minorHAnsi"/>
        </w:rPr>
        <w:lastRenderedPageBreak/>
        <w:t>non-ACT</w:t>
      </w:r>
      <w:r w:rsidR="00402C1C" w:rsidRPr="001E616C">
        <w:rPr>
          <w:rFonts w:asciiTheme="minorHAnsi" w:hAnsiTheme="minorHAnsi" w:cstheme="minorHAnsi"/>
        </w:rPr>
        <w:t>s</w:t>
      </w:r>
      <w:r w:rsidR="00361DEF">
        <w:rPr>
          <w:rFonts w:asciiTheme="minorHAnsi" w:hAnsiTheme="minorHAnsi" w:cstheme="minorHAnsi"/>
        </w:rPr>
        <w:t xml:space="preserve"> (Table 1)</w:t>
      </w:r>
      <w:r w:rsidR="002B271E" w:rsidRPr="001E616C">
        <w:rPr>
          <w:rFonts w:asciiTheme="minorHAnsi" w:hAnsiTheme="minorHAnsi" w:cstheme="minorHAnsi"/>
        </w:rPr>
        <w:t>.</w:t>
      </w:r>
      <w:r w:rsidR="003776B3" w:rsidRPr="001E616C">
        <w:rPr>
          <w:rFonts w:asciiTheme="minorHAnsi" w:hAnsiTheme="minorHAnsi" w:cstheme="minorHAnsi"/>
        </w:rPr>
        <w:t xml:space="preserve"> </w:t>
      </w:r>
      <w:r w:rsidR="004B70A3">
        <w:rPr>
          <w:rFonts w:asciiTheme="minorHAnsi" w:hAnsiTheme="minorHAnsi" w:cstheme="minorHAnsi"/>
        </w:rPr>
        <w:t>B</w:t>
      </w:r>
      <w:r w:rsidR="004B70A3" w:rsidRPr="001E616C">
        <w:rPr>
          <w:rFonts w:asciiTheme="minorHAnsi" w:hAnsiTheme="minorHAnsi" w:cstheme="minorHAnsi"/>
        </w:rPr>
        <w:t>y January 7, 2019</w:t>
      </w:r>
      <w:r w:rsidR="004B70A3">
        <w:rPr>
          <w:rFonts w:asciiTheme="minorHAnsi" w:hAnsiTheme="minorHAnsi" w:cstheme="minorHAnsi"/>
        </w:rPr>
        <w:t xml:space="preserve">, </w:t>
      </w:r>
      <w:r w:rsidR="00680DE5" w:rsidRPr="001E616C">
        <w:rPr>
          <w:rFonts w:asciiTheme="minorHAnsi" w:hAnsiTheme="minorHAnsi" w:cstheme="minorHAnsi"/>
        </w:rPr>
        <w:t>84/88</w:t>
      </w:r>
      <w:r w:rsidR="003776B3" w:rsidRPr="001E616C">
        <w:rPr>
          <w:rFonts w:asciiTheme="minorHAnsi" w:hAnsiTheme="minorHAnsi" w:cstheme="minorHAnsi"/>
        </w:rPr>
        <w:t xml:space="preserve"> (</w:t>
      </w:r>
      <w:r w:rsidR="007577B1" w:rsidRPr="001E616C">
        <w:rPr>
          <w:rFonts w:asciiTheme="minorHAnsi" w:hAnsiTheme="minorHAnsi" w:cstheme="minorHAnsi"/>
        </w:rPr>
        <w:t>9</w:t>
      </w:r>
      <w:r w:rsidR="00680DE5" w:rsidRPr="001E616C">
        <w:rPr>
          <w:rFonts w:asciiTheme="minorHAnsi" w:hAnsiTheme="minorHAnsi" w:cstheme="minorHAnsi"/>
        </w:rPr>
        <w:t>5</w:t>
      </w:r>
      <w:r w:rsidR="003776B3" w:rsidRPr="001E616C">
        <w:rPr>
          <w:rFonts w:asciiTheme="minorHAnsi" w:hAnsiTheme="minorHAnsi" w:cstheme="minorHAnsi"/>
        </w:rPr>
        <w:t>%) ha</w:t>
      </w:r>
      <w:r w:rsidR="004048EF" w:rsidRPr="001E616C">
        <w:rPr>
          <w:rFonts w:asciiTheme="minorHAnsi" w:hAnsiTheme="minorHAnsi" w:cstheme="minorHAnsi"/>
        </w:rPr>
        <w:t>d</w:t>
      </w:r>
      <w:r w:rsidR="003776B3" w:rsidRPr="001E616C">
        <w:rPr>
          <w:rFonts w:asciiTheme="minorHAnsi" w:hAnsiTheme="minorHAnsi" w:cstheme="minorHAnsi"/>
        </w:rPr>
        <w:t xml:space="preserve"> been posted</w:t>
      </w:r>
      <w:r w:rsidR="00585B5C" w:rsidRPr="001E616C">
        <w:rPr>
          <w:rFonts w:asciiTheme="minorHAnsi" w:hAnsiTheme="minorHAnsi" w:cstheme="minorHAnsi"/>
        </w:rPr>
        <w:t xml:space="preserve">. </w:t>
      </w:r>
      <w:r w:rsidR="00BC2C78" w:rsidRPr="001E616C">
        <w:rPr>
          <w:rFonts w:asciiTheme="minorHAnsi" w:hAnsiTheme="minorHAnsi" w:cstheme="minorHAnsi"/>
        </w:rPr>
        <w:t>J</w:t>
      </w:r>
      <w:r w:rsidR="001441C9" w:rsidRPr="001E616C">
        <w:rPr>
          <w:rFonts w:asciiTheme="minorHAnsi" w:hAnsiTheme="minorHAnsi" w:cstheme="minorHAnsi"/>
        </w:rPr>
        <w:t>HU submitted record</w:t>
      </w:r>
      <w:r w:rsidR="00402C1C" w:rsidRPr="001E616C">
        <w:rPr>
          <w:rFonts w:asciiTheme="minorHAnsi" w:hAnsiTheme="minorHAnsi" w:cstheme="minorHAnsi"/>
        </w:rPr>
        <w:t>s</w:t>
      </w:r>
      <w:r w:rsidR="001441C9" w:rsidRPr="001E616C">
        <w:rPr>
          <w:rFonts w:asciiTheme="minorHAnsi" w:hAnsiTheme="minorHAnsi" w:cstheme="minorHAnsi"/>
        </w:rPr>
        <w:t xml:space="preserve"> between 1 and 5 times (mean=2.2</w:t>
      </w:r>
      <w:r w:rsidR="00424D08" w:rsidRPr="001E616C">
        <w:rPr>
          <w:rFonts w:asciiTheme="minorHAnsi" w:hAnsiTheme="minorHAnsi" w:cstheme="minorHAnsi"/>
        </w:rPr>
        <w:t>7</w:t>
      </w:r>
      <w:r w:rsidR="00C56599">
        <w:rPr>
          <w:rFonts w:asciiTheme="minorHAnsi" w:hAnsiTheme="minorHAnsi" w:cstheme="minorHAnsi"/>
        </w:rPr>
        <w:t>,</w:t>
      </w:r>
      <w:r w:rsidR="00402C1C" w:rsidRPr="001E616C">
        <w:rPr>
          <w:rFonts w:asciiTheme="minorHAnsi" w:hAnsiTheme="minorHAnsi" w:cstheme="minorHAnsi"/>
        </w:rPr>
        <w:t xml:space="preserve"> </w:t>
      </w:r>
      <w:r w:rsidR="00073B62">
        <w:rPr>
          <w:rFonts w:asciiTheme="minorHAnsi" w:hAnsiTheme="minorHAnsi" w:cstheme="minorHAnsi"/>
        </w:rPr>
        <w:t>SD</w:t>
      </w:r>
      <w:r w:rsidR="001441C9" w:rsidRPr="001E616C">
        <w:rPr>
          <w:rFonts w:asciiTheme="minorHAnsi" w:hAnsiTheme="minorHAnsi" w:cstheme="minorHAnsi"/>
        </w:rPr>
        <w:t>=0.</w:t>
      </w:r>
      <w:r w:rsidR="00D15BAB" w:rsidRPr="001E616C">
        <w:rPr>
          <w:rFonts w:asciiTheme="minorHAnsi" w:hAnsiTheme="minorHAnsi" w:cstheme="minorHAnsi"/>
        </w:rPr>
        <w:t>86</w:t>
      </w:r>
      <w:r w:rsidR="001441C9" w:rsidRPr="001E616C">
        <w:rPr>
          <w:rFonts w:asciiTheme="minorHAnsi" w:hAnsiTheme="minorHAnsi" w:cstheme="minorHAnsi"/>
        </w:rPr>
        <w:t>).</w:t>
      </w:r>
      <w:r w:rsidR="00402C1C" w:rsidRPr="001E616C">
        <w:rPr>
          <w:rFonts w:asciiTheme="minorHAnsi" w:hAnsiTheme="minorHAnsi" w:cstheme="minorHAnsi"/>
        </w:rPr>
        <w:t xml:space="preserve"> </w:t>
      </w:r>
      <w:r w:rsidR="00B119F0" w:rsidRPr="001E616C">
        <w:rPr>
          <w:rFonts w:asciiTheme="minorHAnsi" w:hAnsiTheme="minorHAnsi" w:cstheme="minorHAnsi"/>
        </w:rPr>
        <w:t xml:space="preserve">Results for </w:t>
      </w:r>
      <w:r w:rsidR="007B6578" w:rsidRPr="001E616C">
        <w:rPr>
          <w:rFonts w:asciiTheme="minorHAnsi" w:hAnsiTheme="minorHAnsi" w:cstheme="minorHAnsi"/>
        </w:rPr>
        <w:t>11</w:t>
      </w:r>
      <w:r w:rsidR="00471C5A" w:rsidRPr="001E616C">
        <w:rPr>
          <w:rFonts w:asciiTheme="minorHAnsi" w:hAnsiTheme="minorHAnsi" w:cstheme="minorHAnsi"/>
        </w:rPr>
        <w:t>/73 (</w:t>
      </w:r>
      <w:r w:rsidR="007B6578" w:rsidRPr="001E616C">
        <w:rPr>
          <w:rFonts w:asciiTheme="minorHAnsi" w:hAnsiTheme="minorHAnsi" w:cstheme="minorHAnsi"/>
        </w:rPr>
        <w:t>15</w:t>
      </w:r>
      <w:r w:rsidR="00471C5A" w:rsidRPr="001E616C">
        <w:rPr>
          <w:rFonts w:asciiTheme="minorHAnsi" w:hAnsiTheme="minorHAnsi" w:cstheme="minorHAnsi"/>
        </w:rPr>
        <w:t xml:space="preserve">%) </w:t>
      </w:r>
      <w:r w:rsidR="00B119F0" w:rsidRPr="001E616C">
        <w:rPr>
          <w:rFonts w:asciiTheme="minorHAnsi" w:hAnsiTheme="minorHAnsi" w:cstheme="minorHAnsi"/>
        </w:rPr>
        <w:t>pACTs</w:t>
      </w:r>
      <w:r w:rsidR="00AF591F" w:rsidRPr="001E616C">
        <w:rPr>
          <w:rFonts w:asciiTheme="minorHAnsi" w:hAnsiTheme="minorHAnsi" w:cstheme="minorHAnsi"/>
        </w:rPr>
        <w:t xml:space="preserve"> </w:t>
      </w:r>
      <w:r w:rsidR="00E6569D" w:rsidRPr="001E616C">
        <w:rPr>
          <w:rFonts w:asciiTheme="minorHAnsi" w:hAnsiTheme="minorHAnsi" w:cstheme="minorHAnsi"/>
        </w:rPr>
        <w:t xml:space="preserve">were posted </w:t>
      </w:r>
      <w:r w:rsidR="00BD1E7B">
        <w:rPr>
          <w:rFonts w:asciiTheme="minorHAnsi" w:hAnsiTheme="minorHAnsi" w:cstheme="minorHAnsi"/>
        </w:rPr>
        <w:t>after</w:t>
      </w:r>
      <w:r w:rsidR="00402C1C" w:rsidRPr="001E616C">
        <w:rPr>
          <w:rFonts w:asciiTheme="minorHAnsi" w:hAnsiTheme="minorHAnsi" w:cstheme="minorHAnsi"/>
        </w:rPr>
        <w:t xml:space="preserve"> first submission (i.e., </w:t>
      </w:r>
      <w:r w:rsidR="00E6569D" w:rsidRPr="001E616C">
        <w:rPr>
          <w:rFonts w:asciiTheme="minorHAnsi" w:hAnsiTheme="minorHAnsi" w:cstheme="minorHAnsi"/>
        </w:rPr>
        <w:t xml:space="preserve">without </w:t>
      </w:r>
      <w:r w:rsidR="004C59D6">
        <w:rPr>
          <w:rFonts w:asciiTheme="minorHAnsi" w:hAnsiTheme="minorHAnsi" w:cstheme="minorHAnsi"/>
        </w:rPr>
        <w:t xml:space="preserve">NIH </w:t>
      </w:r>
      <w:r w:rsidR="00E6569D" w:rsidRPr="001E616C">
        <w:rPr>
          <w:rFonts w:asciiTheme="minorHAnsi" w:hAnsiTheme="minorHAnsi" w:cstheme="minorHAnsi"/>
        </w:rPr>
        <w:t>comments</w:t>
      </w:r>
      <w:r w:rsidR="001441C9" w:rsidRPr="001E616C">
        <w:rPr>
          <w:rFonts w:asciiTheme="minorHAnsi" w:hAnsiTheme="minorHAnsi" w:cstheme="minorHAnsi"/>
        </w:rPr>
        <w:t>)</w:t>
      </w:r>
      <w:r w:rsidR="001E616C">
        <w:rPr>
          <w:rFonts w:asciiTheme="minorHAnsi" w:hAnsiTheme="minorHAnsi" w:cstheme="minorHAnsi"/>
        </w:rPr>
        <w:t>;</w:t>
      </w:r>
      <w:r w:rsidR="00A77494" w:rsidRPr="001E616C">
        <w:rPr>
          <w:rFonts w:asciiTheme="minorHAnsi" w:hAnsiTheme="minorHAnsi" w:cstheme="minorHAnsi"/>
        </w:rPr>
        <w:t xml:space="preserve"> </w:t>
      </w:r>
      <w:r w:rsidR="006850F7" w:rsidRPr="001E616C">
        <w:rPr>
          <w:rFonts w:asciiTheme="minorHAnsi" w:hAnsiTheme="minorHAnsi" w:cstheme="minorHAnsi"/>
        </w:rPr>
        <w:t>all n</w:t>
      </w:r>
      <w:r w:rsidR="006B1046" w:rsidRPr="001E616C">
        <w:rPr>
          <w:rFonts w:asciiTheme="minorHAnsi" w:hAnsiTheme="minorHAnsi" w:cstheme="minorHAnsi"/>
        </w:rPr>
        <w:t>on</w:t>
      </w:r>
      <w:r w:rsidR="00B16D56" w:rsidRPr="001E616C">
        <w:rPr>
          <w:rFonts w:asciiTheme="minorHAnsi" w:hAnsiTheme="minorHAnsi" w:cstheme="minorHAnsi"/>
        </w:rPr>
        <w:t>-ACTs</w:t>
      </w:r>
      <w:r w:rsidR="008227D5" w:rsidRPr="001E616C">
        <w:rPr>
          <w:rFonts w:asciiTheme="minorHAnsi" w:eastAsiaTheme="minorHAnsi" w:hAnsiTheme="minorHAnsi" w:cstheme="minorHAnsi"/>
        </w:rPr>
        <w:t xml:space="preserve"> received </w:t>
      </w:r>
      <w:r w:rsidR="00BD1E7B">
        <w:rPr>
          <w:rFonts w:asciiTheme="minorHAnsi" w:eastAsiaTheme="minorHAnsi" w:hAnsiTheme="minorHAnsi" w:cstheme="minorHAnsi"/>
        </w:rPr>
        <w:t>NIH comments</w:t>
      </w:r>
      <w:r w:rsidR="008227D5" w:rsidRPr="001E616C">
        <w:rPr>
          <w:rFonts w:asciiTheme="minorHAnsi" w:hAnsiTheme="minorHAnsi" w:cstheme="minorHAnsi"/>
        </w:rPr>
        <w:t xml:space="preserve"> </w:t>
      </w:r>
      <w:r w:rsidR="002742C2" w:rsidRPr="001E616C">
        <w:rPr>
          <w:rFonts w:asciiTheme="minorHAnsi" w:hAnsiTheme="minorHAnsi" w:cstheme="minorHAnsi"/>
        </w:rPr>
        <w:t>that</w:t>
      </w:r>
      <w:r w:rsidR="008227D5" w:rsidRPr="001E616C">
        <w:rPr>
          <w:rFonts w:asciiTheme="minorHAnsi" w:hAnsiTheme="minorHAnsi" w:cstheme="minorHAnsi"/>
        </w:rPr>
        <w:t xml:space="preserve"> required resubmission</w:t>
      </w:r>
      <w:r w:rsidR="004048EF" w:rsidRPr="001E616C">
        <w:rPr>
          <w:rFonts w:asciiTheme="minorHAnsi" w:hAnsiTheme="minorHAnsi" w:cstheme="minorHAnsi"/>
        </w:rPr>
        <w:t xml:space="preserve"> </w:t>
      </w:r>
      <w:r w:rsidR="006B1046" w:rsidRPr="001E616C">
        <w:rPr>
          <w:rFonts w:asciiTheme="minorHAnsi" w:eastAsiaTheme="minorHAnsi" w:hAnsiTheme="minorHAnsi" w:cstheme="minorHAnsi"/>
        </w:rPr>
        <w:t>(</w:t>
      </w:r>
      <w:r w:rsidR="001E08C9" w:rsidRPr="001E616C">
        <w:rPr>
          <w:rFonts w:asciiTheme="minorHAnsi" w:eastAsiaTheme="minorHAnsi" w:hAnsiTheme="minorHAnsi" w:cstheme="minorHAnsi"/>
        </w:rPr>
        <w:t>11/11</w:t>
      </w:r>
      <w:r w:rsidR="006B1046" w:rsidRPr="001E616C">
        <w:rPr>
          <w:rFonts w:asciiTheme="minorHAnsi" w:eastAsiaTheme="minorHAnsi" w:hAnsiTheme="minorHAnsi" w:cstheme="minorHAnsi"/>
        </w:rPr>
        <w:t xml:space="preserve">, </w:t>
      </w:r>
      <w:r w:rsidR="006850F7" w:rsidRPr="001E616C">
        <w:rPr>
          <w:rFonts w:asciiTheme="minorHAnsi" w:eastAsiaTheme="minorHAnsi" w:hAnsiTheme="minorHAnsi" w:cstheme="minorHAnsi"/>
        </w:rPr>
        <w:t>10</w:t>
      </w:r>
      <w:r w:rsidR="006B1046" w:rsidRPr="001E616C">
        <w:rPr>
          <w:rFonts w:asciiTheme="minorHAnsi" w:eastAsiaTheme="minorHAnsi" w:hAnsiTheme="minorHAnsi" w:cstheme="minorHAnsi"/>
        </w:rPr>
        <w:t>0</w:t>
      </w:r>
      <w:r w:rsidR="00BB3B30" w:rsidRPr="001E616C">
        <w:rPr>
          <w:rFonts w:asciiTheme="minorHAnsi" w:eastAsiaTheme="minorHAnsi" w:hAnsiTheme="minorHAnsi" w:cstheme="minorHAnsi"/>
        </w:rPr>
        <w:t>%)</w:t>
      </w:r>
      <w:r w:rsidR="006850F7" w:rsidRPr="001E616C">
        <w:rPr>
          <w:rFonts w:asciiTheme="minorHAnsi" w:eastAsiaTheme="minorHAnsi" w:hAnsiTheme="minorHAnsi" w:cstheme="minorHAnsi"/>
        </w:rPr>
        <w:t>.</w:t>
      </w:r>
      <w:r w:rsidR="006B1046" w:rsidRPr="001E616C">
        <w:rPr>
          <w:rFonts w:asciiTheme="minorHAnsi" w:eastAsiaTheme="minorHAnsi" w:hAnsiTheme="minorHAnsi" w:cstheme="minorHAnsi"/>
        </w:rPr>
        <w:t xml:space="preserve"> </w:t>
      </w:r>
      <w:r w:rsidR="00E87D6F" w:rsidRPr="001E616C">
        <w:rPr>
          <w:rFonts w:asciiTheme="minorHAnsi" w:eastAsiaTheme="minorHAnsi" w:hAnsiTheme="minorHAnsi" w:cstheme="minorHAnsi"/>
        </w:rPr>
        <w:t xml:space="preserve">JHU responded to </w:t>
      </w:r>
      <w:r w:rsidR="001E616C">
        <w:rPr>
          <w:rFonts w:cstheme="minorHAnsi"/>
        </w:rPr>
        <w:t>NIH’s first</w:t>
      </w:r>
      <w:r w:rsidR="00954533" w:rsidRPr="001E616C">
        <w:rPr>
          <w:rFonts w:cstheme="minorHAnsi"/>
        </w:rPr>
        <w:t xml:space="preserve"> </w:t>
      </w:r>
      <w:r w:rsidR="00E87D6F" w:rsidRPr="001E616C">
        <w:rPr>
          <w:rFonts w:asciiTheme="minorHAnsi" w:eastAsiaTheme="minorHAnsi" w:hAnsiTheme="minorHAnsi" w:cstheme="minorHAnsi"/>
        </w:rPr>
        <w:t xml:space="preserve">comments </w:t>
      </w:r>
      <w:r w:rsidR="00A44338">
        <w:rPr>
          <w:rFonts w:asciiTheme="minorHAnsi" w:eastAsiaTheme="minorHAnsi" w:hAnsiTheme="minorHAnsi" w:cstheme="minorHAnsi"/>
        </w:rPr>
        <w:t>within 25 days</w:t>
      </w:r>
      <w:r w:rsidR="00954533" w:rsidRPr="001E616C">
        <w:rPr>
          <w:rFonts w:asciiTheme="minorHAnsi" w:eastAsiaTheme="minorHAnsi" w:hAnsiTheme="minorHAnsi" w:cstheme="minorHAnsi"/>
        </w:rPr>
        <w:t xml:space="preserve"> </w:t>
      </w:r>
      <w:r w:rsidR="00E87D6F" w:rsidRPr="001E616C">
        <w:rPr>
          <w:rFonts w:asciiTheme="minorHAnsi" w:eastAsiaTheme="minorHAnsi" w:hAnsiTheme="minorHAnsi" w:cstheme="minorHAnsi"/>
        </w:rPr>
        <w:t xml:space="preserve">for </w:t>
      </w:r>
      <w:r w:rsidR="00613666" w:rsidRPr="001E616C">
        <w:rPr>
          <w:rFonts w:asciiTheme="minorHAnsi" w:eastAsiaTheme="minorHAnsi" w:hAnsiTheme="minorHAnsi" w:cstheme="minorHAnsi"/>
        </w:rPr>
        <w:t>47</w:t>
      </w:r>
      <w:r w:rsidR="00E87D6F" w:rsidRPr="001E616C">
        <w:rPr>
          <w:rFonts w:asciiTheme="minorHAnsi" w:eastAsiaTheme="minorHAnsi" w:hAnsiTheme="minorHAnsi" w:cstheme="minorHAnsi"/>
        </w:rPr>
        <w:t>/</w:t>
      </w:r>
      <w:r w:rsidR="00613666" w:rsidRPr="001E616C">
        <w:rPr>
          <w:rFonts w:asciiTheme="minorHAnsi" w:eastAsiaTheme="minorHAnsi" w:hAnsiTheme="minorHAnsi" w:cstheme="minorHAnsi"/>
        </w:rPr>
        <w:t>62 (76%)</w:t>
      </w:r>
      <w:r w:rsidR="001E616C">
        <w:rPr>
          <w:rFonts w:asciiTheme="minorHAnsi" w:eastAsiaTheme="minorHAnsi" w:hAnsiTheme="minorHAnsi" w:cstheme="minorHAnsi"/>
        </w:rPr>
        <w:t xml:space="preserve"> pACTs</w:t>
      </w:r>
      <w:r w:rsidR="00A75E53" w:rsidRPr="001E616C">
        <w:rPr>
          <w:rFonts w:asciiTheme="minorHAnsi" w:eastAsiaTheme="minorHAnsi" w:hAnsiTheme="minorHAnsi" w:cstheme="minorHAnsi"/>
        </w:rPr>
        <w:t>.</w:t>
      </w:r>
      <w:r w:rsidR="00E87D6F" w:rsidRPr="001E616C">
        <w:rPr>
          <w:rFonts w:asciiTheme="minorHAnsi" w:eastAsiaTheme="minorHAnsi" w:hAnsiTheme="minorHAnsi" w:cstheme="minorHAnsi"/>
        </w:rPr>
        <w:t xml:space="preserve"> </w:t>
      </w:r>
      <w:r w:rsidR="00A75E53" w:rsidRPr="001E616C">
        <w:rPr>
          <w:rFonts w:asciiTheme="minorHAnsi" w:eastAsiaTheme="minorHAnsi" w:hAnsiTheme="minorHAnsi" w:cstheme="minorHAnsi"/>
        </w:rPr>
        <w:t xml:space="preserve">NIH posted </w:t>
      </w:r>
      <w:r w:rsidR="00A75E53" w:rsidRPr="001E616C">
        <w:rPr>
          <w:rFonts w:asciiTheme="minorHAnsi" w:hAnsiTheme="minorHAnsi" w:cstheme="minorHAnsi"/>
        </w:rPr>
        <w:t xml:space="preserve">6/73 (8%) pACTs within 30 days of </w:t>
      </w:r>
      <w:r w:rsidR="004C59D6">
        <w:rPr>
          <w:rFonts w:asciiTheme="minorHAnsi" w:hAnsiTheme="minorHAnsi" w:cstheme="minorHAnsi"/>
        </w:rPr>
        <w:t xml:space="preserve">first </w:t>
      </w:r>
      <w:r w:rsidR="00A75E53" w:rsidRPr="001E616C">
        <w:rPr>
          <w:rFonts w:asciiTheme="minorHAnsi" w:hAnsiTheme="minorHAnsi" w:cstheme="minorHAnsi"/>
        </w:rPr>
        <w:t xml:space="preserve">submission. </w:t>
      </w:r>
      <w:r w:rsidR="00402C1C" w:rsidRPr="001E616C">
        <w:rPr>
          <w:rFonts w:asciiTheme="minorHAnsi" w:hAnsiTheme="minorHAnsi" w:cstheme="minorHAnsi"/>
        </w:rPr>
        <w:t xml:space="preserve">On average, </w:t>
      </w:r>
      <w:r w:rsidR="001441C9" w:rsidRPr="001E616C">
        <w:rPr>
          <w:rFonts w:asciiTheme="minorHAnsi" w:hAnsiTheme="minorHAnsi" w:cstheme="minorHAnsi"/>
        </w:rPr>
        <w:t>pACTs were</w:t>
      </w:r>
      <w:r w:rsidR="000A0341" w:rsidRPr="001E616C">
        <w:rPr>
          <w:rFonts w:asciiTheme="minorHAnsi" w:hAnsiTheme="minorHAnsi" w:cstheme="minorHAnsi"/>
        </w:rPr>
        <w:t xml:space="preserve"> posted 79.15 (42.16) </w:t>
      </w:r>
      <w:r w:rsidR="00402C1C" w:rsidRPr="001E616C">
        <w:rPr>
          <w:rFonts w:asciiTheme="minorHAnsi" w:hAnsiTheme="minorHAnsi" w:cstheme="minorHAnsi"/>
        </w:rPr>
        <w:t xml:space="preserve">days </w:t>
      </w:r>
      <w:r w:rsidR="004B70A3" w:rsidRPr="001E616C">
        <w:rPr>
          <w:rFonts w:asciiTheme="minorHAnsi" w:hAnsiTheme="minorHAnsi" w:cstheme="minorHAnsi"/>
        </w:rPr>
        <w:t>after</w:t>
      </w:r>
      <w:r w:rsidR="004B70A3">
        <w:rPr>
          <w:rFonts w:asciiTheme="minorHAnsi" w:hAnsiTheme="minorHAnsi" w:cstheme="minorHAnsi"/>
        </w:rPr>
        <w:t xml:space="preserve"> first submission;</w:t>
      </w:r>
      <w:r w:rsidR="004B70A3" w:rsidRPr="001E616C">
        <w:rPr>
          <w:rFonts w:asciiTheme="minorHAnsi" w:hAnsiTheme="minorHAnsi" w:cstheme="minorHAnsi"/>
        </w:rPr>
        <w:t xml:space="preserve"> </w:t>
      </w:r>
      <w:r w:rsidR="001441C9" w:rsidRPr="001E616C">
        <w:rPr>
          <w:rFonts w:asciiTheme="minorHAnsi" w:hAnsiTheme="minorHAnsi" w:cstheme="minorHAnsi"/>
        </w:rPr>
        <w:t xml:space="preserve">non-ACTs were posted after </w:t>
      </w:r>
      <w:r w:rsidR="000A0341" w:rsidRPr="001E616C">
        <w:rPr>
          <w:rFonts w:asciiTheme="minorHAnsi" w:hAnsiTheme="minorHAnsi" w:cstheme="minorHAnsi"/>
        </w:rPr>
        <w:t>204.73 (149.21) days</w:t>
      </w:r>
      <w:r w:rsidR="00402C1C" w:rsidRPr="001E616C">
        <w:rPr>
          <w:rFonts w:asciiTheme="minorHAnsi" w:hAnsiTheme="minorHAnsi" w:cstheme="minorHAnsi"/>
        </w:rPr>
        <w:t xml:space="preserve"> </w:t>
      </w:r>
      <w:r w:rsidR="00C9250A" w:rsidRPr="001E616C">
        <w:rPr>
          <w:rFonts w:asciiTheme="minorHAnsi" w:hAnsiTheme="minorHAnsi" w:cstheme="minorHAnsi"/>
        </w:rPr>
        <w:t>(Figure 1</w:t>
      </w:r>
      <w:r w:rsidR="000A0341" w:rsidRPr="001E616C">
        <w:rPr>
          <w:rFonts w:asciiTheme="minorHAnsi" w:hAnsiTheme="minorHAnsi" w:cstheme="minorHAnsi"/>
        </w:rPr>
        <w:t>).</w:t>
      </w:r>
    </w:p>
    <w:p w14:paraId="04C75C81" w14:textId="77777777" w:rsidR="00E8114C" w:rsidRPr="001E616C" w:rsidRDefault="00E8114C" w:rsidP="00CD7285">
      <w:pPr>
        <w:pStyle w:val="ListParagraph"/>
        <w:ind w:left="0"/>
        <w:rPr>
          <w:rFonts w:asciiTheme="minorHAnsi" w:hAnsiTheme="minorHAnsi" w:cstheme="minorHAnsi"/>
        </w:rPr>
      </w:pPr>
    </w:p>
    <w:p w14:paraId="6F346FB1" w14:textId="0E02FD9C" w:rsidR="00391EB6" w:rsidRPr="003F5781" w:rsidRDefault="004B4D27" w:rsidP="00954533">
      <w:pPr>
        <w:rPr>
          <w:rFonts w:cstheme="minorHAnsi"/>
        </w:rPr>
      </w:pPr>
      <w:r w:rsidRPr="001E616C">
        <w:rPr>
          <w:rFonts w:cstheme="minorHAnsi"/>
        </w:rPr>
        <w:t>In 2018</w:t>
      </w:r>
      <w:r w:rsidR="00BD1E7B">
        <w:rPr>
          <w:rFonts w:cstheme="minorHAnsi"/>
        </w:rPr>
        <w:t>,</w:t>
      </w:r>
      <w:r w:rsidRPr="001E616C">
        <w:rPr>
          <w:rFonts w:cstheme="minorHAnsi"/>
        </w:rPr>
        <w:t xml:space="preserve"> JHU </w:t>
      </w:r>
      <w:r w:rsidR="0001604A" w:rsidRPr="001E616C">
        <w:rPr>
          <w:rFonts w:cstheme="minorHAnsi"/>
        </w:rPr>
        <w:t>submitted</w:t>
      </w:r>
      <w:r w:rsidRPr="001E616C">
        <w:rPr>
          <w:rFonts w:cstheme="minorHAnsi"/>
        </w:rPr>
        <w:t xml:space="preserve"> 33 records, including 24/33 (73%) pACT</w:t>
      </w:r>
      <w:r w:rsidR="00402C1C" w:rsidRPr="001E616C">
        <w:rPr>
          <w:rFonts w:cstheme="minorHAnsi"/>
        </w:rPr>
        <w:t>s</w:t>
      </w:r>
      <w:r w:rsidRPr="001E616C">
        <w:rPr>
          <w:rFonts w:cstheme="minorHAnsi"/>
        </w:rPr>
        <w:t xml:space="preserve"> and 9/33 (27%) non-ACT</w:t>
      </w:r>
      <w:r w:rsidR="00402C1C" w:rsidRPr="001E616C">
        <w:rPr>
          <w:rFonts w:cstheme="minorHAnsi"/>
        </w:rPr>
        <w:t>s</w:t>
      </w:r>
      <w:r w:rsidRPr="001E616C">
        <w:rPr>
          <w:rFonts w:cstheme="minorHAnsi"/>
        </w:rPr>
        <w:t>.</w:t>
      </w:r>
      <w:r w:rsidR="00E87D6F" w:rsidRPr="001E616C">
        <w:rPr>
          <w:rFonts w:cstheme="minorHAnsi"/>
        </w:rPr>
        <w:t xml:space="preserve"> </w:t>
      </w:r>
      <w:r w:rsidR="004B70A3">
        <w:rPr>
          <w:rFonts w:cstheme="minorHAnsi"/>
        </w:rPr>
        <w:t>B</w:t>
      </w:r>
      <w:r w:rsidR="004B70A3" w:rsidRPr="001E616C">
        <w:rPr>
          <w:rFonts w:cstheme="minorHAnsi"/>
        </w:rPr>
        <w:t>y January 7, 2019</w:t>
      </w:r>
      <w:r w:rsidR="004B70A3">
        <w:rPr>
          <w:rFonts w:cstheme="minorHAnsi"/>
        </w:rPr>
        <w:t xml:space="preserve">, </w:t>
      </w:r>
      <w:r w:rsidRPr="001E616C">
        <w:rPr>
          <w:rFonts w:cstheme="minorHAnsi"/>
        </w:rPr>
        <w:t>31/33 (94%) had been posted.</w:t>
      </w:r>
      <w:r w:rsidR="00E87D6F" w:rsidRPr="001E616C">
        <w:rPr>
          <w:rFonts w:cstheme="minorHAnsi"/>
        </w:rPr>
        <w:t xml:space="preserve"> </w:t>
      </w:r>
      <w:r w:rsidR="00402C1C" w:rsidRPr="001E616C">
        <w:rPr>
          <w:rFonts w:cstheme="minorHAnsi"/>
        </w:rPr>
        <w:t xml:space="preserve">JHU submitted </w:t>
      </w:r>
      <w:r w:rsidR="00043E3D">
        <w:rPr>
          <w:rFonts w:cstheme="minorHAnsi"/>
        </w:rPr>
        <w:t>records</w:t>
      </w:r>
      <w:r w:rsidR="00043E3D" w:rsidRPr="001E616C">
        <w:rPr>
          <w:rFonts w:cstheme="minorHAnsi"/>
        </w:rPr>
        <w:t xml:space="preserve"> </w:t>
      </w:r>
      <w:r w:rsidR="00402C1C" w:rsidRPr="001E616C">
        <w:rPr>
          <w:rFonts w:cstheme="minorHAnsi"/>
        </w:rPr>
        <w:t xml:space="preserve">up to </w:t>
      </w:r>
      <w:proofErr w:type="gramStart"/>
      <w:r w:rsidR="00C538C2" w:rsidRPr="001E616C">
        <w:rPr>
          <w:rFonts w:cstheme="minorHAnsi"/>
        </w:rPr>
        <w:t>3</w:t>
      </w:r>
      <w:proofErr w:type="gramEnd"/>
      <w:r w:rsidR="00402C1C" w:rsidRPr="001E616C">
        <w:rPr>
          <w:rFonts w:cstheme="minorHAnsi"/>
        </w:rPr>
        <w:t xml:space="preserve"> times</w:t>
      </w:r>
      <w:r w:rsidR="00C538C2" w:rsidRPr="001E616C">
        <w:rPr>
          <w:rFonts w:cstheme="minorHAnsi"/>
        </w:rPr>
        <w:t xml:space="preserve"> </w:t>
      </w:r>
      <w:r w:rsidR="00402C1C" w:rsidRPr="001E616C">
        <w:rPr>
          <w:rFonts w:cstheme="minorHAnsi"/>
        </w:rPr>
        <w:t>(mean=</w:t>
      </w:r>
      <w:r w:rsidR="00D15BAB" w:rsidRPr="001E616C">
        <w:rPr>
          <w:rFonts w:cstheme="minorHAnsi"/>
        </w:rPr>
        <w:t>2.19</w:t>
      </w:r>
      <w:r w:rsidR="00402C1C" w:rsidRPr="001E616C">
        <w:rPr>
          <w:rFonts w:cstheme="minorHAnsi"/>
        </w:rPr>
        <w:t xml:space="preserve">, </w:t>
      </w:r>
      <w:r w:rsidR="00073B62">
        <w:rPr>
          <w:rFonts w:cstheme="minorHAnsi"/>
        </w:rPr>
        <w:t>SD</w:t>
      </w:r>
      <w:r w:rsidR="00402C1C" w:rsidRPr="001E616C">
        <w:rPr>
          <w:rFonts w:cstheme="minorHAnsi"/>
        </w:rPr>
        <w:t>=</w:t>
      </w:r>
      <w:r w:rsidR="00D15BAB" w:rsidRPr="001E616C">
        <w:rPr>
          <w:rFonts w:cstheme="minorHAnsi"/>
        </w:rPr>
        <w:t>0.60</w:t>
      </w:r>
      <w:r w:rsidR="00402C1C" w:rsidRPr="001E616C">
        <w:rPr>
          <w:rFonts w:cstheme="minorHAnsi"/>
        </w:rPr>
        <w:t>)</w:t>
      </w:r>
      <w:r w:rsidR="00C538C2" w:rsidRPr="001E616C">
        <w:rPr>
          <w:rFonts w:cstheme="minorHAnsi"/>
        </w:rPr>
        <w:t>.</w:t>
      </w:r>
      <w:r w:rsidR="00E87D6F" w:rsidRPr="001E616C">
        <w:rPr>
          <w:rFonts w:cstheme="minorHAnsi"/>
        </w:rPr>
        <w:t xml:space="preserve"> </w:t>
      </w:r>
      <w:r w:rsidR="000A0341" w:rsidRPr="001E616C">
        <w:rPr>
          <w:rFonts w:cstheme="minorHAnsi"/>
        </w:rPr>
        <w:t xml:space="preserve">Results for </w:t>
      </w:r>
      <w:r w:rsidR="00C538C2" w:rsidRPr="001E616C">
        <w:rPr>
          <w:rFonts w:cstheme="minorHAnsi"/>
        </w:rPr>
        <w:t>1/24</w:t>
      </w:r>
      <w:r w:rsidR="000A0341" w:rsidRPr="001E616C">
        <w:rPr>
          <w:rFonts w:cstheme="minorHAnsi"/>
        </w:rPr>
        <w:t xml:space="preserve"> (</w:t>
      </w:r>
      <w:r w:rsidR="00C538C2" w:rsidRPr="001E616C">
        <w:rPr>
          <w:rFonts w:cstheme="minorHAnsi"/>
        </w:rPr>
        <w:t>4</w:t>
      </w:r>
      <w:r w:rsidR="000A0341" w:rsidRPr="001E616C">
        <w:rPr>
          <w:rFonts w:cstheme="minorHAnsi"/>
        </w:rPr>
        <w:t>%) pACTs</w:t>
      </w:r>
      <w:r w:rsidR="00954533" w:rsidRPr="001E616C">
        <w:rPr>
          <w:rFonts w:cstheme="minorHAnsi"/>
        </w:rPr>
        <w:t xml:space="preserve"> and</w:t>
      </w:r>
      <w:r w:rsidR="00585B5C" w:rsidRPr="001E616C">
        <w:rPr>
          <w:rFonts w:cstheme="minorHAnsi"/>
        </w:rPr>
        <w:t xml:space="preserve"> </w:t>
      </w:r>
      <w:r w:rsidR="00954533" w:rsidRPr="001E616C">
        <w:rPr>
          <w:rFonts w:cstheme="minorHAnsi"/>
        </w:rPr>
        <w:t>2/9 (22%)</w:t>
      </w:r>
      <w:r w:rsidR="00954533">
        <w:rPr>
          <w:rFonts w:cstheme="minorHAnsi"/>
        </w:rPr>
        <w:t xml:space="preserve"> non-ACTs </w:t>
      </w:r>
      <w:r w:rsidR="00585B5C" w:rsidRPr="00585B5C">
        <w:rPr>
          <w:rFonts w:cstheme="minorHAnsi"/>
        </w:rPr>
        <w:t xml:space="preserve">were posted without </w:t>
      </w:r>
      <w:r w:rsidR="004C59D6">
        <w:rPr>
          <w:rFonts w:cstheme="minorHAnsi"/>
        </w:rPr>
        <w:t xml:space="preserve">NIH </w:t>
      </w:r>
      <w:r w:rsidR="00585B5C" w:rsidRPr="00585B5C">
        <w:rPr>
          <w:rFonts w:cstheme="minorHAnsi"/>
        </w:rPr>
        <w:t>comments</w:t>
      </w:r>
      <w:r w:rsidR="00954533">
        <w:rPr>
          <w:rFonts w:cstheme="minorHAnsi"/>
        </w:rPr>
        <w:t xml:space="preserve">. </w:t>
      </w:r>
      <w:r w:rsidR="00621E51">
        <w:rPr>
          <w:rFonts w:cstheme="minorHAnsi"/>
        </w:rPr>
        <w:t>Of the pAC</w:t>
      </w:r>
      <w:r w:rsidR="006A54C0">
        <w:rPr>
          <w:rFonts w:cstheme="minorHAnsi"/>
        </w:rPr>
        <w:t>T</w:t>
      </w:r>
      <w:r w:rsidR="00621E51">
        <w:rPr>
          <w:rFonts w:cstheme="minorHAnsi"/>
        </w:rPr>
        <w:t xml:space="preserve">s </w:t>
      </w:r>
      <w:r w:rsidR="004C59D6">
        <w:rPr>
          <w:rFonts w:cstheme="minorHAnsi"/>
        </w:rPr>
        <w:t xml:space="preserve">receiving </w:t>
      </w:r>
      <w:r w:rsidR="00621E51">
        <w:rPr>
          <w:rFonts w:cstheme="minorHAnsi"/>
        </w:rPr>
        <w:t xml:space="preserve">comments, JHU responded to </w:t>
      </w:r>
      <w:r w:rsidR="004C59D6">
        <w:rPr>
          <w:rFonts w:cstheme="minorHAnsi"/>
        </w:rPr>
        <w:t xml:space="preserve">NIH’s </w:t>
      </w:r>
      <w:r w:rsidR="00954533">
        <w:rPr>
          <w:rFonts w:cstheme="minorHAnsi"/>
        </w:rPr>
        <w:t xml:space="preserve">first comments within 25 days </w:t>
      </w:r>
      <w:r w:rsidR="00621E51">
        <w:rPr>
          <w:rFonts w:cstheme="minorHAnsi"/>
        </w:rPr>
        <w:t xml:space="preserve">for 19/23 (83%). </w:t>
      </w:r>
      <w:r w:rsidR="00954533">
        <w:rPr>
          <w:rFonts w:cstheme="minorHAnsi"/>
        </w:rPr>
        <w:t>The only pACT</w:t>
      </w:r>
      <w:r w:rsidR="00A75E53">
        <w:rPr>
          <w:rFonts w:cstheme="minorHAnsi"/>
        </w:rPr>
        <w:t xml:space="preserve"> that</w:t>
      </w:r>
      <w:r w:rsidR="00954533">
        <w:rPr>
          <w:rFonts w:cstheme="minorHAnsi"/>
        </w:rPr>
        <w:t xml:space="preserve"> </w:t>
      </w:r>
      <w:r w:rsidR="00621E51">
        <w:rPr>
          <w:rFonts w:cstheme="minorHAnsi"/>
        </w:rPr>
        <w:t>NIH pos</w:t>
      </w:r>
      <w:r w:rsidR="00E5151D">
        <w:rPr>
          <w:rFonts w:cstheme="minorHAnsi"/>
        </w:rPr>
        <w:t>ted within 30 days</w:t>
      </w:r>
      <w:r w:rsidR="00954533">
        <w:rPr>
          <w:rFonts w:cstheme="minorHAnsi"/>
        </w:rPr>
        <w:t xml:space="preserve"> was the pACT without comments</w:t>
      </w:r>
      <w:r w:rsidR="00D61E66">
        <w:rPr>
          <w:rFonts w:cstheme="minorHAnsi"/>
        </w:rPr>
        <w:t xml:space="preserve"> (</w:t>
      </w:r>
      <w:r w:rsidR="00D61E66" w:rsidRPr="001E616C">
        <w:rPr>
          <w:rFonts w:cstheme="minorHAnsi"/>
        </w:rPr>
        <w:t>1/24</w:t>
      </w:r>
      <w:r w:rsidR="00D61E66">
        <w:rPr>
          <w:rFonts w:cstheme="minorHAnsi"/>
        </w:rPr>
        <w:t xml:space="preserve">, </w:t>
      </w:r>
      <w:r w:rsidR="00D61E66" w:rsidRPr="001E616C">
        <w:rPr>
          <w:rFonts w:cstheme="minorHAnsi"/>
        </w:rPr>
        <w:t>4%)</w:t>
      </w:r>
      <w:r w:rsidR="00621E51">
        <w:rPr>
          <w:rFonts w:cstheme="minorHAnsi"/>
        </w:rPr>
        <w:t>.</w:t>
      </w:r>
      <w:r w:rsidR="00954533">
        <w:rPr>
          <w:rFonts w:cstheme="minorHAnsi"/>
        </w:rPr>
        <w:t xml:space="preserve"> </w:t>
      </w:r>
      <w:r w:rsidR="00350F92">
        <w:rPr>
          <w:rFonts w:cstheme="minorHAnsi"/>
        </w:rPr>
        <w:t xml:space="preserve">On average, pACTs were posted </w:t>
      </w:r>
      <w:r w:rsidR="00391EB6">
        <w:rPr>
          <w:rFonts w:cstheme="minorHAnsi"/>
        </w:rPr>
        <w:t>67.33</w:t>
      </w:r>
      <w:r w:rsidR="000A0341">
        <w:rPr>
          <w:rFonts w:cstheme="minorHAnsi"/>
        </w:rPr>
        <w:t xml:space="preserve"> (</w:t>
      </w:r>
      <w:r w:rsidR="00391EB6">
        <w:rPr>
          <w:rFonts w:cstheme="minorHAnsi"/>
        </w:rPr>
        <w:t>29.14</w:t>
      </w:r>
      <w:r w:rsidR="00E5151D">
        <w:rPr>
          <w:rFonts w:cstheme="minorHAnsi"/>
        </w:rPr>
        <w:t>) days</w:t>
      </w:r>
      <w:r w:rsidR="004B70A3">
        <w:rPr>
          <w:rFonts w:cstheme="minorHAnsi"/>
        </w:rPr>
        <w:t xml:space="preserve"> </w:t>
      </w:r>
      <w:r w:rsidR="00C56599">
        <w:rPr>
          <w:rFonts w:cstheme="minorHAnsi"/>
        </w:rPr>
        <w:t xml:space="preserve">and </w:t>
      </w:r>
      <w:r w:rsidR="00350F92">
        <w:rPr>
          <w:rFonts w:cstheme="minorHAnsi"/>
        </w:rPr>
        <w:t>non-ACTs were posted after</w:t>
      </w:r>
      <w:r w:rsidR="000A0341">
        <w:rPr>
          <w:rFonts w:cstheme="minorHAnsi"/>
        </w:rPr>
        <w:t xml:space="preserve"> </w:t>
      </w:r>
      <w:r w:rsidR="00391EB6">
        <w:rPr>
          <w:rFonts w:cstheme="minorHAnsi"/>
        </w:rPr>
        <w:t>94.86</w:t>
      </w:r>
      <w:r w:rsidR="000A0341">
        <w:rPr>
          <w:rFonts w:cstheme="minorHAnsi"/>
        </w:rPr>
        <w:t xml:space="preserve"> (</w:t>
      </w:r>
      <w:r w:rsidR="00391EB6">
        <w:rPr>
          <w:rFonts w:cstheme="minorHAnsi"/>
        </w:rPr>
        <w:t>98.49</w:t>
      </w:r>
      <w:r w:rsidR="000A0341">
        <w:rPr>
          <w:rFonts w:cstheme="minorHAnsi"/>
        </w:rPr>
        <w:t xml:space="preserve">) days </w:t>
      </w:r>
      <w:r w:rsidR="000A0341" w:rsidRPr="00CD7285">
        <w:rPr>
          <w:rFonts w:cstheme="minorHAnsi"/>
        </w:rPr>
        <w:t>(Figure 1</w:t>
      </w:r>
      <w:r w:rsidR="000A0341">
        <w:rPr>
          <w:rFonts w:cstheme="minorHAnsi"/>
        </w:rPr>
        <w:t>).</w:t>
      </w:r>
    </w:p>
    <w:p w14:paraId="49ADC74C" w14:textId="77777777" w:rsidR="002E681B" w:rsidRDefault="00002BFA" w:rsidP="003F5781">
      <w:pPr>
        <w:spacing w:after="0"/>
        <w:rPr>
          <w:rFonts w:cstheme="minorHAnsi"/>
          <w:b/>
        </w:rPr>
      </w:pPr>
      <w:r w:rsidRPr="00CD7285">
        <w:rPr>
          <w:rFonts w:cstheme="minorHAnsi"/>
          <w:b/>
        </w:rPr>
        <w:t>Discussion</w:t>
      </w:r>
    </w:p>
    <w:p w14:paraId="31AEF867" w14:textId="77777777" w:rsidR="00742448" w:rsidRDefault="00820EC8" w:rsidP="00CD7285">
      <w:pPr>
        <w:spacing w:after="0" w:line="240" w:lineRule="auto"/>
        <w:rPr>
          <w:rFonts w:cstheme="minorHAnsi"/>
        </w:rPr>
      </w:pPr>
      <w:r w:rsidRPr="00CD7285">
        <w:rPr>
          <w:rFonts w:cstheme="minorHAnsi"/>
        </w:rPr>
        <w:t>Multiple submission</w:t>
      </w:r>
      <w:r w:rsidR="005E5DD0">
        <w:rPr>
          <w:rFonts w:cstheme="minorHAnsi"/>
        </w:rPr>
        <w:t xml:space="preserve"> cycle</w:t>
      </w:r>
      <w:r w:rsidR="00D61E66">
        <w:rPr>
          <w:rFonts w:cstheme="minorHAnsi"/>
        </w:rPr>
        <w:t>s</w:t>
      </w:r>
      <w:r w:rsidRPr="00CD7285">
        <w:rPr>
          <w:rFonts w:cstheme="minorHAnsi"/>
        </w:rPr>
        <w:t xml:space="preserve"> </w:t>
      </w:r>
      <w:r w:rsidR="00350F92">
        <w:rPr>
          <w:rFonts w:cstheme="minorHAnsi"/>
        </w:rPr>
        <w:t xml:space="preserve">and </w:t>
      </w:r>
      <w:r w:rsidR="00D61E66">
        <w:rPr>
          <w:rFonts w:cstheme="minorHAnsi"/>
        </w:rPr>
        <w:t>lengthy</w:t>
      </w:r>
      <w:r w:rsidR="00350F92">
        <w:rPr>
          <w:rFonts w:cstheme="minorHAnsi"/>
        </w:rPr>
        <w:t xml:space="preserve"> NIH review</w:t>
      </w:r>
      <w:r w:rsidRPr="00CD7285">
        <w:rPr>
          <w:rFonts w:cstheme="minorHAnsi"/>
        </w:rPr>
        <w:t xml:space="preserve"> delayed posting </w:t>
      </w:r>
      <w:r w:rsidR="005E5DD0">
        <w:rPr>
          <w:rFonts w:cstheme="minorHAnsi"/>
        </w:rPr>
        <w:t xml:space="preserve">of clinical trial </w:t>
      </w:r>
      <w:r w:rsidRPr="00CD7285">
        <w:rPr>
          <w:rFonts w:cstheme="minorHAnsi"/>
        </w:rPr>
        <w:t>results</w:t>
      </w:r>
      <w:r w:rsidR="004F3AF0" w:rsidRPr="00CD7285">
        <w:rPr>
          <w:rFonts w:cstheme="minorHAnsi"/>
        </w:rPr>
        <w:t>.</w:t>
      </w:r>
      <w:r w:rsidRPr="00CD7285">
        <w:rPr>
          <w:rFonts w:cstheme="minorHAnsi"/>
        </w:rPr>
        <w:t xml:space="preserve"> </w:t>
      </w:r>
      <w:r w:rsidR="00140B4A">
        <w:rPr>
          <w:rFonts w:cstheme="minorHAnsi"/>
        </w:rPr>
        <w:t xml:space="preserve">NIH posted few results within 30 days. </w:t>
      </w:r>
      <w:r w:rsidR="00350F92">
        <w:rPr>
          <w:rFonts w:cstheme="minorHAnsi"/>
        </w:rPr>
        <w:t xml:space="preserve">The duration of NIH review was </w:t>
      </w:r>
      <w:r w:rsidR="005E5DD0">
        <w:rPr>
          <w:rFonts w:cstheme="minorHAnsi"/>
        </w:rPr>
        <w:t>unpredictable</w:t>
      </w:r>
      <w:r w:rsidR="00EF2B29">
        <w:rPr>
          <w:rFonts w:cstheme="minorHAnsi"/>
        </w:rPr>
        <w:t>,</w:t>
      </w:r>
      <w:r w:rsidR="00750047">
        <w:rPr>
          <w:rFonts w:cstheme="minorHAnsi"/>
        </w:rPr>
        <w:t xml:space="preserve"> </w:t>
      </w:r>
      <w:r w:rsidR="00B44E91">
        <w:rPr>
          <w:rFonts w:cstheme="minorHAnsi"/>
        </w:rPr>
        <w:t xml:space="preserve">and </w:t>
      </w:r>
      <w:r w:rsidR="00140B4A">
        <w:rPr>
          <w:rFonts w:cstheme="minorHAnsi"/>
        </w:rPr>
        <w:t>greatly</w:t>
      </w:r>
      <w:r w:rsidR="00B44E91">
        <w:rPr>
          <w:rFonts w:cstheme="minorHAnsi"/>
        </w:rPr>
        <w:t xml:space="preserve"> exceeded the maximum time allowed t</w:t>
      </w:r>
      <w:r w:rsidR="009E313D">
        <w:rPr>
          <w:rFonts w:cstheme="minorHAnsi"/>
        </w:rPr>
        <w:t xml:space="preserve">o post results </w:t>
      </w:r>
      <w:r w:rsidR="00350F92">
        <w:rPr>
          <w:rFonts w:cstheme="minorHAnsi"/>
        </w:rPr>
        <w:t>(Table 1)</w:t>
      </w:r>
      <w:r w:rsidR="00B44E91">
        <w:rPr>
          <w:rFonts w:cstheme="minorHAnsi"/>
        </w:rPr>
        <w:t>.</w:t>
      </w:r>
      <w:r w:rsidR="00140B4A" w:rsidRPr="00140B4A">
        <w:rPr>
          <w:rFonts w:cstheme="minorHAnsi"/>
          <w:vertAlign w:val="superscript"/>
        </w:rPr>
        <w:t>1</w:t>
      </w:r>
      <w:proofErr w:type="gramStart"/>
      <w:r w:rsidR="00140B4A" w:rsidRPr="00140B4A">
        <w:rPr>
          <w:rFonts w:cstheme="minorHAnsi"/>
          <w:vertAlign w:val="superscript"/>
        </w:rPr>
        <w:t>,3</w:t>
      </w:r>
      <w:proofErr w:type="gramEnd"/>
      <w:r w:rsidR="00350F92">
        <w:rPr>
          <w:rFonts w:cstheme="minorHAnsi"/>
        </w:rPr>
        <w:t xml:space="preserve"> </w:t>
      </w:r>
    </w:p>
    <w:p w14:paraId="2AC37AF7" w14:textId="4668E3FD" w:rsidR="00421021" w:rsidRDefault="00B51FFE" w:rsidP="00CD7285">
      <w:pPr>
        <w:spacing w:after="0" w:line="240" w:lineRule="auto"/>
        <w:rPr>
          <w:rFonts w:cstheme="minorHAnsi"/>
        </w:rPr>
      </w:pPr>
      <w:r w:rsidRPr="00CD7285">
        <w:rPr>
          <w:rFonts w:cstheme="minorHAnsi"/>
        </w:rPr>
        <w:t>O</w:t>
      </w:r>
      <w:r w:rsidR="00CB40D5">
        <w:rPr>
          <w:rFonts w:cstheme="minorHAnsi"/>
        </w:rPr>
        <w:t xml:space="preserve">ur </w:t>
      </w:r>
      <w:r w:rsidR="00550B0F" w:rsidRPr="00CD7285">
        <w:rPr>
          <w:rFonts w:cstheme="minorHAnsi"/>
        </w:rPr>
        <w:t xml:space="preserve">analysis underestimates the time to </w:t>
      </w:r>
      <w:r w:rsidR="005E5DD0">
        <w:rPr>
          <w:rFonts w:cstheme="minorHAnsi"/>
        </w:rPr>
        <w:t>post</w:t>
      </w:r>
      <w:r w:rsidR="005E5DD0" w:rsidRPr="00CD7285">
        <w:rPr>
          <w:rFonts w:cstheme="minorHAnsi"/>
        </w:rPr>
        <w:t xml:space="preserve"> </w:t>
      </w:r>
      <w:r w:rsidR="00742448">
        <w:rPr>
          <w:rFonts w:cstheme="minorHAnsi"/>
        </w:rPr>
        <w:t xml:space="preserve">non-ACT </w:t>
      </w:r>
      <w:r w:rsidR="00550B0F" w:rsidRPr="00CD7285">
        <w:rPr>
          <w:rFonts w:cstheme="minorHAnsi"/>
        </w:rPr>
        <w:t>results</w:t>
      </w:r>
      <w:r w:rsidRPr="00CD7285">
        <w:rPr>
          <w:rFonts w:cstheme="minorHAnsi"/>
        </w:rPr>
        <w:t xml:space="preserve"> because </w:t>
      </w:r>
      <w:r w:rsidR="00EF2B29">
        <w:rPr>
          <w:rFonts w:cstheme="minorHAnsi"/>
        </w:rPr>
        <w:t xml:space="preserve">four </w:t>
      </w:r>
      <w:r w:rsidR="00361DEF">
        <w:rPr>
          <w:rFonts w:cstheme="minorHAnsi"/>
        </w:rPr>
        <w:t xml:space="preserve">records submitted in </w:t>
      </w:r>
      <w:r w:rsidR="005E5DD0">
        <w:rPr>
          <w:rFonts w:cstheme="minorHAnsi"/>
        </w:rPr>
        <w:t xml:space="preserve">2017 and </w:t>
      </w:r>
      <w:r w:rsidR="00EF2B29">
        <w:rPr>
          <w:rFonts w:cstheme="minorHAnsi"/>
        </w:rPr>
        <w:t xml:space="preserve">two </w:t>
      </w:r>
      <w:r w:rsidR="00C56599">
        <w:rPr>
          <w:rFonts w:cstheme="minorHAnsi"/>
        </w:rPr>
        <w:t>records</w:t>
      </w:r>
      <w:r w:rsidR="00361DEF">
        <w:rPr>
          <w:rFonts w:cstheme="minorHAnsi"/>
        </w:rPr>
        <w:t xml:space="preserve"> submitted</w:t>
      </w:r>
      <w:r w:rsidR="00C56599">
        <w:rPr>
          <w:rFonts w:cstheme="minorHAnsi"/>
        </w:rPr>
        <w:t xml:space="preserve"> </w:t>
      </w:r>
      <w:r w:rsidR="00361DEF">
        <w:rPr>
          <w:rFonts w:cstheme="minorHAnsi"/>
        </w:rPr>
        <w:t>in</w:t>
      </w:r>
      <w:r w:rsidR="00EF2B29">
        <w:rPr>
          <w:rFonts w:cstheme="minorHAnsi"/>
        </w:rPr>
        <w:t xml:space="preserve"> </w:t>
      </w:r>
      <w:r w:rsidR="00742448">
        <w:rPr>
          <w:rFonts w:cstheme="minorHAnsi"/>
        </w:rPr>
        <w:t>2018 had</w:t>
      </w:r>
      <w:r w:rsidR="005E5DD0">
        <w:rPr>
          <w:rFonts w:cstheme="minorHAnsi"/>
        </w:rPr>
        <w:t xml:space="preserve"> not been posted</w:t>
      </w:r>
      <w:r w:rsidR="00CB40D5">
        <w:rPr>
          <w:rFonts w:cstheme="minorHAnsi"/>
        </w:rPr>
        <w:t xml:space="preserve"> as of January 7, 2019</w:t>
      </w:r>
      <w:r w:rsidR="00820EC8" w:rsidRPr="00CD7285">
        <w:rPr>
          <w:rFonts w:cstheme="minorHAnsi"/>
        </w:rPr>
        <w:t>.</w:t>
      </w:r>
    </w:p>
    <w:p w14:paraId="28510CBB" w14:textId="77777777" w:rsidR="00CD7285" w:rsidRPr="00CD7285" w:rsidRDefault="00CD7285" w:rsidP="00CD7285">
      <w:pPr>
        <w:spacing w:after="0" w:line="240" w:lineRule="auto"/>
        <w:rPr>
          <w:rFonts w:cstheme="minorHAnsi"/>
        </w:rPr>
      </w:pPr>
    </w:p>
    <w:p w14:paraId="486221D9" w14:textId="5D0B888D" w:rsidR="00350F92" w:rsidRPr="00CD7285" w:rsidRDefault="00742448" w:rsidP="00350F92">
      <w:pPr>
        <w:spacing w:after="0" w:line="240" w:lineRule="auto"/>
        <w:rPr>
          <w:rFonts w:cstheme="minorHAnsi"/>
        </w:rPr>
      </w:pPr>
      <w:r>
        <w:rPr>
          <w:rFonts w:cstheme="minorHAnsi"/>
        </w:rPr>
        <w:t>If</w:t>
      </w:r>
      <w:r w:rsidR="005E5DD0">
        <w:rPr>
          <w:rFonts w:cstheme="minorHAnsi"/>
        </w:rPr>
        <w:t xml:space="preserve"> academic</w:t>
      </w:r>
      <w:r w:rsidR="00D67237" w:rsidRPr="00CD7285">
        <w:rPr>
          <w:rFonts w:cstheme="minorHAnsi"/>
        </w:rPr>
        <w:t xml:space="preserve"> organizations learn </w:t>
      </w:r>
      <w:r w:rsidR="00B1373A">
        <w:rPr>
          <w:rFonts w:cstheme="minorHAnsi"/>
        </w:rPr>
        <w:t xml:space="preserve">to identify </w:t>
      </w:r>
      <w:r w:rsidR="008B1C48">
        <w:rPr>
          <w:rFonts w:cstheme="minorHAnsi"/>
        </w:rPr>
        <w:t>errors, deficiencies</w:t>
      </w:r>
      <w:r w:rsidR="005E5DD0">
        <w:rPr>
          <w:rFonts w:cstheme="minorHAnsi"/>
        </w:rPr>
        <w:t>,</w:t>
      </w:r>
      <w:r w:rsidR="008B1C48">
        <w:rPr>
          <w:rFonts w:cstheme="minorHAnsi"/>
        </w:rPr>
        <w:t xml:space="preserve"> </w:t>
      </w:r>
      <w:r w:rsidR="005E5DD0">
        <w:rPr>
          <w:rFonts w:cstheme="minorHAnsi"/>
        </w:rPr>
        <w:t>and</w:t>
      </w:r>
      <w:r>
        <w:rPr>
          <w:rFonts w:cstheme="minorHAnsi"/>
        </w:rPr>
        <w:t xml:space="preserve"> inconsistencies before submitting</w:t>
      </w:r>
      <w:r w:rsidR="008B1C48">
        <w:rPr>
          <w:rFonts w:cstheme="minorHAnsi"/>
        </w:rPr>
        <w:t xml:space="preserve"> results</w:t>
      </w:r>
      <w:proofErr w:type="gramStart"/>
      <w:r w:rsidR="005E5DD0">
        <w:rPr>
          <w:rFonts w:cstheme="minorHAnsi"/>
        </w:rPr>
        <w:t>,</w:t>
      </w:r>
      <w:r w:rsidR="00B1373A" w:rsidRPr="003F5781">
        <w:rPr>
          <w:rFonts w:cstheme="minorHAnsi"/>
          <w:vertAlign w:val="superscript"/>
        </w:rPr>
        <w:t>4</w:t>
      </w:r>
      <w:proofErr w:type="gramEnd"/>
      <w:r w:rsidR="00B1373A" w:rsidRPr="003F5781">
        <w:rPr>
          <w:rFonts w:cstheme="minorHAnsi"/>
        </w:rPr>
        <w:t xml:space="preserve"> </w:t>
      </w:r>
      <w:r w:rsidR="00C56599">
        <w:t xml:space="preserve">a higher proportion of </w:t>
      </w:r>
      <w:r w:rsidR="00B273DB">
        <w:t>results</w:t>
      </w:r>
      <w:r w:rsidR="00C56599">
        <w:t xml:space="preserve"> may be posted</w:t>
      </w:r>
      <w:r w:rsidR="00CB40D5">
        <w:t xml:space="preserve"> after</w:t>
      </w:r>
      <w:r w:rsidR="00C56599">
        <w:t xml:space="preserve"> first submission</w:t>
      </w:r>
      <w:r w:rsidR="001978F5" w:rsidRPr="00CD7285">
        <w:rPr>
          <w:rFonts w:cstheme="minorHAnsi"/>
        </w:rPr>
        <w:t xml:space="preserve">. </w:t>
      </w:r>
      <w:r w:rsidR="00350F92">
        <w:rPr>
          <w:rFonts w:cstheme="minorHAnsi"/>
        </w:rPr>
        <w:t xml:space="preserve">Previous research suggests that </w:t>
      </w:r>
      <w:r w:rsidR="005E5DD0">
        <w:rPr>
          <w:rFonts w:cstheme="minorHAnsi"/>
        </w:rPr>
        <w:t xml:space="preserve">academic </w:t>
      </w:r>
      <w:r w:rsidR="00350F92">
        <w:rPr>
          <w:rFonts w:cstheme="minorHAnsi"/>
        </w:rPr>
        <w:t>o</w:t>
      </w:r>
      <w:r w:rsidR="001978F5" w:rsidRPr="00CD7285">
        <w:rPr>
          <w:rFonts w:cstheme="minorHAnsi"/>
        </w:rPr>
        <w:t xml:space="preserve">rganizations could </w:t>
      </w:r>
      <w:r w:rsidR="005E5DD0">
        <w:rPr>
          <w:rFonts w:cstheme="minorHAnsi"/>
        </w:rPr>
        <w:t>better</w:t>
      </w:r>
      <w:r w:rsidR="002D0148">
        <w:rPr>
          <w:rFonts w:cstheme="minorHAnsi"/>
        </w:rPr>
        <w:t xml:space="preserve"> support </w:t>
      </w:r>
      <w:r w:rsidR="00F55BBB" w:rsidRPr="00CD7285">
        <w:rPr>
          <w:rFonts w:cstheme="minorHAnsi"/>
        </w:rPr>
        <w:t>trial regis</w:t>
      </w:r>
      <w:r w:rsidR="00F55BBB">
        <w:rPr>
          <w:rFonts w:cstheme="minorHAnsi"/>
        </w:rPr>
        <w:t>tration and reporting</w:t>
      </w:r>
      <w:r w:rsidR="00A719DB" w:rsidRPr="00CD7285">
        <w:rPr>
          <w:rFonts w:cstheme="minorHAnsi"/>
        </w:rPr>
        <w:t>.</w:t>
      </w:r>
      <w:r w:rsidR="00B1373A">
        <w:rPr>
          <w:rFonts w:cstheme="minorHAnsi"/>
          <w:vertAlign w:val="superscript"/>
        </w:rPr>
        <w:t>5</w:t>
      </w:r>
      <w:r w:rsidR="00350F92">
        <w:rPr>
          <w:rFonts w:cstheme="minorHAnsi"/>
        </w:rPr>
        <w:t xml:space="preserve"> </w:t>
      </w:r>
      <w:r w:rsidR="006F5BBE" w:rsidRPr="00CD7285">
        <w:rPr>
          <w:rFonts w:cstheme="minorHAnsi"/>
        </w:rPr>
        <w:t>NIH</w:t>
      </w:r>
      <w:r w:rsidR="007F560C" w:rsidRPr="00CD7285">
        <w:rPr>
          <w:rFonts w:cstheme="minorHAnsi"/>
        </w:rPr>
        <w:t xml:space="preserve"> could </w:t>
      </w:r>
      <w:r w:rsidR="000558C8">
        <w:rPr>
          <w:rFonts w:cstheme="minorHAnsi"/>
        </w:rPr>
        <w:t xml:space="preserve">further </w:t>
      </w:r>
      <w:r w:rsidR="005E5DD0">
        <w:rPr>
          <w:rFonts w:cstheme="minorHAnsi"/>
        </w:rPr>
        <w:t xml:space="preserve">support academic </w:t>
      </w:r>
      <w:r w:rsidR="00B36A76">
        <w:rPr>
          <w:rFonts w:cstheme="minorHAnsi"/>
        </w:rPr>
        <w:t xml:space="preserve">organizations </w:t>
      </w:r>
      <w:r w:rsidR="007F560C" w:rsidRPr="00CD7285">
        <w:rPr>
          <w:rFonts w:cstheme="minorHAnsi"/>
        </w:rPr>
        <w:t>by improving automatic error checking</w:t>
      </w:r>
      <w:r w:rsidR="00B36A76">
        <w:rPr>
          <w:rFonts w:cstheme="minorHAnsi"/>
        </w:rPr>
        <w:t xml:space="preserve"> and by reducing the time it takes </w:t>
      </w:r>
      <w:r w:rsidR="00350F92">
        <w:rPr>
          <w:rFonts w:cstheme="minorHAnsi"/>
        </w:rPr>
        <w:t xml:space="preserve">NIH </w:t>
      </w:r>
      <w:r w:rsidR="00B36A76">
        <w:rPr>
          <w:rFonts w:cstheme="minorHAnsi"/>
        </w:rPr>
        <w:t xml:space="preserve">to review submitted </w:t>
      </w:r>
      <w:r w:rsidR="00350F92">
        <w:rPr>
          <w:rFonts w:cstheme="minorHAnsi"/>
        </w:rPr>
        <w:t>records.</w:t>
      </w:r>
    </w:p>
    <w:p w14:paraId="77B95958" w14:textId="77777777" w:rsidR="00BB447F" w:rsidRPr="00CD7285" w:rsidRDefault="00BB447F" w:rsidP="00CD7285">
      <w:pPr>
        <w:spacing w:after="0" w:line="240" w:lineRule="auto"/>
        <w:outlineLvl w:val="0"/>
        <w:rPr>
          <w:rFonts w:cstheme="minorHAnsi"/>
        </w:rPr>
      </w:pPr>
    </w:p>
    <w:p w14:paraId="1CA58B2B" w14:textId="77777777" w:rsidR="006E608E" w:rsidRPr="00CD7285" w:rsidRDefault="006E608E" w:rsidP="00CD7285">
      <w:pPr>
        <w:spacing w:after="0" w:line="240" w:lineRule="auto"/>
        <w:outlineLvl w:val="0"/>
        <w:rPr>
          <w:rFonts w:cstheme="minorHAnsi"/>
          <w:b/>
        </w:rPr>
      </w:pPr>
      <w:r w:rsidRPr="00CD7285">
        <w:rPr>
          <w:rFonts w:cstheme="minorHAnsi"/>
          <w:b/>
        </w:rPr>
        <w:t>References</w:t>
      </w:r>
    </w:p>
    <w:p w14:paraId="15D8B063" w14:textId="77777777" w:rsidR="00C81393" w:rsidRPr="00CB40D5" w:rsidRDefault="00691286" w:rsidP="00435A9A">
      <w:pPr>
        <w:pStyle w:val="ListParagraph"/>
        <w:widowControl w:val="0"/>
        <w:numPr>
          <w:ilvl w:val="0"/>
          <w:numId w:val="2"/>
        </w:numPr>
        <w:tabs>
          <w:tab w:val="left" w:pos="1603"/>
        </w:tabs>
        <w:ind w:right="20"/>
        <w:contextualSpacing/>
        <w:rPr>
          <w:rFonts w:asciiTheme="minorHAnsi" w:hAnsiTheme="minorHAnsi" w:cstheme="minorHAnsi"/>
          <w:color w:val="000000" w:themeColor="text1"/>
        </w:rPr>
      </w:pPr>
      <w:r w:rsidRPr="00CB40D5">
        <w:rPr>
          <w:rFonts w:asciiTheme="minorHAnsi" w:hAnsiTheme="minorHAnsi" w:cstheme="minorHAnsi"/>
          <w:color w:val="000000" w:themeColor="text1"/>
        </w:rPr>
        <w:t>110th Congress</w:t>
      </w:r>
      <w:r w:rsidR="008A1CE4" w:rsidRPr="00CB40D5">
        <w:rPr>
          <w:rFonts w:asciiTheme="minorHAnsi" w:hAnsiTheme="minorHAnsi" w:cstheme="minorHAnsi"/>
          <w:color w:val="000000" w:themeColor="text1"/>
        </w:rPr>
        <w:t>.</w:t>
      </w:r>
      <w:r w:rsidR="006B6C44" w:rsidRPr="00CB40D5">
        <w:rPr>
          <w:rFonts w:asciiTheme="minorHAnsi" w:hAnsiTheme="minorHAnsi" w:cstheme="minorHAnsi"/>
          <w:color w:val="000000" w:themeColor="text1"/>
        </w:rPr>
        <w:t xml:space="preserve"> </w:t>
      </w:r>
      <w:r w:rsidR="008A1CE4" w:rsidRPr="00CB40D5">
        <w:rPr>
          <w:rFonts w:asciiTheme="minorHAnsi" w:hAnsiTheme="minorHAnsi" w:cstheme="minorHAnsi"/>
          <w:color w:val="000000" w:themeColor="text1"/>
        </w:rPr>
        <w:t>Pub</w:t>
      </w:r>
      <w:r w:rsidR="00435A9A" w:rsidRPr="00CB40D5">
        <w:rPr>
          <w:rFonts w:asciiTheme="minorHAnsi" w:hAnsiTheme="minorHAnsi" w:cstheme="minorHAnsi"/>
          <w:color w:val="000000" w:themeColor="text1"/>
        </w:rPr>
        <w:t xml:space="preserve">lic Law 110-85-Sept. 27, 2007. Food and Drug Administration </w:t>
      </w:r>
      <w:r w:rsidR="006B6C44" w:rsidRPr="00CB40D5">
        <w:rPr>
          <w:rFonts w:asciiTheme="minorHAnsi" w:hAnsiTheme="minorHAnsi" w:cstheme="minorHAnsi"/>
          <w:color w:val="000000" w:themeColor="text1"/>
        </w:rPr>
        <w:t xml:space="preserve">Amendments Act of 2007 (FDAAA), </w:t>
      </w:r>
      <w:r w:rsidR="00435A9A" w:rsidRPr="00CB40D5">
        <w:rPr>
          <w:rFonts w:asciiTheme="minorHAnsi" w:hAnsiTheme="minorHAnsi" w:cstheme="minorHAnsi"/>
          <w:color w:val="000000" w:themeColor="text1"/>
        </w:rPr>
        <w:t xml:space="preserve">Title </w:t>
      </w:r>
      <w:r w:rsidR="006B6C44" w:rsidRPr="00CB40D5">
        <w:rPr>
          <w:rFonts w:asciiTheme="minorHAnsi" w:hAnsiTheme="minorHAnsi" w:cstheme="minorHAnsi"/>
          <w:color w:val="000000" w:themeColor="text1"/>
        </w:rPr>
        <w:t>VIII—</w:t>
      </w:r>
      <w:r w:rsidR="00435A9A" w:rsidRPr="00CB40D5">
        <w:rPr>
          <w:rFonts w:asciiTheme="minorHAnsi" w:hAnsiTheme="minorHAnsi" w:cstheme="minorHAnsi"/>
          <w:color w:val="000000" w:themeColor="text1"/>
        </w:rPr>
        <w:t xml:space="preserve">Clinical Trial Databases, </w:t>
      </w:r>
      <w:r w:rsidR="006B6C44" w:rsidRPr="00CB40D5">
        <w:rPr>
          <w:rFonts w:asciiTheme="minorHAnsi" w:hAnsiTheme="minorHAnsi" w:cstheme="minorHAnsi"/>
          <w:color w:val="000000" w:themeColor="text1"/>
        </w:rPr>
        <w:t xml:space="preserve">SEC. 801. </w:t>
      </w:r>
      <w:r w:rsidR="00435A9A" w:rsidRPr="00CB40D5">
        <w:rPr>
          <w:rFonts w:asciiTheme="minorHAnsi" w:hAnsiTheme="minorHAnsi" w:cstheme="minorHAnsi"/>
          <w:color w:val="000000" w:themeColor="text1"/>
        </w:rPr>
        <w:t>Expanded Clinical Trials Registry Data Bank</w:t>
      </w:r>
      <w:r w:rsidR="006B6C44" w:rsidRPr="00CB40D5">
        <w:rPr>
          <w:rFonts w:asciiTheme="minorHAnsi" w:hAnsiTheme="minorHAnsi" w:cstheme="minorHAnsi"/>
          <w:color w:val="000000" w:themeColor="text1"/>
        </w:rPr>
        <w:t xml:space="preserve">. </w:t>
      </w:r>
      <w:hyperlink r:id="rId9" w:anchor="page=82" w:history="1">
        <w:r w:rsidR="006B6C44" w:rsidRPr="00CB40D5">
          <w:rPr>
            <w:rStyle w:val="Hyperlink"/>
            <w:rFonts w:asciiTheme="minorHAnsi" w:hAnsiTheme="minorHAnsi" w:cstheme="minorHAnsi"/>
            <w:color w:val="000000" w:themeColor="text1"/>
          </w:rPr>
          <w:t>https://www.gpo.gov/fdsys/pkg/PLAW-110publ85/pdf/PLAW-110publ85.pdf#page=82</w:t>
        </w:r>
      </w:hyperlink>
      <w:r w:rsidR="008A1CE4" w:rsidRPr="00CB40D5">
        <w:rPr>
          <w:rStyle w:val="Hyperlink"/>
          <w:rFonts w:asciiTheme="minorHAnsi" w:hAnsiTheme="minorHAnsi" w:cstheme="minorHAnsi"/>
          <w:color w:val="000000" w:themeColor="text1"/>
          <w:u w:val="none"/>
        </w:rPr>
        <w:t>.</w:t>
      </w:r>
      <w:r w:rsidR="00E87D6F" w:rsidRPr="00CB40D5">
        <w:rPr>
          <w:rStyle w:val="Hyperlink"/>
          <w:rFonts w:asciiTheme="minorHAnsi" w:hAnsiTheme="minorHAnsi" w:cstheme="minorHAnsi"/>
          <w:color w:val="000000" w:themeColor="text1"/>
          <w:u w:val="none"/>
        </w:rPr>
        <w:t xml:space="preserve"> </w:t>
      </w:r>
      <w:r w:rsidR="008A1CE4" w:rsidRPr="00CB40D5">
        <w:rPr>
          <w:rStyle w:val="Hyperlink"/>
          <w:rFonts w:asciiTheme="minorHAnsi" w:hAnsiTheme="minorHAnsi" w:cstheme="minorHAnsi"/>
          <w:color w:val="000000" w:themeColor="text1"/>
          <w:u w:val="none"/>
        </w:rPr>
        <w:t>Accessed 05/08/18</w:t>
      </w:r>
    </w:p>
    <w:p w14:paraId="34F38F8C" w14:textId="77777777" w:rsidR="003F5781" w:rsidRPr="00CB40D5" w:rsidRDefault="003F5781" w:rsidP="003F5781">
      <w:pPr>
        <w:pStyle w:val="ListParagraph"/>
        <w:widowControl w:val="0"/>
        <w:numPr>
          <w:ilvl w:val="0"/>
          <w:numId w:val="2"/>
        </w:numPr>
        <w:tabs>
          <w:tab w:val="left" w:pos="1603"/>
        </w:tabs>
        <w:ind w:right="20"/>
        <w:contextualSpacing/>
        <w:rPr>
          <w:rFonts w:asciiTheme="minorHAnsi" w:hAnsiTheme="minorHAnsi" w:cstheme="minorHAnsi"/>
          <w:color w:val="000000" w:themeColor="text1"/>
        </w:rPr>
      </w:pPr>
      <w:r w:rsidRPr="00CB40D5">
        <w:rPr>
          <w:noProof/>
          <w:color w:val="000000" w:themeColor="text1"/>
        </w:rPr>
        <w:t>National Institutes of Health. NIH policy on dissemination of NIH-funded clinical trial information. Fed Regist. 81(183). 2016.</w:t>
      </w:r>
    </w:p>
    <w:p w14:paraId="7ED6AF91" w14:textId="77777777" w:rsidR="008A1CE4" w:rsidRPr="00CB40D5" w:rsidRDefault="00A417B5" w:rsidP="00CD7285">
      <w:pPr>
        <w:pStyle w:val="ListParagraph"/>
        <w:widowControl w:val="0"/>
        <w:numPr>
          <w:ilvl w:val="0"/>
          <w:numId w:val="2"/>
        </w:numPr>
        <w:tabs>
          <w:tab w:val="left" w:pos="1603"/>
        </w:tabs>
        <w:ind w:right="20"/>
        <w:contextualSpacing/>
        <w:rPr>
          <w:rStyle w:val="Hyperlink"/>
          <w:color w:val="000000" w:themeColor="text1"/>
        </w:rPr>
      </w:pPr>
      <w:r w:rsidRPr="00CB40D5">
        <w:rPr>
          <w:rFonts w:asciiTheme="minorHAnsi" w:hAnsiTheme="minorHAnsi" w:cstheme="minorHAnsi"/>
          <w:color w:val="000000" w:themeColor="text1"/>
        </w:rPr>
        <w:t>Department of Health and Human Services. 42 CFR Part 11. Clinical Trials Registration and Results Information Submission; Final Rule. September 21, 2016</w:t>
      </w:r>
      <w:r w:rsidR="00E35698" w:rsidRPr="00CB40D5">
        <w:rPr>
          <w:rFonts w:asciiTheme="minorHAnsi" w:hAnsiTheme="minorHAnsi" w:cstheme="minorHAnsi"/>
          <w:color w:val="000000" w:themeColor="text1"/>
        </w:rPr>
        <w:t xml:space="preserve">. </w:t>
      </w:r>
      <w:hyperlink r:id="rId10" w:history="1">
        <w:r w:rsidRPr="00CB40D5">
          <w:rPr>
            <w:rStyle w:val="Hyperlink"/>
            <w:rFonts w:asciiTheme="minorHAnsi" w:hAnsiTheme="minorHAnsi" w:cstheme="minorHAnsi"/>
            <w:color w:val="000000" w:themeColor="text1"/>
          </w:rPr>
          <w:t>https://www.gpo.gov/fdsys/pkg/FR-2016-09-21/pdf/2016-22129.pdf</w:t>
        </w:r>
      </w:hyperlink>
      <w:r w:rsidR="008A1CE4" w:rsidRPr="00CB40D5">
        <w:rPr>
          <w:rStyle w:val="Hyperlink"/>
          <w:rFonts w:cstheme="minorHAnsi"/>
          <w:color w:val="000000" w:themeColor="text1"/>
          <w:u w:val="none"/>
        </w:rPr>
        <w:t>.</w:t>
      </w:r>
      <w:r w:rsidR="00E87D6F" w:rsidRPr="00CB40D5">
        <w:rPr>
          <w:rStyle w:val="Hyperlink"/>
          <w:rFonts w:cstheme="minorHAnsi"/>
          <w:color w:val="000000" w:themeColor="text1"/>
          <w:u w:val="none"/>
        </w:rPr>
        <w:t xml:space="preserve"> </w:t>
      </w:r>
      <w:r w:rsidR="008A1CE4" w:rsidRPr="00CB40D5">
        <w:rPr>
          <w:rStyle w:val="Hyperlink"/>
          <w:rFonts w:cstheme="minorHAnsi"/>
          <w:color w:val="000000" w:themeColor="text1"/>
          <w:u w:val="none"/>
        </w:rPr>
        <w:t>Accessed 05/08/18</w:t>
      </w:r>
    </w:p>
    <w:p w14:paraId="0D1A5958" w14:textId="77777777" w:rsidR="00B1373A" w:rsidRPr="00CB40D5" w:rsidRDefault="00B1373A" w:rsidP="003F5781">
      <w:pPr>
        <w:pStyle w:val="ListParagraph"/>
        <w:numPr>
          <w:ilvl w:val="0"/>
          <w:numId w:val="2"/>
        </w:numPr>
        <w:rPr>
          <w:rStyle w:val="Hyperlink"/>
          <w:color w:val="000000" w:themeColor="text1"/>
        </w:rPr>
      </w:pPr>
      <w:r w:rsidRPr="00CB40D5">
        <w:rPr>
          <w:color w:val="000000" w:themeColor="text1"/>
        </w:rPr>
        <w:t xml:space="preserve">ClinicalTrials.gov Results and Document Upload Quality Control Review Criteria. June 27, 2018. </w:t>
      </w:r>
      <w:hyperlink r:id="rId11" w:history="1">
        <w:r w:rsidRPr="00CB40D5">
          <w:rPr>
            <w:rStyle w:val="Hyperlink"/>
            <w:color w:val="000000" w:themeColor="text1"/>
          </w:rPr>
          <w:t>https://prsinfo.clinicaltrials.gov/ResultsDetailedReviewItems.pdf</w:t>
        </w:r>
      </w:hyperlink>
      <w:r w:rsidRPr="00CB40D5">
        <w:rPr>
          <w:color w:val="000000" w:themeColor="text1"/>
        </w:rPr>
        <w:t>. Accessed 04/09/19</w:t>
      </w:r>
    </w:p>
    <w:p w14:paraId="46E24EA0" w14:textId="77777777" w:rsidR="00E35698" w:rsidRPr="00CB40D5" w:rsidRDefault="00376D93" w:rsidP="00691286">
      <w:pPr>
        <w:pStyle w:val="ListParagraph"/>
        <w:widowControl w:val="0"/>
        <w:numPr>
          <w:ilvl w:val="0"/>
          <w:numId w:val="2"/>
        </w:numPr>
        <w:tabs>
          <w:tab w:val="left" w:pos="1603"/>
        </w:tabs>
        <w:ind w:right="20"/>
        <w:contextualSpacing/>
        <w:rPr>
          <w:rStyle w:val="Hyperlink"/>
          <w:color w:val="000000" w:themeColor="text1"/>
        </w:rPr>
      </w:pPr>
      <w:r w:rsidRPr="00CB40D5">
        <w:rPr>
          <w:rStyle w:val="Hyperlink"/>
          <w:rFonts w:asciiTheme="minorHAnsi" w:hAnsiTheme="minorHAnsi" w:cstheme="minorHAnsi"/>
          <w:color w:val="000000" w:themeColor="text1"/>
          <w:u w:val="none"/>
        </w:rPr>
        <w:t xml:space="preserve">Mayo-Wilson E, Heyward J, Keyes A, Reynolds J, </w:t>
      </w:r>
      <w:r w:rsidRPr="00CB40D5">
        <w:rPr>
          <w:rStyle w:val="Hyperlink"/>
          <w:rFonts w:asciiTheme="minorHAnsi" w:hAnsiTheme="minorHAnsi" w:cstheme="minorHAnsi"/>
          <w:color w:val="000000" w:themeColor="text1"/>
          <w:u w:val="none"/>
        </w:rPr>
        <w:lastRenderedPageBreak/>
        <w:t>White S, Atri N, Alexander C, Omar A, Ford DE, on behalf of the National Clinical Trials Registration and Results Reporting Taskfo</w:t>
      </w:r>
      <w:r w:rsidR="008A1CE4" w:rsidRPr="00CB40D5">
        <w:rPr>
          <w:rStyle w:val="Hyperlink"/>
          <w:rFonts w:asciiTheme="minorHAnsi" w:hAnsiTheme="minorHAnsi" w:cstheme="minorHAnsi"/>
          <w:color w:val="000000" w:themeColor="text1"/>
          <w:u w:val="none"/>
        </w:rPr>
        <w:t>rce Survey Subcommittee</w:t>
      </w:r>
      <w:r w:rsidRPr="00CB40D5">
        <w:rPr>
          <w:rStyle w:val="Hyperlink"/>
          <w:rFonts w:asciiTheme="minorHAnsi" w:hAnsiTheme="minorHAnsi" w:cstheme="minorHAnsi"/>
          <w:color w:val="000000" w:themeColor="text1"/>
          <w:u w:val="none"/>
        </w:rPr>
        <w:t>.</w:t>
      </w:r>
      <w:r w:rsidR="00E87D6F" w:rsidRPr="00CB40D5">
        <w:rPr>
          <w:rStyle w:val="Hyperlink"/>
          <w:rFonts w:asciiTheme="minorHAnsi" w:hAnsiTheme="minorHAnsi" w:cstheme="minorHAnsi"/>
          <w:color w:val="000000" w:themeColor="text1"/>
          <w:u w:val="none"/>
        </w:rPr>
        <w:t xml:space="preserve"> </w:t>
      </w:r>
      <w:r w:rsidRPr="00CB40D5">
        <w:rPr>
          <w:rStyle w:val="Hyperlink"/>
          <w:rFonts w:asciiTheme="minorHAnsi" w:hAnsiTheme="minorHAnsi" w:cstheme="minorHAnsi"/>
          <w:color w:val="000000" w:themeColor="text1"/>
          <w:u w:val="none"/>
        </w:rPr>
        <w:t>Clinical trial registration and reporting: A survey of academic organizations in the United States.</w:t>
      </w:r>
      <w:r w:rsidR="00E87D6F" w:rsidRPr="00CB40D5">
        <w:rPr>
          <w:rStyle w:val="Hyperlink"/>
          <w:rFonts w:asciiTheme="minorHAnsi" w:hAnsiTheme="minorHAnsi" w:cstheme="minorHAnsi"/>
          <w:color w:val="000000" w:themeColor="text1"/>
          <w:u w:val="none"/>
        </w:rPr>
        <w:t xml:space="preserve"> </w:t>
      </w:r>
      <w:r w:rsidRPr="00CB40D5">
        <w:rPr>
          <w:rStyle w:val="Hyperlink"/>
          <w:rFonts w:asciiTheme="minorHAnsi" w:hAnsiTheme="minorHAnsi" w:cstheme="minorHAnsi"/>
          <w:color w:val="000000" w:themeColor="text1"/>
          <w:u w:val="none"/>
        </w:rPr>
        <w:t>BMC Medicine</w:t>
      </w:r>
      <w:r w:rsidR="008A1CE4" w:rsidRPr="00CB40D5">
        <w:rPr>
          <w:rStyle w:val="Hyperlink"/>
          <w:rFonts w:asciiTheme="minorHAnsi" w:hAnsiTheme="minorHAnsi" w:cstheme="minorHAnsi"/>
          <w:color w:val="000000" w:themeColor="text1"/>
          <w:u w:val="none"/>
        </w:rPr>
        <w:t>. 2018</w:t>
      </w:r>
      <w:proofErr w:type="gramStart"/>
      <w:r w:rsidR="008A1CE4" w:rsidRPr="00CB40D5">
        <w:rPr>
          <w:rStyle w:val="Hyperlink"/>
          <w:rFonts w:asciiTheme="minorHAnsi" w:hAnsiTheme="minorHAnsi" w:cstheme="minorHAnsi"/>
          <w:color w:val="000000" w:themeColor="text1"/>
          <w:u w:val="none"/>
        </w:rPr>
        <w:t>;</w:t>
      </w:r>
      <w:r w:rsidRPr="00CB40D5">
        <w:rPr>
          <w:rStyle w:val="Hyperlink"/>
          <w:rFonts w:asciiTheme="minorHAnsi" w:hAnsiTheme="minorHAnsi" w:cstheme="minorHAnsi"/>
          <w:color w:val="000000" w:themeColor="text1"/>
          <w:u w:val="none"/>
        </w:rPr>
        <w:t>16:60</w:t>
      </w:r>
      <w:proofErr w:type="gramEnd"/>
      <w:r w:rsidR="008A1CE4" w:rsidRPr="00CB40D5">
        <w:rPr>
          <w:rStyle w:val="Hyperlink"/>
          <w:rFonts w:asciiTheme="minorHAnsi" w:hAnsiTheme="minorHAnsi" w:cstheme="minorHAnsi"/>
          <w:color w:val="000000" w:themeColor="text1"/>
          <w:u w:val="none"/>
        </w:rPr>
        <w:t xml:space="preserve">. </w:t>
      </w:r>
      <w:hyperlink r:id="rId12" w:history="1">
        <w:r w:rsidR="008A1CE4" w:rsidRPr="00CB40D5">
          <w:rPr>
            <w:rStyle w:val="Hyperlink"/>
            <w:rFonts w:asciiTheme="minorHAnsi" w:hAnsiTheme="minorHAnsi" w:cstheme="minorHAnsi"/>
            <w:color w:val="000000" w:themeColor="text1"/>
          </w:rPr>
          <w:t>https://bmcmedicine.biomedcentral.com/articles/10.1186/s12916-018-1042-6</w:t>
        </w:r>
      </w:hyperlink>
      <w:r w:rsidR="008A1CE4" w:rsidRPr="00CB40D5">
        <w:rPr>
          <w:rStyle w:val="Hyperlink"/>
          <w:rFonts w:asciiTheme="minorHAnsi" w:hAnsiTheme="minorHAnsi" w:cstheme="minorHAnsi"/>
          <w:color w:val="000000" w:themeColor="text1"/>
          <w:u w:val="none"/>
        </w:rPr>
        <w:t>.</w:t>
      </w:r>
      <w:r w:rsidR="00E87D6F" w:rsidRPr="00CB40D5">
        <w:rPr>
          <w:rStyle w:val="Hyperlink"/>
          <w:rFonts w:asciiTheme="minorHAnsi" w:hAnsiTheme="minorHAnsi" w:cstheme="minorHAnsi"/>
          <w:color w:val="000000" w:themeColor="text1"/>
          <w:u w:val="none"/>
        </w:rPr>
        <w:t xml:space="preserve"> </w:t>
      </w:r>
      <w:r w:rsidR="008A1CE4" w:rsidRPr="00CB40D5">
        <w:rPr>
          <w:rStyle w:val="Hyperlink"/>
          <w:rFonts w:asciiTheme="minorHAnsi" w:hAnsiTheme="minorHAnsi" w:cstheme="minorHAnsi"/>
          <w:color w:val="000000" w:themeColor="text1"/>
          <w:u w:val="none"/>
        </w:rPr>
        <w:t>Accessed 05/08/18</w:t>
      </w:r>
    </w:p>
    <w:p w14:paraId="72EF18CD" w14:textId="77777777" w:rsidR="002E34BD" w:rsidRPr="00CB40D5" w:rsidRDefault="002E34BD" w:rsidP="004567E0">
      <w:pPr>
        <w:rPr>
          <w:rFonts w:eastAsia="Times New Roman" w:cstheme="minorHAnsi"/>
          <w:b/>
          <w:color w:val="000000" w:themeColor="text1"/>
        </w:rPr>
      </w:pPr>
    </w:p>
    <w:sectPr w:rsidR="002E34BD" w:rsidRPr="00CB40D5" w:rsidSect="006B4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Evan Mayo-Wilson" w:date="2019-04-17T10:17:00Z" w:initials="EMW">
    <w:p w14:paraId="6355FA9E" w14:textId="4DB56E7F" w:rsidR="00C83427" w:rsidRDefault="00C83427">
      <w:pPr>
        <w:pStyle w:val="CommentText"/>
      </w:pPr>
      <w:r>
        <w:rPr>
          <w:rStyle w:val="CommentReference"/>
        </w:rPr>
        <w:annotationRef/>
      </w:r>
      <w:r>
        <w:t>Is this ready?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55FA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158185" w16cid:durableId="20617BCA"/>
  <w16cid:commentId w16cid:paraId="22E421EC" w16cid:durableId="206177C7"/>
  <w16cid:commentId w16cid:paraId="4A4C5C76" w16cid:durableId="2061796C"/>
  <w16cid:commentId w16cid:paraId="24F626DD" w16cid:durableId="206177C8"/>
  <w16cid:commentId w16cid:paraId="34BE9C4F" w16cid:durableId="20617A8C"/>
  <w16cid:commentId w16cid:paraId="644BA94C" w16cid:durableId="206177C9"/>
  <w16cid:commentId w16cid:paraId="5982A5EB" w16cid:durableId="206178DF"/>
  <w16cid:commentId w16cid:paraId="7490F647" w16cid:durableId="20617A37"/>
  <w16cid:commentId w16cid:paraId="455AFBC4" w16cid:durableId="20617AD5"/>
  <w16cid:commentId w16cid:paraId="1801E639" w16cid:durableId="20617C3F"/>
  <w16cid:commentId w16cid:paraId="44619123" w16cid:durableId="20617C08"/>
  <w16cid:commentId w16cid:paraId="6355FA9E" w16cid:durableId="20617BB0"/>
  <w16cid:commentId w16cid:paraId="22EED34F" w16cid:durableId="20617C83"/>
  <w16cid:commentId w16cid:paraId="31B6C138" w16cid:durableId="206177CB"/>
  <w16cid:commentId w16cid:paraId="676FC001" w16cid:durableId="20617B1F"/>
  <w16cid:commentId w16cid:paraId="4B1F3E56" w16cid:durableId="206177CC"/>
  <w16cid:commentId w16cid:paraId="636BC0FB" w16cid:durableId="20617B66"/>
  <w16cid:commentId w16cid:paraId="08A73D8A" w16cid:durableId="206177CD"/>
  <w16cid:commentId w16cid:paraId="0ABA667D" w16cid:durableId="2061786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20B75"/>
    <w:multiLevelType w:val="multilevel"/>
    <w:tmpl w:val="60FC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3573E5"/>
    <w:multiLevelType w:val="hybridMultilevel"/>
    <w:tmpl w:val="D7962E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van Mayo-Wilson">
    <w15:presenceInfo w15:providerId="None" w15:userId="Evan Mayo-Wil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FA"/>
    <w:rsid w:val="00002BFA"/>
    <w:rsid w:val="00002F72"/>
    <w:rsid w:val="000122F0"/>
    <w:rsid w:val="0001604A"/>
    <w:rsid w:val="0001645D"/>
    <w:rsid w:val="00016B47"/>
    <w:rsid w:val="00026F59"/>
    <w:rsid w:val="00027190"/>
    <w:rsid w:val="0003034E"/>
    <w:rsid w:val="00032DFC"/>
    <w:rsid w:val="00043E3D"/>
    <w:rsid w:val="000548E6"/>
    <w:rsid w:val="000558C8"/>
    <w:rsid w:val="00056BB8"/>
    <w:rsid w:val="00060B8B"/>
    <w:rsid w:val="000620CD"/>
    <w:rsid w:val="00063278"/>
    <w:rsid w:val="000643F2"/>
    <w:rsid w:val="000646E1"/>
    <w:rsid w:val="00073B62"/>
    <w:rsid w:val="0009090A"/>
    <w:rsid w:val="00095606"/>
    <w:rsid w:val="000A0341"/>
    <w:rsid w:val="000A6621"/>
    <w:rsid w:val="000B463B"/>
    <w:rsid w:val="000B513E"/>
    <w:rsid w:val="000B7924"/>
    <w:rsid w:val="000E43BA"/>
    <w:rsid w:val="000E460C"/>
    <w:rsid w:val="000E6E29"/>
    <w:rsid w:val="00102AB3"/>
    <w:rsid w:val="001060E8"/>
    <w:rsid w:val="00106BA1"/>
    <w:rsid w:val="0010777E"/>
    <w:rsid w:val="001270C5"/>
    <w:rsid w:val="001305D9"/>
    <w:rsid w:val="00134F3E"/>
    <w:rsid w:val="001357D3"/>
    <w:rsid w:val="0014074B"/>
    <w:rsid w:val="00140B4A"/>
    <w:rsid w:val="001441C9"/>
    <w:rsid w:val="0015480C"/>
    <w:rsid w:val="00164FB3"/>
    <w:rsid w:val="00174D77"/>
    <w:rsid w:val="001762F5"/>
    <w:rsid w:val="001812D4"/>
    <w:rsid w:val="0018191B"/>
    <w:rsid w:val="0018443D"/>
    <w:rsid w:val="00186FF1"/>
    <w:rsid w:val="0019501B"/>
    <w:rsid w:val="001978F5"/>
    <w:rsid w:val="001A4095"/>
    <w:rsid w:val="001A4B2C"/>
    <w:rsid w:val="001B22E3"/>
    <w:rsid w:val="001B34A8"/>
    <w:rsid w:val="001C6787"/>
    <w:rsid w:val="001D404E"/>
    <w:rsid w:val="001D48FA"/>
    <w:rsid w:val="001D64F6"/>
    <w:rsid w:val="001D7A52"/>
    <w:rsid w:val="001E08C9"/>
    <w:rsid w:val="001E616C"/>
    <w:rsid w:val="001F3F60"/>
    <w:rsid w:val="00203FC6"/>
    <w:rsid w:val="00204B56"/>
    <w:rsid w:val="002170DC"/>
    <w:rsid w:val="0021768D"/>
    <w:rsid w:val="00236277"/>
    <w:rsid w:val="00242AC6"/>
    <w:rsid w:val="00246022"/>
    <w:rsid w:val="00247BCA"/>
    <w:rsid w:val="002501D4"/>
    <w:rsid w:val="00251D1D"/>
    <w:rsid w:val="002544EA"/>
    <w:rsid w:val="0026620E"/>
    <w:rsid w:val="0026723D"/>
    <w:rsid w:val="00271281"/>
    <w:rsid w:val="002742C2"/>
    <w:rsid w:val="00283474"/>
    <w:rsid w:val="002864D1"/>
    <w:rsid w:val="00292E1C"/>
    <w:rsid w:val="002946D3"/>
    <w:rsid w:val="002950E2"/>
    <w:rsid w:val="002B271E"/>
    <w:rsid w:val="002C0706"/>
    <w:rsid w:val="002C1761"/>
    <w:rsid w:val="002C2342"/>
    <w:rsid w:val="002C5DC9"/>
    <w:rsid w:val="002D0148"/>
    <w:rsid w:val="002D7171"/>
    <w:rsid w:val="002D7EE8"/>
    <w:rsid w:val="002E087B"/>
    <w:rsid w:val="002E34BD"/>
    <w:rsid w:val="002E681B"/>
    <w:rsid w:val="00305638"/>
    <w:rsid w:val="00310B7C"/>
    <w:rsid w:val="003140D8"/>
    <w:rsid w:val="00324545"/>
    <w:rsid w:val="00325802"/>
    <w:rsid w:val="00330FC4"/>
    <w:rsid w:val="003360A9"/>
    <w:rsid w:val="00346557"/>
    <w:rsid w:val="00350896"/>
    <w:rsid w:val="00350A7B"/>
    <w:rsid w:val="00350F92"/>
    <w:rsid w:val="003511E9"/>
    <w:rsid w:val="0035386C"/>
    <w:rsid w:val="00354BD8"/>
    <w:rsid w:val="00361DEF"/>
    <w:rsid w:val="00366E1D"/>
    <w:rsid w:val="003757A3"/>
    <w:rsid w:val="00376D93"/>
    <w:rsid w:val="003774D6"/>
    <w:rsid w:val="003776B3"/>
    <w:rsid w:val="00381378"/>
    <w:rsid w:val="00383FEE"/>
    <w:rsid w:val="00386106"/>
    <w:rsid w:val="00391EB6"/>
    <w:rsid w:val="003A06CA"/>
    <w:rsid w:val="003A3F72"/>
    <w:rsid w:val="003B0309"/>
    <w:rsid w:val="003B1D29"/>
    <w:rsid w:val="003B2D0D"/>
    <w:rsid w:val="003B3D7B"/>
    <w:rsid w:val="003B5DE6"/>
    <w:rsid w:val="003D17EE"/>
    <w:rsid w:val="003D2F69"/>
    <w:rsid w:val="003D6C2F"/>
    <w:rsid w:val="003E6835"/>
    <w:rsid w:val="003F0CC9"/>
    <w:rsid w:val="003F5781"/>
    <w:rsid w:val="00402C1C"/>
    <w:rsid w:val="004048EF"/>
    <w:rsid w:val="004136DE"/>
    <w:rsid w:val="00414072"/>
    <w:rsid w:val="00421021"/>
    <w:rsid w:val="00424D08"/>
    <w:rsid w:val="00432030"/>
    <w:rsid w:val="00435A65"/>
    <w:rsid w:val="00435A9A"/>
    <w:rsid w:val="00444D46"/>
    <w:rsid w:val="00451839"/>
    <w:rsid w:val="004567E0"/>
    <w:rsid w:val="00457666"/>
    <w:rsid w:val="00460737"/>
    <w:rsid w:val="0046225D"/>
    <w:rsid w:val="00467710"/>
    <w:rsid w:val="00471C5A"/>
    <w:rsid w:val="004936AE"/>
    <w:rsid w:val="00493832"/>
    <w:rsid w:val="004A145E"/>
    <w:rsid w:val="004A6775"/>
    <w:rsid w:val="004A694B"/>
    <w:rsid w:val="004B101E"/>
    <w:rsid w:val="004B4D27"/>
    <w:rsid w:val="004B70A3"/>
    <w:rsid w:val="004C05A9"/>
    <w:rsid w:val="004C3E68"/>
    <w:rsid w:val="004C59D6"/>
    <w:rsid w:val="004D00CD"/>
    <w:rsid w:val="004D0F02"/>
    <w:rsid w:val="004D24D5"/>
    <w:rsid w:val="004E09D6"/>
    <w:rsid w:val="004E1251"/>
    <w:rsid w:val="004E48FF"/>
    <w:rsid w:val="004F3AF0"/>
    <w:rsid w:val="004F5222"/>
    <w:rsid w:val="004F526B"/>
    <w:rsid w:val="004F7C9A"/>
    <w:rsid w:val="005040A1"/>
    <w:rsid w:val="00505CB3"/>
    <w:rsid w:val="00527C4C"/>
    <w:rsid w:val="0053170D"/>
    <w:rsid w:val="005361E5"/>
    <w:rsid w:val="005363E2"/>
    <w:rsid w:val="00536FF5"/>
    <w:rsid w:val="00537EC8"/>
    <w:rsid w:val="00542841"/>
    <w:rsid w:val="00543A8E"/>
    <w:rsid w:val="00550B0F"/>
    <w:rsid w:val="00553635"/>
    <w:rsid w:val="0056504E"/>
    <w:rsid w:val="00566332"/>
    <w:rsid w:val="0057703E"/>
    <w:rsid w:val="0058304C"/>
    <w:rsid w:val="00585B5C"/>
    <w:rsid w:val="00590F84"/>
    <w:rsid w:val="0059714D"/>
    <w:rsid w:val="005A0D6C"/>
    <w:rsid w:val="005E5DD0"/>
    <w:rsid w:val="00605E42"/>
    <w:rsid w:val="006124A4"/>
    <w:rsid w:val="00613666"/>
    <w:rsid w:val="00621E51"/>
    <w:rsid w:val="00625B15"/>
    <w:rsid w:val="00635569"/>
    <w:rsid w:val="006356F4"/>
    <w:rsid w:val="00645C9F"/>
    <w:rsid w:val="00647903"/>
    <w:rsid w:val="0065632E"/>
    <w:rsid w:val="0066286F"/>
    <w:rsid w:val="00664AC2"/>
    <w:rsid w:val="00664B72"/>
    <w:rsid w:val="0066749E"/>
    <w:rsid w:val="00672AC9"/>
    <w:rsid w:val="00680DE5"/>
    <w:rsid w:val="006850F7"/>
    <w:rsid w:val="00691286"/>
    <w:rsid w:val="00694757"/>
    <w:rsid w:val="006A54C0"/>
    <w:rsid w:val="006A7B2E"/>
    <w:rsid w:val="006B0E3C"/>
    <w:rsid w:val="006B1046"/>
    <w:rsid w:val="006B3FC1"/>
    <w:rsid w:val="006B4E69"/>
    <w:rsid w:val="006B6C44"/>
    <w:rsid w:val="006C02A4"/>
    <w:rsid w:val="006C086A"/>
    <w:rsid w:val="006D6400"/>
    <w:rsid w:val="006D7FDF"/>
    <w:rsid w:val="006E01A4"/>
    <w:rsid w:val="006E2192"/>
    <w:rsid w:val="006E4872"/>
    <w:rsid w:val="006E608E"/>
    <w:rsid w:val="006F39B7"/>
    <w:rsid w:val="006F5BBE"/>
    <w:rsid w:val="00704094"/>
    <w:rsid w:val="00704438"/>
    <w:rsid w:val="007057A9"/>
    <w:rsid w:val="0071226E"/>
    <w:rsid w:val="00713191"/>
    <w:rsid w:val="00722CD9"/>
    <w:rsid w:val="00731D46"/>
    <w:rsid w:val="007337E4"/>
    <w:rsid w:val="007374ED"/>
    <w:rsid w:val="00742448"/>
    <w:rsid w:val="00742F6A"/>
    <w:rsid w:val="00750047"/>
    <w:rsid w:val="007577B1"/>
    <w:rsid w:val="00763983"/>
    <w:rsid w:val="00765E1A"/>
    <w:rsid w:val="0077168F"/>
    <w:rsid w:val="00773697"/>
    <w:rsid w:val="00792DCC"/>
    <w:rsid w:val="00793AE7"/>
    <w:rsid w:val="00795289"/>
    <w:rsid w:val="007A7531"/>
    <w:rsid w:val="007B1394"/>
    <w:rsid w:val="007B214B"/>
    <w:rsid w:val="007B6578"/>
    <w:rsid w:val="007C04E5"/>
    <w:rsid w:val="007E29FA"/>
    <w:rsid w:val="007F32E2"/>
    <w:rsid w:val="007F560C"/>
    <w:rsid w:val="00807C2C"/>
    <w:rsid w:val="00813509"/>
    <w:rsid w:val="00820EC8"/>
    <w:rsid w:val="008227D5"/>
    <w:rsid w:val="00822BAB"/>
    <w:rsid w:val="00825FE2"/>
    <w:rsid w:val="008339D8"/>
    <w:rsid w:val="00853F9A"/>
    <w:rsid w:val="00861F4A"/>
    <w:rsid w:val="008702E0"/>
    <w:rsid w:val="00871044"/>
    <w:rsid w:val="00871626"/>
    <w:rsid w:val="008753A6"/>
    <w:rsid w:val="00883611"/>
    <w:rsid w:val="008901B9"/>
    <w:rsid w:val="008A1CE4"/>
    <w:rsid w:val="008A6EAA"/>
    <w:rsid w:val="008B1C48"/>
    <w:rsid w:val="008C4918"/>
    <w:rsid w:val="008D757C"/>
    <w:rsid w:val="008E2E6F"/>
    <w:rsid w:val="008E2FCD"/>
    <w:rsid w:val="008F0D79"/>
    <w:rsid w:val="008F5E2E"/>
    <w:rsid w:val="00907162"/>
    <w:rsid w:val="00911519"/>
    <w:rsid w:val="00912C40"/>
    <w:rsid w:val="00921680"/>
    <w:rsid w:val="009236F5"/>
    <w:rsid w:val="00925939"/>
    <w:rsid w:val="00926DAC"/>
    <w:rsid w:val="00930B5E"/>
    <w:rsid w:val="00933676"/>
    <w:rsid w:val="00933F24"/>
    <w:rsid w:val="0094201B"/>
    <w:rsid w:val="009513D9"/>
    <w:rsid w:val="009520F3"/>
    <w:rsid w:val="00953CC6"/>
    <w:rsid w:val="00954533"/>
    <w:rsid w:val="0096200F"/>
    <w:rsid w:val="00964A7A"/>
    <w:rsid w:val="009708CA"/>
    <w:rsid w:val="00980D12"/>
    <w:rsid w:val="0099379F"/>
    <w:rsid w:val="009B14E2"/>
    <w:rsid w:val="009B2001"/>
    <w:rsid w:val="009B5211"/>
    <w:rsid w:val="009B62B4"/>
    <w:rsid w:val="009C4EC0"/>
    <w:rsid w:val="009C7B48"/>
    <w:rsid w:val="009D08D9"/>
    <w:rsid w:val="009D0CC4"/>
    <w:rsid w:val="009D1607"/>
    <w:rsid w:val="009D713D"/>
    <w:rsid w:val="009E313D"/>
    <w:rsid w:val="00A16B13"/>
    <w:rsid w:val="00A17052"/>
    <w:rsid w:val="00A3089A"/>
    <w:rsid w:val="00A417B5"/>
    <w:rsid w:val="00A43768"/>
    <w:rsid w:val="00A44338"/>
    <w:rsid w:val="00A46629"/>
    <w:rsid w:val="00A474C0"/>
    <w:rsid w:val="00A65436"/>
    <w:rsid w:val="00A70286"/>
    <w:rsid w:val="00A719DB"/>
    <w:rsid w:val="00A74CC9"/>
    <w:rsid w:val="00A74E1A"/>
    <w:rsid w:val="00A75E53"/>
    <w:rsid w:val="00A76FF1"/>
    <w:rsid w:val="00A77494"/>
    <w:rsid w:val="00A77F77"/>
    <w:rsid w:val="00A95DFD"/>
    <w:rsid w:val="00AA24A7"/>
    <w:rsid w:val="00AA3D16"/>
    <w:rsid w:val="00AA40A8"/>
    <w:rsid w:val="00AA421B"/>
    <w:rsid w:val="00AB46DC"/>
    <w:rsid w:val="00AB6CB8"/>
    <w:rsid w:val="00AE0BB7"/>
    <w:rsid w:val="00AE3A2F"/>
    <w:rsid w:val="00AE623D"/>
    <w:rsid w:val="00AE78CD"/>
    <w:rsid w:val="00AF4DDB"/>
    <w:rsid w:val="00AF591F"/>
    <w:rsid w:val="00B069FC"/>
    <w:rsid w:val="00B06D7D"/>
    <w:rsid w:val="00B06F49"/>
    <w:rsid w:val="00B077CD"/>
    <w:rsid w:val="00B10E35"/>
    <w:rsid w:val="00B119F0"/>
    <w:rsid w:val="00B1373A"/>
    <w:rsid w:val="00B16D56"/>
    <w:rsid w:val="00B23C05"/>
    <w:rsid w:val="00B25AAC"/>
    <w:rsid w:val="00B273DB"/>
    <w:rsid w:val="00B36A76"/>
    <w:rsid w:val="00B44E91"/>
    <w:rsid w:val="00B46E05"/>
    <w:rsid w:val="00B51FFE"/>
    <w:rsid w:val="00B52D60"/>
    <w:rsid w:val="00B75A76"/>
    <w:rsid w:val="00B80E0B"/>
    <w:rsid w:val="00B81E54"/>
    <w:rsid w:val="00B82EF7"/>
    <w:rsid w:val="00BB3B30"/>
    <w:rsid w:val="00BB447F"/>
    <w:rsid w:val="00BB4DA0"/>
    <w:rsid w:val="00BC03E0"/>
    <w:rsid w:val="00BC2C78"/>
    <w:rsid w:val="00BD1E7B"/>
    <w:rsid w:val="00BD5AD0"/>
    <w:rsid w:val="00BE45C9"/>
    <w:rsid w:val="00BF0348"/>
    <w:rsid w:val="00BF35EF"/>
    <w:rsid w:val="00BF6DAB"/>
    <w:rsid w:val="00C01168"/>
    <w:rsid w:val="00C03CBC"/>
    <w:rsid w:val="00C13885"/>
    <w:rsid w:val="00C140DE"/>
    <w:rsid w:val="00C22F96"/>
    <w:rsid w:val="00C42A46"/>
    <w:rsid w:val="00C47396"/>
    <w:rsid w:val="00C538C2"/>
    <w:rsid w:val="00C5475C"/>
    <w:rsid w:val="00C56599"/>
    <w:rsid w:val="00C636C0"/>
    <w:rsid w:val="00C66402"/>
    <w:rsid w:val="00C74B87"/>
    <w:rsid w:val="00C74D16"/>
    <w:rsid w:val="00C81393"/>
    <w:rsid w:val="00C828E9"/>
    <w:rsid w:val="00C83427"/>
    <w:rsid w:val="00C922BE"/>
    <w:rsid w:val="00C9250A"/>
    <w:rsid w:val="00C94765"/>
    <w:rsid w:val="00CB40D5"/>
    <w:rsid w:val="00CD7285"/>
    <w:rsid w:val="00D10FC1"/>
    <w:rsid w:val="00D15BAB"/>
    <w:rsid w:val="00D17BB6"/>
    <w:rsid w:val="00D2425F"/>
    <w:rsid w:val="00D24B0A"/>
    <w:rsid w:val="00D305E0"/>
    <w:rsid w:val="00D37005"/>
    <w:rsid w:val="00D61E66"/>
    <w:rsid w:val="00D67237"/>
    <w:rsid w:val="00D75369"/>
    <w:rsid w:val="00D806BF"/>
    <w:rsid w:val="00D92910"/>
    <w:rsid w:val="00DA513A"/>
    <w:rsid w:val="00DA7468"/>
    <w:rsid w:val="00DB5442"/>
    <w:rsid w:val="00DB6AF3"/>
    <w:rsid w:val="00DC5DA9"/>
    <w:rsid w:val="00DE129D"/>
    <w:rsid w:val="00DE5B7B"/>
    <w:rsid w:val="00DE7015"/>
    <w:rsid w:val="00DF22B4"/>
    <w:rsid w:val="00E057AF"/>
    <w:rsid w:val="00E11B9A"/>
    <w:rsid w:val="00E1742F"/>
    <w:rsid w:val="00E31950"/>
    <w:rsid w:val="00E33749"/>
    <w:rsid w:val="00E34BFD"/>
    <w:rsid w:val="00E35698"/>
    <w:rsid w:val="00E363F4"/>
    <w:rsid w:val="00E415E9"/>
    <w:rsid w:val="00E46DDA"/>
    <w:rsid w:val="00E5151D"/>
    <w:rsid w:val="00E5385F"/>
    <w:rsid w:val="00E6569D"/>
    <w:rsid w:val="00E8114C"/>
    <w:rsid w:val="00E87D6F"/>
    <w:rsid w:val="00EA46C8"/>
    <w:rsid w:val="00EB6F58"/>
    <w:rsid w:val="00EC44DB"/>
    <w:rsid w:val="00EC53C7"/>
    <w:rsid w:val="00EC607F"/>
    <w:rsid w:val="00ED3008"/>
    <w:rsid w:val="00EE15A0"/>
    <w:rsid w:val="00EE3E5B"/>
    <w:rsid w:val="00EF2A7E"/>
    <w:rsid w:val="00EF2B29"/>
    <w:rsid w:val="00F04DDA"/>
    <w:rsid w:val="00F1144B"/>
    <w:rsid w:val="00F17118"/>
    <w:rsid w:val="00F22B17"/>
    <w:rsid w:val="00F4071E"/>
    <w:rsid w:val="00F43049"/>
    <w:rsid w:val="00F453A1"/>
    <w:rsid w:val="00F47CEB"/>
    <w:rsid w:val="00F508E4"/>
    <w:rsid w:val="00F51FF2"/>
    <w:rsid w:val="00F53D6E"/>
    <w:rsid w:val="00F55BBB"/>
    <w:rsid w:val="00F63589"/>
    <w:rsid w:val="00F7124D"/>
    <w:rsid w:val="00F82B85"/>
    <w:rsid w:val="00F835D8"/>
    <w:rsid w:val="00F87D5C"/>
    <w:rsid w:val="00FA2338"/>
    <w:rsid w:val="00FA4208"/>
    <w:rsid w:val="00FA45BB"/>
    <w:rsid w:val="00FB1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245F"/>
  <w15:docId w15:val="{1F6159A5-35C1-8749-9554-49525AE0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B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2BFA"/>
    <w:pPr>
      <w:spacing w:after="0" w:line="240" w:lineRule="auto"/>
      <w:ind w:left="720"/>
    </w:pPr>
    <w:rPr>
      <w:rFonts w:ascii="Calibri" w:eastAsia="Times New Roman" w:hAnsi="Calibri" w:cs="Calibri"/>
    </w:rPr>
  </w:style>
  <w:style w:type="character" w:styleId="Emphasis">
    <w:name w:val="Emphasis"/>
    <w:basedOn w:val="DefaultParagraphFont"/>
    <w:uiPriority w:val="20"/>
    <w:qFormat/>
    <w:rsid w:val="006E608E"/>
    <w:rPr>
      <w:i/>
      <w:iCs/>
    </w:rPr>
  </w:style>
  <w:style w:type="paragraph" w:customStyle="1" w:styleId="para">
    <w:name w:val="para"/>
    <w:basedOn w:val="Normal"/>
    <w:rsid w:val="00EC6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620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0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0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0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0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00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B1394"/>
    <w:pPr>
      <w:spacing w:after="0" w:line="240" w:lineRule="auto"/>
    </w:pPr>
  </w:style>
  <w:style w:type="table" w:styleId="TableGrid">
    <w:name w:val="Table Grid"/>
    <w:basedOn w:val="TableNormal"/>
    <w:uiPriority w:val="39"/>
    <w:rsid w:val="00A46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337E4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089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D17BB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7819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8952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84583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hyperlink" Target="https://bmcmedicine.biomedcentral.com/articles/10.1186/s12916-018-1042-6" TargetMode="Externa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hyperlink" Target="mailto:akeyes1@jhmi.edu" TargetMode="External"/><Relationship Id="rId11" Type="http://schemas.openxmlformats.org/officeDocument/2006/relationships/hyperlink" Target="https://prsinfo.clinicaltrials.gov/ResultsDetailedReviewItems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po.gov/fdsys/pkg/FR-2016-09-21/pdf/2016-22129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po.gov/fdsys/pkg/PLAW-110publ85/pdf/PLAW-110publ85.pdf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18D6B-43EA-4B07-961A-250604772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1326</Words>
  <Characters>7563</Characters>
  <Application>Microsoft Office Word</Application>
  <DocSecurity>4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Keyes</dc:creator>
  <cp:keywords/>
  <dc:description/>
  <cp:lastModifiedBy>Tony Keyes</cp:lastModifiedBy>
  <cp:revision>2</cp:revision>
  <dcterms:created xsi:type="dcterms:W3CDTF">2019-04-18T14:04:00Z</dcterms:created>
  <dcterms:modified xsi:type="dcterms:W3CDTF">2019-04-18T14:04:00Z</dcterms:modified>
</cp:coreProperties>
</file>