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28A2D" w14:textId="77777777" w:rsidR="00560AC5" w:rsidRDefault="00560AC5" w:rsidP="00560AC5">
      <w:pPr>
        <w:jc w:val="left"/>
        <w:rPr>
          <w:b/>
        </w:rPr>
      </w:pPr>
      <w:r>
        <w:rPr>
          <w:b/>
        </w:rPr>
        <w:t>Empirical studies on prize-linked savings (study summaries and key results)</w:t>
      </w:r>
    </w:p>
    <w:p w14:paraId="3553DF7B" w14:textId="77777777" w:rsidR="002D514B" w:rsidRDefault="002D514B" w:rsidP="00560AC5">
      <w:pPr>
        <w:jc w:val="left"/>
        <w:rPr>
          <w:b/>
        </w:rPr>
      </w:pP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572"/>
        <w:gridCol w:w="1573"/>
        <w:gridCol w:w="3150"/>
        <w:gridCol w:w="2700"/>
        <w:gridCol w:w="5400"/>
      </w:tblGrid>
      <w:tr w:rsidR="00560AC5" w14:paraId="3B75FBD2" w14:textId="77777777" w:rsidTr="00AA1792">
        <w:tc>
          <w:tcPr>
            <w:tcW w:w="1572" w:type="dxa"/>
          </w:tcPr>
          <w:p w14:paraId="54949B6E" w14:textId="77777777" w:rsidR="00560AC5" w:rsidRDefault="00560AC5" w:rsidP="00560AC5">
            <w:pPr>
              <w:jc w:val="left"/>
            </w:pPr>
            <w:r>
              <w:t>Paper</w:t>
            </w:r>
          </w:p>
        </w:tc>
        <w:tc>
          <w:tcPr>
            <w:tcW w:w="1573" w:type="dxa"/>
          </w:tcPr>
          <w:p w14:paraId="641BA7CC" w14:textId="77777777" w:rsidR="00560AC5" w:rsidRDefault="00560AC5" w:rsidP="00560AC5">
            <w:pPr>
              <w:jc w:val="left"/>
            </w:pPr>
            <w:r>
              <w:t>Study type</w:t>
            </w:r>
          </w:p>
        </w:tc>
        <w:tc>
          <w:tcPr>
            <w:tcW w:w="3150" w:type="dxa"/>
          </w:tcPr>
          <w:p w14:paraId="140118F9" w14:textId="77777777" w:rsidR="00560AC5" w:rsidRDefault="00560AC5" w:rsidP="00560AC5">
            <w:pPr>
              <w:jc w:val="left"/>
            </w:pPr>
            <w:r>
              <w:t>Lottery design</w:t>
            </w:r>
          </w:p>
        </w:tc>
        <w:tc>
          <w:tcPr>
            <w:tcW w:w="2700" w:type="dxa"/>
          </w:tcPr>
          <w:p w14:paraId="0927D676" w14:textId="77777777" w:rsidR="00560AC5" w:rsidRDefault="00560AC5" w:rsidP="00560AC5">
            <w:pPr>
              <w:jc w:val="left"/>
            </w:pPr>
            <w:r>
              <w:t>Data description</w:t>
            </w:r>
          </w:p>
        </w:tc>
        <w:tc>
          <w:tcPr>
            <w:tcW w:w="5400" w:type="dxa"/>
          </w:tcPr>
          <w:p w14:paraId="585B23B7" w14:textId="77777777" w:rsidR="00560AC5" w:rsidRDefault="00560AC5" w:rsidP="00560AC5">
            <w:pPr>
              <w:jc w:val="left"/>
            </w:pPr>
            <w:r>
              <w:t>Results</w:t>
            </w:r>
          </w:p>
        </w:tc>
      </w:tr>
      <w:tr w:rsidR="00560AC5" w14:paraId="362A137F" w14:textId="77777777" w:rsidTr="00AA1792">
        <w:tc>
          <w:tcPr>
            <w:tcW w:w="1572" w:type="dxa"/>
          </w:tcPr>
          <w:p w14:paraId="384A870C" w14:textId="77777777" w:rsidR="00560AC5" w:rsidRDefault="00560AC5" w:rsidP="00560AC5">
            <w:pPr>
              <w:jc w:val="left"/>
            </w:pPr>
            <w:r>
              <w:t>Kuhn et al. (2010)</w:t>
            </w:r>
          </w:p>
        </w:tc>
        <w:tc>
          <w:tcPr>
            <w:tcW w:w="1573" w:type="dxa"/>
          </w:tcPr>
          <w:p w14:paraId="1E2BB672" w14:textId="77777777" w:rsidR="00560AC5" w:rsidRDefault="00560AC5" w:rsidP="00560AC5">
            <w:pPr>
              <w:jc w:val="left"/>
            </w:pPr>
            <w:r>
              <w:t>Observational study</w:t>
            </w:r>
          </w:p>
        </w:tc>
        <w:tc>
          <w:tcPr>
            <w:tcW w:w="3150" w:type="dxa"/>
          </w:tcPr>
          <w:p w14:paraId="0E02FA26" w14:textId="66749499" w:rsidR="00560AC5" w:rsidRDefault="00560AC5" w:rsidP="00431885">
            <w:pPr>
              <w:jc w:val="left"/>
            </w:pPr>
            <w:r>
              <w:t xml:space="preserve">The Dutch Postcode Lottery is the second largest in the Netherlands (26.6% market share) and </w:t>
            </w:r>
            <w:r w:rsidR="00920064">
              <w:t>involves almost</w:t>
            </w:r>
            <w:r>
              <w:t xml:space="preserve"> 30% of the population </w:t>
            </w:r>
            <w:r w:rsidR="00920064">
              <w:t xml:space="preserve">(2005 </w:t>
            </w:r>
            <w:r w:rsidR="00431885">
              <w:t>data</w:t>
            </w:r>
            <w:r w:rsidR="00920064">
              <w:t>). Postcodes are six digits long. The weekly Street Prize randomly selects one postcode (out of ~430,000). All participants in the winning postcode receive €9,375 per lottery ticket post-tax. Tickets cost from €6.25 to €6.75. Within the winning postcode, one ticket is selected to win a BMW (worth ~ €25,000).</w:t>
            </w:r>
          </w:p>
        </w:tc>
        <w:tc>
          <w:tcPr>
            <w:tcW w:w="2700" w:type="dxa"/>
          </w:tcPr>
          <w:p w14:paraId="23434944" w14:textId="77777777" w:rsidR="00560AC5" w:rsidRPr="00920064" w:rsidRDefault="00920064" w:rsidP="00920064">
            <w:pPr>
              <w:jc w:val="left"/>
            </w:pPr>
            <w:r>
              <w:t xml:space="preserve">Data was collected Sept. 2003 – July 2006 via surveys sent six months after to all winning postcodes. For each winning postcode, a neighboring postcode was also surveyed. 419 postcodes were surveyed, with an overall response rate of 32.7%. </w:t>
            </w:r>
            <w:r>
              <w:rPr>
                <w:i/>
              </w:rPr>
              <w:t xml:space="preserve">n </w:t>
            </w:r>
            <w:r>
              <w:t xml:space="preserve">= 2011 households. The average amount won (incl. BMW) is €16,047 (or ~8 </w:t>
            </w:r>
            <w:proofErr w:type="spellStart"/>
            <w:proofErr w:type="gramStart"/>
            <w:r>
              <w:t>months</w:t>
            </w:r>
            <w:proofErr w:type="spellEnd"/>
            <w:proofErr w:type="gramEnd"/>
            <w:r>
              <w:t xml:space="preserve"> salary for average household.)</w:t>
            </w:r>
          </w:p>
        </w:tc>
        <w:tc>
          <w:tcPr>
            <w:tcW w:w="5400" w:type="dxa"/>
          </w:tcPr>
          <w:p w14:paraId="675E77CA" w14:textId="77777777" w:rsidR="00560AC5" w:rsidRDefault="00D11258" w:rsidP="00D11258">
            <w:pPr>
              <w:pStyle w:val="ListParagraph"/>
              <w:numPr>
                <w:ilvl w:val="0"/>
                <w:numId w:val="1"/>
              </w:numPr>
              <w:ind w:left="177" w:hanging="180"/>
              <w:jc w:val="left"/>
            </w:pPr>
            <w:r>
              <w:t>Winning participants spend ~€40*** more on eating out and ~€200** more on total monthly expenditures than non-winning participants</w:t>
            </w:r>
          </w:p>
          <w:p w14:paraId="2E26622A" w14:textId="0CC8B7A0" w:rsidR="00D11258" w:rsidRDefault="00D11258" w:rsidP="00D11258">
            <w:pPr>
              <w:pStyle w:val="ListParagraph"/>
              <w:numPr>
                <w:ilvl w:val="0"/>
                <w:numId w:val="1"/>
              </w:numPr>
              <w:ind w:left="177" w:hanging="180"/>
              <w:jc w:val="left"/>
            </w:pPr>
            <w:r>
              <w:t xml:space="preserve">Winning participants are ~4.5** times more likely (4.48% vs. 1%) to renovate home exteriors since </w:t>
            </w:r>
            <w:r w:rsidR="00431885">
              <w:t xml:space="preserve">the </w:t>
            </w:r>
            <w:r>
              <w:t>lottery than non-winning participants</w:t>
            </w:r>
          </w:p>
          <w:p w14:paraId="1190C0AC" w14:textId="22CFD9E4" w:rsidR="00D11258" w:rsidRDefault="00D11258" w:rsidP="00D11258">
            <w:pPr>
              <w:pStyle w:val="ListParagraph"/>
              <w:numPr>
                <w:ilvl w:val="0"/>
                <w:numId w:val="1"/>
              </w:numPr>
              <w:ind w:left="177" w:hanging="180"/>
              <w:jc w:val="left"/>
            </w:pPr>
            <w:r>
              <w:t xml:space="preserve">Winning participants spend ~€450** more on non-car durable expenditures since </w:t>
            </w:r>
            <w:r w:rsidR="00431885">
              <w:t xml:space="preserve">the </w:t>
            </w:r>
            <w:r>
              <w:t>lottery than non-winning participants</w:t>
            </w:r>
          </w:p>
          <w:p w14:paraId="793C5109" w14:textId="61AAB1BF" w:rsidR="00B80B0F" w:rsidRDefault="00B80B0F" w:rsidP="00431885">
            <w:pPr>
              <w:pStyle w:val="ListParagraph"/>
              <w:numPr>
                <w:ilvl w:val="0"/>
                <w:numId w:val="1"/>
              </w:numPr>
              <w:ind w:left="177" w:hanging="180"/>
              <w:jc w:val="left"/>
            </w:pPr>
            <w:r>
              <w:t>16% of BMW winners had BMWs at survey date</w:t>
            </w:r>
            <w:r w:rsidR="00431885">
              <w:t>, evidencing BMW to cash transfer</w:t>
            </w:r>
          </w:p>
          <w:p w14:paraId="19FDBC36" w14:textId="5FE52133" w:rsidR="00D11258" w:rsidRDefault="00D11258" w:rsidP="00B80B0F">
            <w:pPr>
              <w:pStyle w:val="ListParagraph"/>
              <w:numPr>
                <w:ilvl w:val="0"/>
                <w:numId w:val="1"/>
              </w:numPr>
              <w:ind w:left="177" w:hanging="180"/>
              <w:jc w:val="left"/>
            </w:pPr>
            <w:r>
              <w:t xml:space="preserve">For nonparticipants: </w:t>
            </w:r>
            <w:r w:rsidR="00B80B0F">
              <w:t xml:space="preserve">% of </w:t>
            </w:r>
            <w:r>
              <w:t>those in non-winning codes</w:t>
            </w:r>
            <w:r w:rsidR="00B80B0F">
              <w:t xml:space="preserve"> who bought a car since the lottery was 17.3%. Comparatively, nonparticipants in winning codes: more than 2 doors from</w:t>
            </w:r>
            <w:r w:rsidR="00431885">
              <w:t xml:space="preserve"> a</w:t>
            </w:r>
            <w:r w:rsidR="00B80B0F">
              <w:t xml:space="preserve"> participant 24.2%, within 2 doors from </w:t>
            </w:r>
            <w:r w:rsidR="00431885">
              <w:t xml:space="preserve">a </w:t>
            </w:r>
            <w:r w:rsidR="00B80B0F">
              <w:t>participant 23.4%**, next door to participant 26.5%***.</w:t>
            </w:r>
          </w:p>
        </w:tc>
      </w:tr>
      <w:tr w:rsidR="00560AC5" w14:paraId="3446C22D" w14:textId="77777777" w:rsidTr="00AA1792">
        <w:tc>
          <w:tcPr>
            <w:tcW w:w="1572" w:type="dxa"/>
          </w:tcPr>
          <w:p w14:paraId="073ACB9A" w14:textId="6F994584" w:rsidR="00560AC5" w:rsidRDefault="00AA1792" w:rsidP="00560AC5">
            <w:pPr>
              <w:jc w:val="left"/>
            </w:pPr>
            <w:proofErr w:type="spellStart"/>
            <w:r>
              <w:t>Atalay</w:t>
            </w:r>
            <w:proofErr w:type="spellEnd"/>
            <w:r>
              <w:t xml:space="preserve"> et al. (2014)</w:t>
            </w:r>
          </w:p>
        </w:tc>
        <w:tc>
          <w:tcPr>
            <w:tcW w:w="1573" w:type="dxa"/>
          </w:tcPr>
          <w:p w14:paraId="75A18BF6" w14:textId="41E421D3" w:rsidR="00560AC5" w:rsidRDefault="00AA1792" w:rsidP="00560AC5">
            <w:pPr>
              <w:jc w:val="left"/>
            </w:pPr>
            <w:r>
              <w:t>Online experiment</w:t>
            </w:r>
          </w:p>
        </w:tc>
        <w:tc>
          <w:tcPr>
            <w:tcW w:w="3150" w:type="dxa"/>
          </w:tcPr>
          <w:p w14:paraId="51836556" w14:textId="5AACEDBF" w:rsidR="00560AC5" w:rsidRDefault="00CF26A3" w:rsidP="00CA747E">
            <w:pPr>
              <w:jc w:val="left"/>
            </w:pPr>
            <w:r>
              <w:t xml:space="preserve">Series of portfolio decisions to allocate $100 among: </w:t>
            </w:r>
            <w:r w:rsidR="00431885">
              <w:br/>
              <w:t xml:space="preserve">  </w:t>
            </w:r>
            <w:r>
              <w:t xml:space="preserve">(1) cash 2 weeks later, </w:t>
            </w:r>
            <w:r w:rsidR="00431885">
              <w:br/>
              <w:t xml:space="preserve">  </w:t>
            </w:r>
            <w:r>
              <w:t xml:space="preserve">(2) traditional savings, </w:t>
            </w:r>
            <w:r w:rsidR="00431885">
              <w:br/>
              <w:t xml:space="preserve">  </w:t>
            </w:r>
            <w:r>
              <w:t xml:space="preserve">(3) lottery, and </w:t>
            </w:r>
            <w:r w:rsidR="00431885">
              <w:br/>
              <w:t xml:space="preserve">  </w:t>
            </w:r>
            <w:r>
              <w:t xml:space="preserve">(4) PLS account. </w:t>
            </w:r>
            <w:r w:rsidR="00431885">
              <w:br/>
            </w:r>
            <w:r>
              <w:t xml:space="preserve">(2), (3), (4) paid 10 weeks later. (2) </w:t>
            </w:r>
            <w:proofErr w:type="gramStart"/>
            <w:r>
              <w:t>has</w:t>
            </w:r>
            <w:proofErr w:type="gramEnd"/>
            <w:r>
              <w:t xml:space="preserve"> three varying interest rates, 5, 10, or 20%. (3), (4) has three varying expected payoffs per dollar, $0.9, $1, or $1.1. After 6 practice allocations were 9 allocations with options (1), (2), (3)</w:t>
            </w:r>
            <w:r w:rsidR="00431885">
              <w:t>,</w:t>
            </w:r>
            <w:r>
              <w:t xml:space="preserve"> and </w:t>
            </w:r>
            <w:r w:rsidR="00431885">
              <w:t>lastly</w:t>
            </w:r>
            <w:r>
              <w:t xml:space="preserve"> 15 allocations with all 4 options. Each allocation </w:t>
            </w:r>
            <w:r w:rsidR="00CA747E">
              <w:t>problem displayed</w:t>
            </w:r>
            <w:r>
              <w:t xml:space="preserve"> a different </w:t>
            </w:r>
            <w:r>
              <w:lastRenderedPageBreak/>
              <w:t xml:space="preserve">combination of rates and expected payoffs. Allocations were made in increments of $20. </w:t>
            </w:r>
          </w:p>
        </w:tc>
        <w:tc>
          <w:tcPr>
            <w:tcW w:w="2700" w:type="dxa"/>
          </w:tcPr>
          <w:p w14:paraId="38D36F95" w14:textId="334D478A" w:rsidR="00560AC5" w:rsidRDefault="00CF26A3" w:rsidP="00CA747E">
            <w:pPr>
              <w:jc w:val="left"/>
            </w:pPr>
            <w:r>
              <w:lastRenderedPageBreak/>
              <w:t xml:space="preserve">Two sources for online recruitment: Study Response </w:t>
            </w:r>
            <w:r w:rsidR="00D00E87">
              <w:t xml:space="preserve">(SR, </w:t>
            </w:r>
            <w:r w:rsidR="00D00E87">
              <w:rPr>
                <w:i/>
              </w:rPr>
              <w:t>n=</w:t>
            </w:r>
            <w:r w:rsidR="00D00E87">
              <w:t>113)</w:t>
            </w:r>
            <w:r>
              <w:t xml:space="preserve"> and </w:t>
            </w:r>
            <w:proofErr w:type="spellStart"/>
            <w:r>
              <w:t>MTurk</w:t>
            </w:r>
            <w:proofErr w:type="spellEnd"/>
            <w:r w:rsidR="00D00E87">
              <w:t xml:space="preserve"> (</w:t>
            </w:r>
            <w:r w:rsidR="00D00E87">
              <w:rPr>
                <w:i/>
              </w:rPr>
              <w:t>n</w:t>
            </w:r>
            <w:r w:rsidR="00D00E87">
              <w:t>=449)</w:t>
            </w:r>
            <w:r>
              <w:t xml:space="preserve">. For SR, one allocation decision </w:t>
            </w:r>
            <w:r w:rsidR="00CA747E">
              <w:t xml:space="preserve">was </w:t>
            </w:r>
            <w:r>
              <w:t>ra</w:t>
            </w:r>
            <w:r w:rsidR="00CA747E">
              <w:t>ndomly selected at end of study, and participant was</w:t>
            </w:r>
            <w:r>
              <w:t xml:space="preserve"> </w:t>
            </w:r>
            <w:r w:rsidR="00CA747E">
              <w:t>p</w:t>
            </w:r>
            <w:r>
              <w:t>aid according to allocation decision 10% of the time; otherwise</w:t>
            </w:r>
            <w:r w:rsidR="00CA747E">
              <w:t>,</w:t>
            </w:r>
            <w:r>
              <w:t xml:space="preserve"> </w:t>
            </w:r>
            <w:r w:rsidR="00CA747E">
              <w:t>they were given fixed payment</w:t>
            </w:r>
            <w:r>
              <w:t xml:space="preserve"> of $8 or $12. For </w:t>
            </w:r>
            <w:proofErr w:type="spellStart"/>
            <w:r>
              <w:t>MTurk</w:t>
            </w:r>
            <w:proofErr w:type="spellEnd"/>
            <w:r>
              <w:t xml:space="preserve">, </w:t>
            </w:r>
            <w:r w:rsidR="00D00E87">
              <w:t xml:space="preserve">participants </w:t>
            </w:r>
            <w:r w:rsidR="00CA747E">
              <w:t xml:space="preserve">were </w:t>
            </w:r>
            <w:r w:rsidR="00D00E87">
              <w:t>paid by fixed amount</w:t>
            </w:r>
            <w:r w:rsidR="0081610B">
              <w:t xml:space="preserve"> of $1.50</w:t>
            </w:r>
            <w:r w:rsidR="00CA747E">
              <w:t>;</w:t>
            </w:r>
            <w:r w:rsidR="00D00E87">
              <w:t xml:space="preserve"> </w:t>
            </w:r>
            <w:r w:rsidR="00CA747E">
              <w:t>there wa</w:t>
            </w:r>
            <w:r w:rsidR="0081610B">
              <w:t xml:space="preserve">s no chance that their allocation decisions </w:t>
            </w:r>
            <w:r w:rsidR="00CA747E">
              <w:t>were</w:t>
            </w:r>
            <w:r w:rsidR="00D00E87">
              <w:t xml:space="preserve"> “real”. </w:t>
            </w:r>
          </w:p>
        </w:tc>
        <w:tc>
          <w:tcPr>
            <w:tcW w:w="5400" w:type="dxa"/>
          </w:tcPr>
          <w:p w14:paraId="5791F414" w14:textId="66E6DE35" w:rsidR="003A2339" w:rsidRDefault="003A2339" w:rsidP="003A2339">
            <w:pPr>
              <w:pStyle w:val="ListParagraph"/>
              <w:numPr>
                <w:ilvl w:val="0"/>
                <w:numId w:val="2"/>
              </w:numPr>
              <w:ind w:left="162" w:hanging="162"/>
              <w:jc w:val="left"/>
            </w:pPr>
            <w:r>
              <w:t>After all controls (e.g. expected payoffs, interaction between interest rates and expected payoffs), LPM estimates introduction of PLS accounts to increase savings by $12*** (around 25%) for entire sample, and by $15*** (around 36%) for those with no reported savings.</w:t>
            </w:r>
          </w:p>
          <w:p w14:paraId="226C6AB7" w14:textId="61259A75" w:rsidR="00560AC5" w:rsidRDefault="0081610B" w:rsidP="00CA747E">
            <w:pPr>
              <w:pStyle w:val="ListParagraph"/>
              <w:numPr>
                <w:ilvl w:val="0"/>
                <w:numId w:val="2"/>
              </w:numPr>
              <w:ind w:left="162" w:hanging="162"/>
              <w:jc w:val="left"/>
            </w:pPr>
            <w:r>
              <w:t xml:space="preserve">These findings are robust against </w:t>
            </w:r>
            <w:r w:rsidR="00CA747E">
              <w:t>the 1/N heuristic (i.e. allocation</w:t>
            </w:r>
            <w:r>
              <w:t xml:space="preserve"> to the 4</w:t>
            </w:r>
            <w:r w:rsidRPr="0081610B">
              <w:rPr>
                <w:vertAlign w:val="superscript"/>
              </w:rPr>
              <w:t>th</w:t>
            </w:r>
            <w:r>
              <w:t xml:space="preserve"> option when it becomes available</w:t>
            </w:r>
            <w:r w:rsidR="00CA747E">
              <w:t>,</w:t>
            </w:r>
            <w:r>
              <w:t xml:space="preserve"> whatever it is), the payment mechanisms (i.e. differences b/t SR and </w:t>
            </w:r>
            <w:proofErr w:type="spellStart"/>
            <w:r>
              <w:t>MTurk</w:t>
            </w:r>
            <w:proofErr w:type="spellEnd"/>
            <w:r>
              <w:t xml:space="preserve">), and the </w:t>
            </w:r>
            <w:r w:rsidR="00CA747E">
              <w:t xml:space="preserve">discrete </w:t>
            </w:r>
            <w:r>
              <w:t>$20 allocation increments.</w:t>
            </w:r>
          </w:p>
        </w:tc>
      </w:tr>
      <w:tr w:rsidR="00560AC5" w14:paraId="4773AB96" w14:textId="77777777" w:rsidTr="00AA1792">
        <w:tc>
          <w:tcPr>
            <w:tcW w:w="1572" w:type="dxa"/>
          </w:tcPr>
          <w:p w14:paraId="19940E11" w14:textId="3A6899E6" w:rsidR="00560AC5" w:rsidRDefault="00EA0654" w:rsidP="00560AC5">
            <w:pPr>
              <w:jc w:val="left"/>
            </w:pPr>
            <w:proofErr w:type="spellStart"/>
            <w:r>
              <w:lastRenderedPageBreak/>
              <w:t>Filiz-Ozbay</w:t>
            </w:r>
            <w:proofErr w:type="spellEnd"/>
            <w:r>
              <w:t xml:space="preserve"> et al. (2014)</w:t>
            </w:r>
          </w:p>
        </w:tc>
        <w:tc>
          <w:tcPr>
            <w:tcW w:w="1573" w:type="dxa"/>
          </w:tcPr>
          <w:p w14:paraId="5FEC7438" w14:textId="674FE4B4" w:rsidR="00560AC5" w:rsidRDefault="00EA0654" w:rsidP="00560AC5">
            <w:pPr>
              <w:jc w:val="left"/>
            </w:pPr>
            <w:r>
              <w:t>Lab experiment</w:t>
            </w:r>
          </w:p>
        </w:tc>
        <w:tc>
          <w:tcPr>
            <w:tcW w:w="3150" w:type="dxa"/>
          </w:tcPr>
          <w:p w14:paraId="0D338494" w14:textId="0E379A51" w:rsidR="00560AC5" w:rsidRDefault="00EA0654" w:rsidP="00A06347">
            <w:pPr>
              <w:jc w:val="left"/>
            </w:pPr>
            <w:r>
              <w:t xml:space="preserve">Ten decision problems (seven on savings, three on risk), each with ten binary questions (100 </w:t>
            </w:r>
            <w:r w:rsidR="00CA747E">
              <w:t xml:space="preserve">questions </w:t>
            </w:r>
            <w:r>
              <w:t xml:space="preserve">total). For instance, one decision problem on savings presented the participant with ten binary choices: between a certain payment of $20 in three weeks, or $20 + </w:t>
            </w:r>
            <w:r>
              <w:rPr>
                <w:i/>
              </w:rPr>
              <w:t>x</w:t>
            </w:r>
            <w:r>
              <w:t xml:space="preserve"> in five weeks, </w:t>
            </w:r>
            <w:r>
              <w:rPr>
                <w:i/>
              </w:rPr>
              <w:t>x</w:t>
            </w:r>
            <w:r w:rsidR="00A06347">
              <w:t xml:space="preserve"> </w:t>
            </w:r>
            <w:proofErr w:type="gramStart"/>
            <w:r w:rsidR="00A06347" w:rsidRPr="00A06347">
              <w:t>ϵ</w:t>
            </w:r>
            <w:r w:rsidR="00A06347">
              <w:t>{</w:t>
            </w:r>
            <w:proofErr w:type="gramEnd"/>
            <w:r w:rsidR="00A06347">
              <w:t xml:space="preserve">1,…,10}. Another presented ten binary choices but with a lottery element: $20 in three weeks or $20 with </w:t>
            </w:r>
            <w:r w:rsidR="00A06347">
              <w:rPr>
                <w:i/>
              </w:rPr>
              <w:t>x</w:t>
            </w:r>
            <w:r w:rsidR="00A06347">
              <w:t xml:space="preserve"> probability and $30 with 1-</w:t>
            </w:r>
            <w:r w:rsidR="00A06347">
              <w:rPr>
                <w:i/>
              </w:rPr>
              <w:t xml:space="preserve">x </w:t>
            </w:r>
            <w:r w:rsidR="00A06347">
              <w:t xml:space="preserve">probability in five weeks, </w:t>
            </w:r>
            <w:r w:rsidR="00A06347">
              <w:rPr>
                <w:i/>
              </w:rPr>
              <w:t>x</w:t>
            </w:r>
            <w:r w:rsidR="00A06347" w:rsidRPr="00A06347">
              <w:t xml:space="preserve"> ϵ</w:t>
            </w:r>
            <w:r w:rsidR="00A06347">
              <w:t xml:space="preserve">{0, 0.1,…,0.9}. </w:t>
            </w:r>
          </w:p>
        </w:tc>
        <w:tc>
          <w:tcPr>
            <w:tcW w:w="2700" w:type="dxa"/>
          </w:tcPr>
          <w:p w14:paraId="0627D80A" w14:textId="77777777" w:rsidR="00CA747E" w:rsidRDefault="00A06347" w:rsidP="00A06347">
            <w:pPr>
              <w:jc w:val="left"/>
            </w:pPr>
            <w:r>
              <w:t xml:space="preserve">University of Maryland undergraduate students. </w:t>
            </w:r>
            <w:r>
              <w:rPr>
                <w:i/>
              </w:rPr>
              <w:t>n</w:t>
            </w:r>
            <w:r>
              <w:t xml:space="preserve">=96. </w:t>
            </w:r>
          </w:p>
          <w:p w14:paraId="1BEE34FA" w14:textId="4ED8E6ED" w:rsidR="00CA747E" w:rsidRDefault="00A06347" w:rsidP="00CA747E">
            <w:pPr>
              <w:jc w:val="left"/>
            </w:pPr>
            <w:r>
              <w:t xml:space="preserve">$7 compensation, additional $3 for completing post-experiment survey, and one random choice was </w:t>
            </w:r>
            <w:r w:rsidR="00CA747E">
              <w:t>selected and paid out accordingly.</w:t>
            </w:r>
          </w:p>
          <w:p w14:paraId="0C71DB64" w14:textId="1C7321B4" w:rsidR="00560AC5" w:rsidRDefault="00A06347" w:rsidP="00A06347">
            <w:pPr>
              <w:jc w:val="left"/>
            </w:pPr>
            <w:r>
              <w:t>Average compensation was $18.91.</w:t>
            </w:r>
          </w:p>
        </w:tc>
        <w:tc>
          <w:tcPr>
            <w:tcW w:w="5400" w:type="dxa"/>
          </w:tcPr>
          <w:p w14:paraId="789E5F35" w14:textId="7571E83E" w:rsidR="00B83158" w:rsidRDefault="00A06347" w:rsidP="00CA747E">
            <w:pPr>
              <w:pStyle w:val="ListParagraph"/>
              <w:numPr>
                <w:ilvl w:val="0"/>
                <w:numId w:val="3"/>
              </w:numPr>
              <w:ind w:left="162" w:hanging="180"/>
              <w:jc w:val="left"/>
            </w:pPr>
            <w:r>
              <w:t xml:space="preserve">PLS induces </w:t>
            </w:r>
            <w:r w:rsidR="00B83158">
              <w:t xml:space="preserve">more savings than traditional </w:t>
            </w:r>
            <w:r w:rsidR="00CA747E">
              <w:t>savings</w:t>
            </w:r>
            <w:r w:rsidR="00B83158">
              <w:t xml:space="preserve"> </w:t>
            </w:r>
            <w:r w:rsidR="00CA747E">
              <w:t>at same</w:t>
            </w:r>
            <w:r w:rsidR="00B83158">
              <w:t xml:space="preserve"> expected payoff</w:t>
            </w:r>
            <w:r w:rsidR="00CA747E">
              <w:t>s</w:t>
            </w:r>
            <w:r w:rsidR="00B83158">
              <w:t xml:space="preserve">. For example, at </w:t>
            </w:r>
            <w:r w:rsidR="00CA747E">
              <w:t>the base level</w:t>
            </w:r>
            <w:r w:rsidR="00B83158">
              <w:t xml:space="preserve">, 47% delayed payment under traditional savings, whereas 63%*** and 69% delayed payment under PLS. For all questions, the percentages for delaying payment are 76% (traditional), 82%*** (PLS type I), 81%* (PLS type II). </w:t>
            </w:r>
            <w:r w:rsidR="00BA1809">
              <w:t>(</w:t>
            </w:r>
            <w:r w:rsidR="00B83158">
              <w:t>There is another set of traditional and PLS decision problems.</w:t>
            </w:r>
            <w:r w:rsidR="00BA1809">
              <w:t>)</w:t>
            </w:r>
          </w:p>
          <w:p w14:paraId="06468BAD" w14:textId="77777777" w:rsidR="00560AC5" w:rsidRDefault="002C5731" w:rsidP="002C5731">
            <w:pPr>
              <w:ind w:left="-18"/>
              <w:jc w:val="left"/>
            </w:pPr>
            <w:r>
              <w:rPr>
                <w:i/>
              </w:rPr>
              <w:t>Who participates in the lottery?</w:t>
            </w:r>
          </w:p>
          <w:p w14:paraId="047E8452" w14:textId="00BD5F26" w:rsidR="002C5731" w:rsidRDefault="002C5731" w:rsidP="002C5731">
            <w:pPr>
              <w:pStyle w:val="ListParagraph"/>
              <w:numPr>
                <w:ilvl w:val="0"/>
                <w:numId w:val="3"/>
              </w:numPr>
              <w:ind w:left="162" w:hanging="162"/>
              <w:jc w:val="left"/>
            </w:pPr>
            <w:r>
              <w:t xml:space="preserve">Lottery players </w:t>
            </w:r>
            <w:r w:rsidR="00CA747E">
              <w:t xml:space="preserve">are </w:t>
            </w:r>
            <w:r>
              <w:t xml:space="preserve">16.3%*** more likely to save under PLS than under traditional savings </w:t>
            </w:r>
          </w:p>
          <w:p w14:paraId="14EF9EF4" w14:textId="3E9A288A" w:rsidR="002C5731" w:rsidRDefault="002C5731" w:rsidP="002C5731">
            <w:pPr>
              <w:pStyle w:val="ListParagraph"/>
              <w:numPr>
                <w:ilvl w:val="0"/>
                <w:numId w:val="3"/>
              </w:numPr>
              <w:ind w:left="162" w:hanging="162"/>
              <w:jc w:val="left"/>
            </w:pPr>
            <w:r>
              <w:t xml:space="preserve">Females </w:t>
            </w:r>
            <w:r w:rsidR="00CA747E">
              <w:t xml:space="preserve">are </w:t>
            </w:r>
            <w:r>
              <w:t xml:space="preserve">less likely to be lottery players (21% vs. 50%). No diff in savings </w:t>
            </w:r>
            <w:r w:rsidR="00D80AF8">
              <w:t>between PLS and traditional for females, whereas for males, PLS induced 12.4%*** higher savings rate.</w:t>
            </w:r>
          </w:p>
          <w:p w14:paraId="06FA3298" w14:textId="5D4555DA" w:rsidR="002C5731" w:rsidRDefault="00D80AF8" w:rsidP="00D80AF8">
            <w:pPr>
              <w:pStyle w:val="ListParagraph"/>
              <w:numPr>
                <w:ilvl w:val="0"/>
                <w:numId w:val="3"/>
              </w:numPr>
              <w:ind w:left="162" w:hanging="162"/>
              <w:jc w:val="left"/>
            </w:pPr>
            <w:r>
              <w:t xml:space="preserve">PLS induced 11.8% higher savings rate for those with savings under $1000 </w:t>
            </w:r>
          </w:p>
        </w:tc>
      </w:tr>
      <w:tr w:rsidR="00560AC5" w14:paraId="3FDDCBFD" w14:textId="77777777" w:rsidTr="00AA1792">
        <w:tc>
          <w:tcPr>
            <w:tcW w:w="1572" w:type="dxa"/>
          </w:tcPr>
          <w:p w14:paraId="3B8A8670" w14:textId="0BA52C53" w:rsidR="00560AC5" w:rsidRDefault="000A2DE3" w:rsidP="00560AC5">
            <w:pPr>
              <w:jc w:val="left"/>
            </w:pPr>
            <w:r>
              <w:t>Cole et al (2014)</w:t>
            </w:r>
          </w:p>
        </w:tc>
        <w:tc>
          <w:tcPr>
            <w:tcW w:w="1573" w:type="dxa"/>
          </w:tcPr>
          <w:p w14:paraId="4C545492" w14:textId="6F5B6833" w:rsidR="00560AC5" w:rsidRDefault="000A2DE3" w:rsidP="00560AC5">
            <w:pPr>
              <w:jc w:val="left"/>
            </w:pPr>
            <w:r>
              <w:t>Observational study</w:t>
            </w:r>
          </w:p>
        </w:tc>
        <w:tc>
          <w:tcPr>
            <w:tcW w:w="3150" w:type="dxa"/>
          </w:tcPr>
          <w:p w14:paraId="5A3D55BB" w14:textId="1FA8CBF9" w:rsidR="00560AC5" w:rsidRDefault="000A2DE3" w:rsidP="00CA747E">
            <w:pPr>
              <w:jc w:val="left"/>
            </w:pPr>
            <w:r>
              <w:t xml:space="preserve">First National Bank </w:t>
            </w:r>
            <w:r w:rsidR="006B7DCD">
              <w:t xml:space="preserve">(FNB) </w:t>
            </w:r>
            <w:r>
              <w:t>“Million-a-Month” (</w:t>
            </w:r>
            <w:proofErr w:type="spellStart"/>
            <w:r>
              <w:t>MaMa</w:t>
            </w:r>
            <w:proofErr w:type="spellEnd"/>
            <w:r>
              <w:t xml:space="preserve">) accounts. </w:t>
            </w:r>
            <w:r w:rsidR="00CA747E">
              <w:t>Every</w:t>
            </w:r>
            <w:r w:rsidR="006B7DCD">
              <w:t xml:space="preserve"> R100 (~$8.5) in a </w:t>
            </w:r>
            <w:proofErr w:type="spellStart"/>
            <w:r w:rsidR="006B7DCD">
              <w:t>MaMa</w:t>
            </w:r>
            <w:proofErr w:type="spellEnd"/>
            <w:r w:rsidR="006B7DCD">
              <w:t xml:space="preserve"> account corresponded to one ticket in the lottery. Once a month, </w:t>
            </w:r>
            <w:r w:rsidR="00CA747E">
              <w:br/>
            </w:r>
            <w:r w:rsidR="006B7DCD">
              <w:t>one ticket selected to win R1</w:t>
            </w:r>
            <w:proofErr w:type="gramStart"/>
            <w:r w:rsidR="006B7DCD">
              <w:t>,000,000</w:t>
            </w:r>
            <w:proofErr w:type="gramEnd"/>
            <w:r w:rsidR="006B7DCD">
              <w:t xml:space="preserve">, </w:t>
            </w:r>
            <w:r w:rsidR="00CA747E">
              <w:br/>
            </w:r>
            <w:r w:rsidR="006B7DCD">
              <w:t xml:space="preserve">two to win R100,000, </w:t>
            </w:r>
            <w:r w:rsidR="00CA747E">
              <w:br/>
            </w:r>
            <w:r w:rsidR="006B7DCD">
              <w:t xml:space="preserve">ten to win R20,000, and </w:t>
            </w:r>
            <w:r w:rsidR="00CA747E">
              <w:br/>
            </w:r>
            <w:r w:rsidR="006B7DCD">
              <w:t>one hundred to win R1,000. The number of smaller prizes (i.e. excl. R1</w:t>
            </w:r>
            <w:proofErr w:type="gramStart"/>
            <w:r w:rsidR="006B7DCD">
              <w:t>,000,000</w:t>
            </w:r>
            <w:proofErr w:type="gramEnd"/>
            <w:r w:rsidR="006B7DCD">
              <w:t xml:space="preserve">) was doubled in Sept. 2007. Withdrawals required 32 day notice. FNB also offers a </w:t>
            </w:r>
            <w:r w:rsidR="006B7DCD">
              <w:lastRenderedPageBreak/>
              <w:t>regular interest-paying 32-day account, paying from 4% to 4.75% APR depending on the size of the account.</w:t>
            </w:r>
          </w:p>
        </w:tc>
        <w:tc>
          <w:tcPr>
            <w:tcW w:w="2700" w:type="dxa"/>
          </w:tcPr>
          <w:p w14:paraId="55350E6B" w14:textId="76E74573" w:rsidR="00AE57AC" w:rsidRDefault="00AE57AC" w:rsidP="00CA747E">
            <w:pPr>
              <w:jc w:val="left"/>
            </w:pPr>
            <w:r>
              <w:lastRenderedPageBreak/>
              <w:t xml:space="preserve">Data from FNB in three types: </w:t>
            </w:r>
            <w:r w:rsidR="00CA747E">
              <w:br/>
            </w:r>
            <w:r>
              <w:t xml:space="preserve">(1) </w:t>
            </w:r>
            <w:r w:rsidR="006B7DCD">
              <w:t>monthly branch-level data for all bank branches (</w:t>
            </w:r>
            <w:r w:rsidR="006B7DCD">
              <w:rPr>
                <w:i/>
              </w:rPr>
              <w:t>n</w:t>
            </w:r>
            <w:r w:rsidR="006B7DCD">
              <w:t xml:space="preserve">=604), </w:t>
            </w:r>
            <w:r w:rsidR="00CA747E">
              <w:br/>
            </w:r>
            <w:r>
              <w:t xml:space="preserve">(2) </w:t>
            </w:r>
            <w:r w:rsidR="006B7DCD">
              <w:t>account-level data for bank employees (</w:t>
            </w:r>
            <w:r w:rsidR="006B7DCD">
              <w:rPr>
                <w:i/>
              </w:rPr>
              <w:t>n</w:t>
            </w:r>
            <w:r w:rsidR="006B7DCD">
              <w:t xml:space="preserve">=38,301), and </w:t>
            </w:r>
            <w:r w:rsidR="00CA747E">
              <w:br/>
            </w:r>
            <w:r>
              <w:t xml:space="preserve">(3) </w:t>
            </w:r>
            <w:r w:rsidR="006B7DCD">
              <w:t>account-level data for prize winners</w:t>
            </w:r>
            <w:r w:rsidR="002D514B">
              <w:t xml:space="preserve"> (</w:t>
            </w:r>
            <w:r w:rsidR="002D514B">
              <w:rPr>
                <w:i/>
              </w:rPr>
              <w:t>n</w:t>
            </w:r>
            <w:r w:rsidR="002D514B">
              <w:t>=4,341)</w:t>
            </w:r>
            <w:r w:rsidR="006B7DCD">
              <w:t xml:space="preserve">. </w:t>
            </w:r>
          </w:p>
          <w:p w14:paraId="7E0EC7F6" w14:textId="216048DC" w:rsidR="00560AC5" w:rsidRDefault="00AE57AC" w:rsidP="00AE57AC">
            <w:pPr>
              <w:jc w:val="left"/>
            </w:pPr>
            <w:r>
              <w:t xml:space="preserve">FNB data from Jan 2003 to July 2008. </w:t>
            </w:r>
            <w:r w:rsidR="00CA747E">
              <w:br/>
            </w:r>
            <w:r w:rsidR="006B7DCD">
              <w:t xml:space="preserve">Data augmented with </w:t>
            </w:r>
            <w:r>
              <w:t xml:space="preserve">2005 </w:t>
            </w:r>
            <w:proofErr w:type="spellStart"/>
            <w:r w:rsidR="006B7DCD">
              <w:t>FinScope</w:t>
            </w:r>
            <w:proofErr w:type="spellEnd"/>
            <w:r w:rsidR="006B7DCD">
              <w:t xml:space="preserve"> financial survey (</w:t>
            </w:r>
            <w:r>
              <w:t xml:space="preserve">on </w:t>
            </w:r>
            <w:r w:rsidR="006B7DCD">
              <w:t xml:space="preserve">financial literacy and attitudes). </w:t>
            </w:r>
          </w:p>
        </w:tc>
        <w:tc>
          <w:tcPr>
            <w:tcW w:w="5400" w:type="dxa"/>
          </w:tcPr>
          <w:p w14:paraId="17C0CA18" w14:textId="17BFF9AD" w:rsidR="00850574" w:rsidRPr="00850574" w:rsidRDefault="00850574" w:rsidP="00850574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Branch-level results</w:t>
            </w:r>
          </w:p>
          <w:p w14:paraId="1E3E383F" w14:textId="5A15C7BE" w:rsidR="00AE57AC" w:rsidRDefault="00AE57AC" w:rsidP="002D514B">
            <w:pPr>
              <w:pStyle w:val="ListParagraph"/>
              <w:numPr>
                <w:ilvl w:val="0"/>
                <w:numId w:val="4"/>
              </w:numPr>
              <w:ind w:left="162" w:hanging="162"/>
              <w:jc w:val="left"/>
            </w:pPr>
            <w:r>
              <w:t>Negative relationship between median income and PLS demand: one standard deviation decrease in median income (R18,462/year) increases total balances held in PLS accounts by R184,618 at a branch (7.5% increase from mean balance)</w:t>
            </w:r>
          </w:p>
          <w:p w14:paraId="12A49DE4" w14:textId="77777777" w:rsidR="00AE57AC" w:rsidRDefault="00AE57AC" w:rsidP="00AE57AC">
            <w:pPr>
              <w:pStyle w:val="ListParagraph"/>
              <w:numPr>
                <w:ilvl w:val="0"/>
                <w:numId w:val="4"/>
              </w:numPr>
              <w:ind w:left="162" w:hanging="162"/>
              <w:jc w:val="left"/>
            </w:pPr>
            <w:r>
              <w:t xml:space="preserve">One </w:t>
            </w:r>
            <w:proofErr w:type="spellStart"/>
            <w:r>
              <w:t>std</w:t>
            </w:r>
            <w:proofErr w:type="spellEnd"/>
            <w:r>
              <w:t xml:space="preserve"> dev. reduction in</w:t>
            </w:r>
            <w:r>
              <w:t xml:space="preserve"> median age (5.6 years) associated with increase of R 137,503 in </w:t>
            </w:r>
            <w:r>
              <w:t>PLS deposits, (</w:t>
            </w:r>
            <w:r>
              <w:t>5.6% increase from the mean</w:t>
            </w:r>
            <w:r>
              <w:t>)</w:t>
            </w:r>
          </w:p>
          <w:p w14:paraId="534EC54D" w14:textId="77777777" w:rsidR="00AE57AC" w:rsidRDefault="00AE57AC" w:rsidP="00AE57AC">
            <w:pPr>
              <w:pStyle w:val="ListParagraph"/>
              <w:numPr>
                <w:ilvl w:val="0"/>
                <w:numId w:val="4"/>
              </w:numPr>
              <w:ind w:left="162" w:hanging="162"/>
              <w:jc w:val="left"/>
            </w:pPr>
            <w:r>
              <w:t>No effect of education</w:t>
            </w:r>
          </w:p>
          <w:p w14:paraId="6FA18341" w14:textId="77777777" w:rsidR="00850574" w:rsidRDefault="00AE57AC" w:rsidP="00AE57AC">
            <w:pPr>
              <w:pStyle w:val="ListParagraph"/>
              <w:numPr>
                <w:ilvl w:val="0"/>
                <w:numId w:val="4"/>
              </w:numPr>
              <w:ind w:left="162" w:hanging="162"/>
              <w:jc w:val="left"/>
            </w:pPr>
            <w:r>
              <w:t xml:space="preserve">Increase in optimism and connectedness index (from </w:t>
            </w:r>
            <w:proofErr w:type="spellStart"/>
            <w:r>
              <w:t>FinScope</w:t>
            </w:r>
            <w:proofErr w:type="spellEnd"/>
            <w:r>
              <w:t xml:space="preserve"> dataset) decreases PLS deposits at branch by R534.317</w:t>
            </w:r>
          </w:p>
          <w:p w14:paraId="68305D1C" w14:textId="75835CD5" w:rsidR="00850574" w:rsidRDefault="00850574" w:rsidP="00850574">
            <w:pPr>
              <w:pStyle w:val="ListParagraph"/>
              <w:numPr>
                <w:ilvl w:val="0"/>
                <w:numId w:val="4"/>
              </w:numPr>
              <w:ind w:left="162" w:hanging="162"/>
              <w:jc w:val="left"/>
            </w:pPr>
            <w:r>
              <w:t>Increase in risk index by one std. dev. predicts increase of PLS deposits at branch by R138</w:t>
            </w:r>
            <w:proofErr w:type="gramStart"/>
            <w:r>
              <w:t>,122</w:t>
            </w:r>
            <w:proofErr w:type="gramEnd"/>
            <w:r>
              <w:t xml:space="preserve"> (5.6% from mean). I</w:t>
            </w:r>
            <w:r>
              <w:t xml:space="preserve">ncrease in </w:t>
            </w:r>
            <w:r>
              <w:t xml:space="preserve">financial constraint </w:t>
            </w:r>
            <w:r>
              <w:lastRenderedPageBreak/>
              <w:t>index</w:t>
            </w:r>
            <w:r>
              <w:t xml:space="preserve"> by one std. dev.</w:t>
            </w:r>
            <w:r>
              <w:t xml:space="preserve"> predicts</w:t>
            </w:r>
            <w:r>
              <w:t xml:space="preserve"> increase</w:t>
            </w:r>
            <w:r>
              <w:t xml:space="preserve"> of PLS deposits at branch by R12</w:t>
            </w:r>
            <w:r>
              <w:t>8,</w:t>
            </w:r>
            <w:r>
              <w:t>623 (5.2</w:t>
            </w:r>
            <w:r>
              <w:t>% from mean)</w:t>
            </w:r>
          </w:p>
          <w:p w14:paraId="6F6316B3" w14:textId="77777777" w:rsidR="00850574" w:rsidRDefault="00850574" w:rsidP="00850574">
            <w:pPr>
              <w:jc w:val="left"/>
              <w:rPr>
                <w:i/>
                <w:iCs/>
              </w:rPr>
            </w:pPr>
            <w:bookmarkStart w:id="0" w:name="_GoBack"/>
            <w:bookmarkEnd w:id="0"/>
          </w:p>
          <w:p w14:paraId="3677F270" w14:textId="0A7DA79C" w:rsidR="00850574" w:rsidRPr="00850574" w:rsidRDefault="00850574" w:rsidP="00850574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Employee results</w:t>
            </w:r>
          </w:p>
          <w:p w14:paraId="5F7B9B9C" w14:textId="1EE70400" w:rsidR="00850574" w:rsidRDefault="00850574" w:rsidP="00850574">
            <w:pPr>
              <w:pStyle w:val="ListParagraph"/>
              <w:numPr>
                <w:ilvl w:val="0"/>
                <w:numId w:val="4"/>
              </w:numPr>
              <w:ind w:left="162" w:hanging="162"/>
              <w:jc w:val="left"/>
            </w:pPr>
            <w:r>
              <w:t>Older employees (&gt;29 years) 9.3% less likely to have regular savings account but 5.6% more likely to have PLS account</w:t>
            </w:r>
          </w:p>
          <w:p w14:paraId="6D7F9EE7" w14:textId="77777777" w:rsidR="00850574" w:rsidRDefault="00850574" w:rsidP="00850574">
            <w:pPr>
              <w:pStyle w:val="ListParagraph"/>
              <w:numPr>
                <w:ilvl w:val="0"/>
                <w:numId w:val="4"/>
              </w:numPr>
              <w:ind w:left="162" w:hanging="162"/>
              <w:jc w:val="left"/>
            </w:pPr>
            <w:r>
              <w:t>Men 8.8% less likely to have regular savings account and 4.2% less likely to have PLS account</w:t>
            </w:r>
          </w:p>
          <w:p w14:paraId="1E23FC99" w14:textId="77777777" w:rsidR="00850574" w:rsidRDefault="00850574" w:rsidP="00850574">
            <w:pPr>
              <w:pStyle w:val="ListParagraph"/>
              <w:numPr>
                <w:ilvl w:val="0"/>
                <w:numId w:val="4"/>
              </w:numPr>
              <w:ind w:left="162" w:hanging="162"/>
              <w:jc w:val="left"/>
            </w:pPr>
            <w:r>
              <w:t>Employees with no savings and checking accounts at FNB 4.6% more likely to open PLS account</w:t>
            </w:r>
          </w:p>
          <w:p w14:paraId="60C5D5CC" w14:textId="77777777" w:rsidR="00850574" w:rsidRDefault="00850574" w:rsidP="00850574">
            <w:pPr>
              <w:pStyle w:val="ListParagraph"/>
              <w:numPr>
                <w:ilvl w:val="0"/>
                <w:numId w:val="4"/>
              </w:numPr>
              <w:ind w:left="162" w:hanging="162"/>
              <w:jc w:val="left"/>
            </w:pPr>
            <w:r>
              <w:t>Employees with high net borrowing from FNB (i.e. financially constrained) almost 18% more likely to open PLS account</w:t>
            </w:r>
          </w:p>
          <w:p w14:paraId="705BD673" w14:textId="77777777" w:rsidR="00431885" w:rsidRDefault="00431885" w:rsidP="00431885">
            <w:pPr>
              <w:pStyle w:val="ListParagraph"/>
              <w:ind w:left="162"/>
              <w:jc w:val="left"/>
            </w:pPr>
          </w:p>
          <w:p w14:paraId="3D25292E" w14:textId="3C7B272B" w:rsidR="00850574" w:rsidRDefault="00850574" w:rsidP="00850574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Savings vs. PLS vs. gambling results</w:t>
            </w:r>
          </w:p>
          <w:p w14:paraId="1654070F" w14:textId="77777777" w:rsidR="00850574" w:rsidRDefault="00850574" w:rsidP="00850574">
            <w:pPr>
              <w:pStyle w:val="ListParagraph"/>
              <w:numPr>
                <w:ilvl w:val="0"/>
                <w:numId w:val="5"/>
              </w:numPr>
              <w:ind w:left="162" w:hanging="162"/>
              <w:jc w:val="left"/>
            </w:pPr>
            <w:r>
              <w:t>PLS participants save around 1% more annual income than non-participants, a 38% increase from average savings level of 2.9% annual income (evidence against savings cannibalization)</w:t>
            </w:r>
          </w:p>
          <w:p w14:paraId="2BAA06C1" w14:textId="77777777" w:rsidR="00431885" w:rsidRDefault="00431885" w:rsidP="00850574">
            <w:pPr>
              <w:pStyle w:val="ListParagraph"/>
              <w:numPr>
                <w:ilvl w:val="0"/>
                <w:numId w:val="5"/>
              </w:numPr>
              <w:ind w:left="162" w:hanging="162"/>
              <w:jc w:val="left"/>
            </w:pPr>
            <w:r>
              <w:t>PLS acts as substitute for lottery gambling: when national lottery prize in highest quartile, reduction of PLS deposits by 15.1%, and 7.7% decrease in opening of new PLS accounts. Results similar for lottery prize in second highest quartile.</w:t>
            </w:r>
          </w:p>
          <w:p w14:paraId="0E3EF231" w14:textId="77777777" w:rsidR="00431885" w:rsidRDefault="00431885" w:rsidP="00431885">
            <w:pPr>
              <w:pStyle w:val="ListParagraph"/>
              <w:ind w:left="162"/>
              <w:jc w:val="left"/>
            </w:pPr>
          </w:p>
          <w:p w14:paraId="5FEA2850" w14:textId="77777777" w:rsidR="00431885" w:rsidRDefault="00431885" w:rsidP="00431885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Prize winner results</w:t>
            </w:r>
          </w:p>
          <w:p w14:paraId="4850B437" w14:textId="77777777" w:rsidR="00431885" w:rsidRDefault="00431885" w:rsidP="00431885">
            <w:pPr>
              <w:pStyle w:val="ListParagraph"/>
              <w:numPr>
                <w:ilvl w:val="0"/>
                <w:numId w:val="6"/>
              </w:numPr>
              <w:ind w:left="162" w:hanging="162"/>
              <w:jc w:val="left"/>
            </w:pPr>
            <w:r>
              <w:t>Across all prize amounts, winners keep more in their PLS accounts than non-winners</w:t>
            </w:r>
          </w:p>
          <w:p w14:paraId="498DF66E" w14:textId="77777777" w:rsidR="00431885" w:rsidRDefault="00431885" w:rsidP="00431885">
            <w:pPr>
              <w:pStyle w:val="ListParagraph"/>
              <w:numPr>
                <w:ilvl w:val="0"/>
                <w:numId w:val="6"/>
              </w:numPr>
              <w:ind w:left="162" w:hanging="162"/>
              <w:jc w:val="left"/>
            </w:pPr>
            <w:r>
              <w:t>One year after winning, 68% add net deposits to account, 7% maintain same amount, and 24% make net withdrawals</w:t>
            </w:r>
          </w:p>
          <w:p w14:paraId="1FDDF162" w14:textId="77777777" w:rsidR="00431885" w:rsidRDefault="00431885" w:rsidP="00431885">
            <w:pPr>
              <w:pStyle w:val="ListParagraph"/>
              <w:ind w:left="162"/>
              <w:jc w:val="left"/>
            </w:pPr>
          </w:p>
          <w:p w14:paraId="650EED30" w14:textId="77777777" w:rsidR="00431885" w:rsidRDefault="00431885" w:rsidP="00431885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Buzz effect</w:t>
            </w:r>
          </w:p>
          <w:p w14:paraId="181A3130" w14:textId="3454C026" w:rsidR="00560AC5" w:rsidRDefault="00431885" w:rsidP="00431885">
            <w:pPr>
              <w:pStyle w:val="ListParagraph"/>
              <w:numPr>
                <w:ilvl w:val="0"/>
                <w:numId w:val="7"/>
              </w:numPr>
              <w:ind w:left="162" w:hanging="162"/>
              <w:jc w:val="left"/>
            </w:pPr>
            <w:r>
              <w:t>L</w:t>
            </w:r>
            <w:r w:rsidRPr="00431885">
              <w:t>arge prizes generate a local “buzz” which lead to an 11.6% increase in demand for PLS at a winning branch.</w:t>
            </w:r>
          </w:p>
        </w:tc>
      </w:tr>
    </w:tbl>
    <w:p w14:paraId="75377A3B" w14:textId="08AE30F1" w:rsidR="00427F20" w:rsidRDefault="00427F20"/>
    <w:sectPr w:rsidR="00427F20" w:rsidSect="00AA179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1283D"/>
    <w:multiLevelType w:val="hybridMultilevel"/>
    <w:tmpl w:val="CBE47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9387E"/>
    <w:multiLevelType w:val="hybridMultilevel"/>
    <w:tmpl w:val="EAA08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24F9D"/>
    <w:multiLevelType w:val="hybridMultilevel"/>
    <w:tmpl w:val="1A3025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81850"/>
    <w:multiLevelType w:val="hybridMultilevel"/>
    <w:tmpl w:val="F1446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95206"/>
    <w:multiLevelType w:val="hybridMultilevel"/>
    <w:tmpl w:val="577804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71678C"/>
    <w:multiLevelType w:val="hybridMultilevel"/>
    <w:tmpl w:val="796CA4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A02B8"/>
    <w:multiLevelType w:val="hybridMultilevel"/>
    <w:tmpl w:val="FB72E6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C5"/>
    <w:rsid w:val="000A2DE3"/>
    <w:rsid w:val="002C5731"/>
    <w:rsid w:val="002D514B"/>
    <w:rsid w:val="003A2339"/>
    <w:rsid w:val="00427F20"/>
    <w:rsid w:val="00431885"/>
    <w:rsid w:val="004C3218"/>
    <w:rsid w:val="00560AC5"/>
    <w:rsid w:val="006B7DCD"/>
    <w:rsid w:val="0081610B"/>
    <w:rsid w:val="00850574"/>
    <w:rsid w:val="00920064"/>
    <w:rsid w:val="00A06347"/>
    <w:rsid w:val="00AA1792"/>
    <w:rsid w:val="00AE57AC"/>
    <w:rsid w:val="00B80B0F"/>
    <w:rsid w:val="00B83158"/>
    <w:rsid w:val="00BA1809"/>
    <w:rsid w:val="00CA747E"/>
    <w:rsid w:val="00CF26A3"/>
    <w:rsid w:val="00D00E87"/>
    <w:rsid w:val="00D11258"/>
    <w:rsid w:val="00D80AF8"/>
    <w:rsid w:val="00E862AF"/>
    <w:rsid w:val="00EA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DF77"/>
  <w15:chartTrackingRefBased/>
  <w15:docId w15:val="{E26F4439-B8EF-4E73-A7F2-B724C9E9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Woojin Kim</dc:creator>
  <cp:keywords/>
  <dc:description/>
  <cp:lastModifiedBy>Woojin Kim</cp:lastModifiedBy>
  <cp:revision>10</cp:revision>
  <cp:lastPrinted>2015-02-03T20:05:00Z</cp:lastPrinted>
  <dcterms:created xsi:type="dcterms:W3CDTF">2015-02-03T07:28:00Z</dcterms:created>
  <dcterms:modified xsi:type="dcterms:W3CDTF">2015-02-03T20:05:00Z</dcterms:modified>
</cp:coreProperties>
</file>