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08E4F94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w:t>
      </w:r>
      <w:r w:rsidR="005A4C51">
        <w:rPr>
          <w:rFonts w:ascii="Times New Roman" w:hAnsi="Times New Roman" w:cs="Times New Roman"/>
        </w:rPr>
        <w:t xml:space="preserve">. However, </w:t>
      </w:r>
      <w:r w:rsidRPr="008B48F3">
        <w:rPr>
          <w:rFonts w:ascii="Times New Roman" w:hAnsi="Times New Roman" w:cs="Times New Roman"/>
        </w:rPr>
        <w:t>climate change is only one of a suite of stressors</w:t>
      </w:r>
      <w:r w:rsidR="00003359">
        <w:rPr>
          <w:rFonts w:ascii="Times New Roman" w:hAnsi="Times New Roman" w:cs="Times New Roman"/>
        </w:rPr>
        <w:t xml:space="preserve"> and</w:t>
      </w:r>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sidR="00003359">
        <w:rPr>
          <w:rFonts w:ascii="Times New Roman" w:hAnsi="Times New Roman" w:cs="Times New Roman"/>
        </w:rPr>
        <w:t xml:space="preserve"> may prevent a</w:t>
      </w:r>
      <w:r w:rsidR="005A4C51">
        <w:rPr>
          <w:rFonts w:ascii="Times New Roman" w:hAnsi="Times New Roman" w:cs="Times New Roman"/>
        </w:rPr>
        <w:t xml:space="preserve"> s</w:t>
      </w:r>
      <w:r w:rsidRPr="008B48F3">
        <w:rPr>
          <w:rFonts w:ascii="Times New Roman" w:hAnsi="Times New Roman" w:cs="Times New Roman"/>
        </w:rPr>
        <w:t xml:space="preserve">pecies </w:t>
      </w:r>
      <w:r w:rsidR="00003359">
        <w:rPr>
          <w:rFonts w:ascii="Times New Roman" w:hAnsi="Times New Roman" w:cs="Times New Roman"/>
        </w:rPr>
        <w:t>from being</w:t>
      </w:r>
      <w:r w:rsidRPr="008B48F3">
        <w:rPr>
          <w:rFonts w:ascii="Times New Roman" w:hAnsi="Times New Roman" w:cs="Times New Roman"/>
        </w:rPr>
        <w:t xml:space="preserve"> able to shift rapidly enough to keep up with climate velocity (the rate and direction that isotherms move across the landscape). </w:t>
      </w:r>
      <w:r w:rsidR="00003359">
        <w:rPr>
          <w:rFonts w:ascii="Times New Roman" w:hAnsi="Times New Roman" w:cs="Times New Roman"/>
        </w:rPr>
        <w:t>D</w:t>
      </w:r>
      <w:r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identify</w:t>
      </w:r>
      <w:r w:rsidRPr="008B48F3">
        <w:rPr>
          <w:rFonts w:ascii="Times New Roman" w:hAnsi="Times New Roman" w:cs="Times New Roman"/>
        </w:rPr>
        <w:t xml:space="preserve"> conditions under which</w:t>
      </w:r>
      <w:r w:rsidR="00003359">
        <w:rPr>
          <w:rFonts w:ascii="Times New Roman" w:hAnsi="Times New Roman" w:cs="Times New Roman"/>
        </w:rPr>
        <w:t>,</w:t>
      </w:r>
      <w:r w:rsidRPr="008B48F3">
        <w:rPr>
          <w:rFonts w:ascii="Times New Roman" w:hAnsi="Times New Roman" w:cs="Times New Roman"/>
        </w:rPr>
        <w:t xml:space="preserve"> </w:t>
      </w:r>
      <w:r w:rsidR="00003359">
        <w:rPr>
          <w:rFonts w:ascii="Times New Roman" w:hAnsi="Times New Roman" w:cs="Times New Roman"/>
        </w:rPr>
        <w:t xml:space="preserve">individually, </w:t>
      </w:r>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w:t>
      </w:r>
      <w:r w:rsidR="00003359">
        <w:rPr>
          <w:rFonts w:ascii="Times New Roman" w:hAnsi="Times New Roman" w:cs="Times New Roman"/>
        </w:rPr>
        <w:t>do not</w:t>
      </w:r>
      <w:r w:rsidR="00003359" w:rsidRPr="008B48F3">
        <w:rPr>
          <w:rFonts w:ascii="Times New Roman" w:hAnsi="Times New Roman" w:cs="Times New Roman"/>
        </w:rPr>
        <w:t xml:space="preserve"> d</w:t>
      </w:r>
      <w:r w:rsidR="00003359">
        <w:rPr>
          <w:rFonts w:ascii="Times New Roman" w:hAnsi="Times New Roman" w:cs="Times New Roman"/>
        </w:rPr>
        <w:t>rive a population extinct, but, in combination, they do</w:t>
      </w:r>
      <w:r w:rsidR="00003359" w:rsidRPr="008B48F3" w:rsidDel="00003359">
        <w:rPr>
          <w:rFonts w:ascii="Times New Roman" w:hAnsi="Times New Roman" w:cs="Times New Roman"/>
        </w:rPr>
        <w:t xml:space="preserve"> </w:t>
      </w:r>
      <w:r w:rsidRPr="008B48F3">
        <w:rPr>
          <w:rFonts w:ascii="Times New Roman" w:hAnsi="Times New Roman" w:cs="Times New Roman"/>
        </w:rPr>
        <w:t xml:space="preserve">. </w:t>
      </w:r>
      <w:r w:rsidR="00490245">
        <w:rPr>
          <w:rFonts w:ascii="Times New Roman" w:hAnsi="Times New Roman" w:cs="Times New Roman"/>
        </w:rPr>
        <w:t>Except in these extreme cases, w</w:t>
      </w:r>
      <w:r w:rsidRPr="008B48F3">
        <w:rPr>
          <w:rFonts w:ascii="Times New Roman" w:hAnsi="Times New Roman" w:cs="Times New Roman"/>
        </w:rPr>
        <w:t xml:space="preserve">e also find that, in our model, </w:t>
      </w:r>
      <w:r w:rsidR="00E57628">
        <w:rPr>
          <w:rFonts w:ascii="Times New Roman" w:hAnsi="Times New Roman" w:cs="Times New Roman"/>
        </w:rPr>
        <w:t xml:space="preserve">the interaction between </w:t>
      </w:r>
      <w:r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533C581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There are many stressors that can disturb an ecosystem, and 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 Less work, however, has been done 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individual impacts would suggest otherwise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4D0C136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 al. 2008; Halpern et al. 2008), provide an important example of ecological disturbances occurring in unison.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71A3ACA6"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xml:space="preserve">. For example, empirical data suggest that Atlantic croaker populations move poleward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DA0A49">
        <w:rPr>
          <w:rFonts w:ascii="Times New Roman" w:hAnsi="Times New Roman" w:cs="Times New Roman"/>
        </w:rPr>
        <w:t xml:space="preserve"> and empirical</w:t>
      </w:r>
      <w:r w:rsidRPr="008B48F3">
        <w:rPr>
          <w:rFonts w:ascii="Times New Roman" w:hAnsi="Times New Roman" w:cs="Times New Roman"/>
        </w:rPr>
        <w:t xml:space="preserve"> observations suggest</w:t>
      </w:r>
      <w:r w:rsidR="00DA0A49">
        <w:rPr>
          <w:rFonts w:ascii="Times New Roman" w:hAnsi="Times New Roman" w:cs="Times New Roman"/>
        </w:rPr>
        <w:t>ing</w:t>
      </w:r>
      <w:r w:rsidRPr="008B48F3">
        <w:rPr>
          <w:rFonts w:ascii="Times New Roman" w:hAnsi="Times New Roman" w:cs="Times New Roman"/>
        </w:rPr>
        <w:t xml:space="preserve"> that species follow warming temperatures more effectively in protected areas than in unprotected land (Thomas et al. 2012), </w:t>
      </w:r>
      <w:r w:rsidR="00DA0A49">
        <w:rPr>
          <w:rFonts w:ascii="Times New Roman" w:hAnsi="Times New Roman" w:cs="Times New Roman"/>
        </w:rPr>
        <w:t>as well as</w:t>
      </w:r>
      <w:r w:rsidR="00DA0A49" w:rsidRPr="008B48F3">
        <w:rPr>
          <w:rFonts w:ascii="Times New Roman" w:hAnsi="Times New Roman" w:cs="Times New Roman"/>
        </w:rPr>
        <w:t xml:space="preserve"> </w:t>
      </w:r>
      <w:r w:rsidRPr="008B48F3">
        <w:rPr>
          <w:rFonts w:ascii="Times New Roman" w:hAnsi="Times New Roman" w:cs="Times New Roman"/>
        </w:rPr>
        <w:t>a number of studies conclud</w:t>
      </w:r>
      <w:r w:rsidR="00DA0A49">
        <w:rPr>
          <w:rFonts w:ascii="Times New Roman" w:hAnsi="Times New Roman" w:cs="Times New Roman"/>
        </w:rPr>
        <w:t>ing</w:t>
      </w:r>
      <w:r w:rsidRPr="008B48F3">
        <w:rPr>
          <w:rFonts w:ascii="Times New Roman" w:hAnsi="Times New Roman" w:cs="Times New Roman"/>
        </w:rPr>
        <w:t xml:space="preserve"> that harvest increases the sensitivity of populations to climate variability (Anderson et al. 2008; Botsford et al. 2011; Shelton et al. 2011; Planque et al. 2011). Taken together, this work underscores the importance of understanding in greater mechanistic detail how climate velocity and harvesting interact. Models provide a useful tool in this situation for building our intuition.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(Berestycki et al. 2009; Zhou and Kot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33FA4C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0762F4" w:rsidRPr="008B48F3">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t>
      </w:r>
      <w:r w:rsidRPr="00A94378">
        <w:rPr>
          <w:rFonts w:ascii="Times New Roman" w:hAnsi="Times New Roman" w:cs="Times New Roman"/>
          <w:highlight w:val="cyan"/>
        </w:rPr>
        <w:t>We derive the harvesting rate and climate velocity that drive populations extinct, and explore the combined demographic effects of these stressors</w:t>
      </w:r>
      <w:r w:rsidR="00054240" w:rsidRPr="00A94378">
        <w:rPr>
          <w:rFonts w:ascii="Times New Roman" w:hAnsi="Times New Roman" w:cs="Times New Roman"/>
          <w:highlight w:val="cyan"/>
        </w:rPr>
        <w:t>, we investigate how the critical rate of one stressor depends on the other, and we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examine the efficacy of two different types of management strategies: threshold harvesting rules and protected areas. Protected areas 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bookmarkEnd w:id="2"/>
    <w:p w14:paraId="261CB654" w14:textId="6BA0AC2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Kot (2011). Individuals in the population can only reproduce within a defined segment of the environment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r w:rsidR="00776AAB" w:rsidRPr="008B48F3">
        <w:rPr>
          <w:rFonts w:ascii="Times New Roman" w:hAnsi="Times New Roman" w:cs="Times New Roman"/>
        </w:rPr>
        <w:t xml:space="preserve">drive </w:t>
      </w:r>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3" w:name="the-model"/>
      <w:r w:rsidRPr="008B48F3">
        <w:rPr>
          <w:rFonts w:ascii="Times New Roman" w:hAnsi="Times New Roman" w:cs="Times New Roman"/>
          <w:color w:val="auto"/>
        </w:rPr>
        <w:t xml:space="preserve">The Model </w:t>
      </w:r>
    </w:p>
    <w:bookmarkEnd w:id="3"/>
    <w:p w14:paraId="36F9FA6F" w14:textId="021CACF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7070389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w:t>
      </w:r>
      <w:r w:rsidR="009C16A2">
        <w:rPr>
          <w:rFonts w:ascii="Times New Roman" w:hAnsi="Times New Roman" w:cs="Times New Roman"/>
        </w:rPr>
        <w:t xml:space="preserve">, which we will refer to as </w:t>
      </w:r>
      <w:r w:rsidRPr="008B48F3">
        <w:rPr>
          <w:rFonts w:ascii="Times New Roman" w:hAnsi="Times New Roman" w:cs="Times New Roman"/>
        </w:rPr>
        <w:t xml:space="preserve">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7DC542B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0A2225" w:rsidRPr="008B48F3">
        <w:rPr>
          <w:rFonts w:ascii="Times New Roman" w:hAnsi="Times New Roman" w:cs="Times New Roman"/>
        </w:rPr>
        <w:t xml:space="preserve">If </w:t>
      </w:r>
      <m:oMath>
        <m:r>
          <w:rPr>
            <w:rFonts w:ascii="Cambria Math" w:eastAsiaTheme="minorEastAsia" w:hAnsi="Cambria Math" w:cs="Times New Roman"/>
          </w:rPr>
          <m:t>n=K</m:t>
        </m:r>
      </m:oMath>
      <w:r w:rsidR="000A2225" w:rsidRPr="008B48F3">
        <w:rPr>
          <w:rFonts w:ascii="Times New Roman" w:eastAsiaTheme="minorEastAsia" w:hAnsi="Times New Roman" w:cs="Times New Roman"/>
        </w:rPr>
        <w:t xml:space="preserve">, then </w:t>
      </w:r>
      <m:oMath>
        <m:r>
          <w:rPr>
            <w:rFonts w:ascii="Cambria Math" w:hAnsi="Cambria Math" w:cs="Times New Roman"/>
          </w:rPr>
          <m:t>f(n)=</m:t>
        </m:r>
        <m:f>
          <m:fPr>
            <m:ctrlPr>
              <w:rPr>
                <w:rFonts w:ascii="Cambria Math" w:hAnsi="Cambria Math" w:cs="Times New Roman"/>
                <w:i/>
              </w:rPr>
            </m:ctrlPr>
          </m:fPr>
          <m:num>
            <m:r>
              <w:rPr>
                <w:rFonts w:ascii="Cambria Math" w:hAnsi="Cambria Math" w:cs="Times New Roman"/>
              </w:rPr>
              <m:t>n</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A94378"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A94378"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 xml:space="preserve">However, above certain critical values, populations will be driven extinct. When the population is extinct, the system is in its trivial equilibrium;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25B68E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A94378"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0E596959"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level of the other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 xml:space="preserve">If there is this type of interaction, knowing the degree to which one stressor can be present before driving the population extinct will require knowing how severe the other stressor is. </w:t>
      </w:r>
      <w:r>
        <w:rPr>
          <w:rFonts w:ascii="Times New Roman" w:hAnsi="Times New Roman" w:cs="Times New Roman"/>
        </w:rPr>
        <w:t xml:space="preserve">Before the stressors </w:t>
      </w:r>
      <w:r w:rsidR="0091452A">
        <w:rPr>
          <w:rFonts w:ascii="Times New Roman" w:hAnsi="Times New Roman" w:cs="Times New Roman"/>
        </w:rPr>
        <w:t xml:space="preserve">are severe enough to </w:t>
      </w:r>
      <w:r>
        <w:rPr>
          <w:rFonts w:ascii="Times New Roman" w:hAnsi="Times New Roman" w:cs="Times New Roman"/>
        </w:rPr>
        <w:t xml:space="preserve">drive the population extinct,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see if there is an interaction between</w:t>
      </w:r>
      <w:r w:rsidR="00C2506D">
        <w:rPr>
          <w:rFonts w:ascii="Times New Roman" w:hAnsi="Times New Roman" w:cs="Times New Roman"/>
        </w:rPr>
        <w:t xml:space="preserve"> these effects </w:t>
      </w:r>
      <w:r w:rsidR="00825033">
        <w:rPr>
          <w:rFonts w:ascii="Times New Roman" w:hAnsi="Times New Roman" w:cs="Times New Roman"/>
        </w:rPr>
        <w:t>when</w:t>
      </w:r>
      <w:r w:rsidR="00C2506D">
        <w:rPr>
          <w:rFonts w:ascii="Times New Roman" w:hAnsi="Times New Roman" w:cs="Times New Roman"/>
        </w:rPr>
        <w:t xml:space="preserve"> the two stressors </w:t>
      </w:r>
      <w:r w:rsidR="00825033">
        <w:rPr>
          <w:rFonts w:ascii="Times New Roman" w:hAnsi="Times New Roman" w:cs="Times New Roman"/>
        </w:rPr>
        <w:t xml:space="preserve">are present </w:t>
      </w:r>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A94378"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4F52024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alternative approaches can use the ratio of affected to unaffected biomass as a measure of effect size (multiplicative model) or 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is the most conservative when quantifying negative effects, as we do here,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1E75E85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F63EC4" w:rsidRPr="00A46033">
        <w:rPr>
          <w:rFonts w:ascii="Times New Roman" w:hAnsi="Times New Roman" w:cs="Times New Roman"/>
        </w:rPr>
        <w:t>that harvesting</w:t>
      </w:r>
      <w:r w:rsidR="00195706" w:rsidRPr="00A46033">
        <w:rPr>
          <w:rFonts w:ascii="Times New Roman" w:hAnsi="Times New Roman" w:cs="Times New Roman"/>
        </w:rPr>
        <w:t xml:space="preserve"> is shifted to available, unprotected habitat</w:t>
      </w:r>
      <w:r w:rsidR="00460AD5">
        <w:rPr>
          <w:rFonts w:ascii="Times New Roman" w:hAnsi="Times New Roman" w:cs="Times New Roman"/>
        </w:rPr>
        <w:t xml:space="preserve"> such that </w:t>
      </w:r>
      <w:r w:rsidR="00460AD5" w:rsidRPr="00A46033">
        <w:rPr>
          <w:rFonts w:ascii="Times New Roman" w:hAnsi="Times New Roman" w:cs="Times New Roman"/>
        </w:rPr>
        <w:t>harvesting pressure remains constant</w:t>
      </w:r>
      <w:r w:rsidR="00AB75EB">
        <w:rPr>
          <w:rFonts w:ascii="Times New Roman" w:hAnsi="Times New Roman" w:cs="Times New Roman"/>
        </w:rPr>
        <w:t xml:space="preserve">, or that </w:t>
      </w:r>
      <w:r w:rsidR="00460AD5">
        <w:rPr>
          <w:rFonts w:ascii="Times New Roman" w:hAnsi="Times New Roman" w:cs="Times New Roman"/>
        </w:rPr>
        <w:t xml:space="preserve">harvest </w:t>
      </w:r>
      <w:r w:rsidR="00460AD5" w:rsidRPr="00A46033">
        <w:rPr>
          <w:rFonts w:ascii="Times New Roman" w:hAnsi="Times New Roman" w:cs="Times New Roman"/>
        </w:rPr>
        <w:t xml:space="preserve">is proportional </w:t>
      </w:r>
      <w:r w:rsidR="00460AD5">
        <w:rPr>
          <w:rFonts w:ascii="Times New Roman" w:hAnsi="Times New Roman" w:cs="Times New Roman"/>
        </w:rPr>
        <w:t>to</w:t>
      </w:r>
      <w:r w:rsidR="00460AD5" w:rsidRPr="00A46033">
        <w:rPr>
          <w:rFonts w:ascii="Times New Roman" w:hAnsi="Times New Roman" w:cs="Times New Roman"/>
        </w:rPr>
        <w:t xml:space="preserve"> areas between reserves</w:t>
      </w:r>
      <w:r w:rsidR="00460AD5">
        <w:rPr>
          <w:rFonts w:ascii="Times New Roman" w:hAnsi="Times New Roman" w:cs="Times New Roman"/>
        </w:rPr>
        <w: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182E1877"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If population abundance declines below 0.001, the population is considered extinct. </w:t>
      </w:r>
      <w:r w:rsidR="00E60060" w:rsidRPr="00B92560">
        <w:rPr>
          <w:rFonts w:ascii="Times New Roman" w:hAnsi="Times New Roman" w:cs="Times New Roman"/>
          <w:highlight w:val="cyan"/>
        </w:rPr>
        <w:t>These long timespans are probably not biologically realistic. However, they ensure that the population reaches its equilibrium traveling wave and that initial conditions do not affect our results</w:t>
      </w:r>
      <w:r w:rsidR="00485437" w:rsidRPr="00B92560">
        <w:rPr>
          <w:rFonts w:ascii="Times New Roman" w:hAnsi="Times New Roman" w:cs="Times New Roman"/>
          <w:highlight w:val="cyan"/>
        </w:rPr>
        <w:t xml:space="preserve"> </w:t>
      </w:r>
      <w:r w:rsidR="00E60060" w:rsidRPr="00B92560">
        <w:rPr>
          <w:rFonts w:ascii="Times New Roman" w:hAnsi="Times New Roman" w:cs="Times New Roman"/>
          <w:highlight w:val="cyan"/>
        </w:rPr>
        <w:t>and we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1FA5D36F"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(downward curving lines in Fig</w:t>
      </w:r>
      <w:r w:rsidR="00C70895" w:rsidRPr="00A46033">
        <w:rPr>
          <w:rFonts w:ascii="Times New Roman" w:hAnsi="Times New Roman" w:cs="Times New Roman"/>
        </w:rPr>
        <w:t>ure</w:t>
      </w:r>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02BD32D2"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equilibrium biomass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choose a representative set of parameters </w:t>
      </w:r>
      <w:r w:rsidR="000F1DE4" w:rsidRPr="00B92560">
        <w:rPr>
          <w:rFonts w:ascii="Times New Roman" w:hAnsi="Times New Roman" w:cs="Times New Roman"/>
          <w:highlight w:val="cyan"/>
        </w:rPr>
        <w:t>for</w:t>
      </w:r>
      <w:r w:rsidR="00CD2E18" w:rsidRPr="00B92560">
        <w:rPr>
          <w:rFonts w:ascii="Times New Roman" w:hAnsi="Times New Roman" w:cs="Times New Roman"/>
          <w:highlight w:val="cyan"/>
        </w:rPr>
        <w:t xml:space="preserve"> our figures.</w:t>
      </w:r>
      <w:r w:rsidR="00CD2E18">
        <w:rPr>
          <w:rFonts w:ascii="Times New Roman" w:hAnsi="Times New Roman" w:cs="Times New Roman"/>
        </w:rPr>
        <w:t xml:space="preserve"> </w:t>
      </w:r>
    </w:p>
    <w:p w14:paraId="0AB65323" w14:textId="15638CEF"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144287F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Further,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3095DA35" w14:textId="36787006" w:rsidR="00801C70" w:rsidRPr="00A46033"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due to the </w:t>
      </w:r>
      <w:r>
        <w:rPr>
          <w:rFonts w:ascii="Times New Roman" w:hAnsi="Times New Roman" w:cs="Times New Roman"/>
        </w:rPr>
        <w:t>implementation</w:t>
      </w:r>
      <w:r w:rsidR="00173FC6">
        <w:rPr>
          <w:rFonts w:ascii="Times New Roman" w:hAnsi="Times New Roman" w:cs="Times New Roman"/>
        </w:rPr>
        <w:t xml:space="preserve"> of the protected areas, </w:t>
      </w:r>
      <w:r w:rsidR="001F545E" w:rsidRPr="00A46033">
        <w:rPr>
          <w:rFonts w:ascii="Times New Roman" w:hAnsi="Times New Roman" w:cs="Times New Roman"/>
        </w:rPr>
        <w:t>the population withstands combinations of higher climate velocities and higher harvesting rates than without the protected areas</w:t>
      </w:r>
      <w:r w:rsidR="001F545E">
        <w:rPr>
          <w:rFonts w:ascii="Times New Roman" w:hAnsi="Times New Roman" w:cs="Times New Roman"/>
        </w:rPr>
        <w:t xml:space="preserve"> </w:t>
      </w:r>
      <w:r>
        <w:rPr>
          <w:rFonts w:ascii="Times New Roman" w:hAnsi="Times New Roman" w:cs="Times New Roman"/>
        </w:rPr>
        <w:t>w</w:t>
      </w:r>
      <w:r w:rsidRPr="00A46033">
        <w:rPr>
          <w:rFonts w:ascii="Times New Roman" w:hAnsi="Times New Roman" w:cs="Times New Roman"/>
        </w:rPr>
        <w:t>ith either type of protected area strateg</w:t>
      </w:r>
      <w:r>
        <w:rPr>
          <w:rFonts w:ascii="Times New Roman" w:hAnsi="Times New Roman" w:cs="Times New Roman"/>
        </w:rPr>
        <w:t>y</w:t>
      </w:r>
      <w:r w:rsidRPr="00A46033">
        <w:rPr>
          <w:rFonts w:ascii="Times New Roman" w:hAnsi="Times New Roman" w:cs="Times New Roman"/>
        </w:rPr>
        <w:t xml:space="preserve"> (many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large and the small protected area strategies.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r w:rsidR="00173FC6">
        <w:rPr>
          <w:rFonts w:ascii="Times New Roman" w:hAnsi="Times New Roman" w:cs="Times New Roman"/>
        </w:rPr>
        <w:t>I</w:t>
      </w:r>
      <w:r w:rsidR="001F545E">
        <w:rPr>
          <w:rFonts w:ascii="Times New Roman" w:hAnsi="Times New Roman" w:cs="Times New Roman"/>
        </w:rPr>
        <w:t>f</w:t>
      </w:r>
      <w:r w:rsidR="00173FC6">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sidR="00173FC6">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32422DC"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 xml:space="preserve">their joint effects and interactions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 we show that climate</w:t>
      </w:r>
      <w:r w:rsidR="001434AE" w:rsidRPr="00A46033">
        <w:rPr>
          <w:rFonts w:ascii="Times New Roman" w:hAnsi="Times New Roman" w:cs="Times New Roman"/>
        </w:rPr>
        <w:t xml:space="preserve"> velocity</w:t>
      </w:r>
      <w:r w:rsidRPr="00A46033">
        <w:rPr>
          <w:rFonts w:ascii="Times New Roman" w:hAnsi="Times New Roman" w:cs="Times New Roman"/>
        </w:rPr>
        <w:t xml:space="preserve"> and harvesting interact strongly in their effects on species persistence and </w:t>
      </w:r>
      <w:r w:rsidR="00725950">
        <w:rPr>
          <w:rFonts w:ascii="Times New Roman" w:hAnsi="Times New Roman" w:cs="Times New Roman"/>
        </w:rPr>
        <w:t xml:space="preserve">less strongly in their effects on </w:t>
      </w:r>
      <w:r w:rsidRPr="00A46033">
        <w:rPr>
          <w:rFonts w:ascii="Times New Roman" w:hAnsi="Times New Roman" w:cs="Times New Roman"/>
        </w:rPr>
        <w:t xml:space="preserve">biomass. In particular,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with 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4C5A3C18"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65A32EE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B64CF1">
        <w:rPr>
          <w:rFonts w:ascii="Times New Roman" w:hAnsi="Times New Roman" w:cs="Times New Roman"/>
        </w:rPr>
        <w:t>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8374D46" w14:textId="2D6C5251"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r w:rsidR="00123EE2" w:rsidRPr="00B92560">
        <w:rPr>
          <w:rFonts w:ascii="Times New Roman" w:hAnsi="Times New Roman" w:cs="Times New Roman"/>
          <w:highlight w:val="cyan"/>
        </w:rPr>
        <w:t>While we framed our model as one that describes a population following a shifting climate gradient, it also describes the population as it invades into new territory.</w:t>
      </w:r>
      <w:r w:rsidR="00123EE2">
        <w:rPr>
          <w:rFonts w:ascii="Times New Roman" w:hAnsi="Times New Roman" w:cs="Times New Roman"/>
        </w:rPr>
        <w:t xml:space="preserve"> Our results </w:t>
      </w:r>
      <w:r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12465">
        <w:rPr>
          <w:rFonts w:ascii="Times New Roman" w:eastAsiaTheme="minorEastAsia" w:hAnsi="Times New Roman" w:cs="Times New Roman"/>
          <w:highlight w:val="cyan"/>
        </w:rPr>
        <w:t>Therefore, policies that increase the growth rate of the leading edge should have the effect of helping</w:t>
      </w:r>
      <w:r w:rsidR="00497AD0" w:rsidRPr="00497AD0">
        <w:rPr>
          <w:rFonts w:ascii="Times New Roman" w:eastAsiaTheme="minorEastAsia" w:hAnsi="Times New Roman" w:cs="Times New Roman"/>
          <w:highlight w:val="cyan"/>
        </w:rPr>
        <w:t xml:space="preserve"> </w:t>
      </w:r>
      <w:r w:rsidR="00F12465">
        <w:rPr>
          <w:rFonts w:ascii="Times New Roman" w:eastAsiaTheme="minorEastAsia" w:hAnsi="Times New Roman" w:cs="Times New Roman"/>
          <w:highlight w:val="cyan"/>
        </w:rPr>
        <w:t>populations whose persistence we are concerned about</w:t>
      </w:r>
      <w:r w:rsidR="00497AD0" w:rsidRPr="00497AD0">
        <w:rPr>
          <w:rFonts w:ascii="Times New Roman" w:eastAsiaTheme="minorEastAsia" w:hAnsi="Times New Roman" w:cs="Times New Roman"/>
          <w:highlight w:val="cyan"/>
        </w:rPr>
        <w:t>.</w:t>
      </w:r>
      <w:r w:rsidR="00497AD0">
        <w:rPr>
          <w:rFonts w:ascii="Times New Roman" w:eastAsiaTheme="minorEastAsia" w:hAnsi="Times New Roman" w:cs="Times New Roman"/>
        </w:rPr>
        <w:t xml:space="preserve"> </w:t>
      </w:r>
      <w:r w:rsidRPr="00A46033">
        <w:rPr>
          <w:rFonts w:ascii="Times New Roman" w:hAnsi="Times New Roman" w:cs="Times New Roman"/>
        </w:rPr>
        <w:t>It</w:t>
      </w:r>
      <w:r w:rsidR="00986486">
        <w:rPr>
          <w:rFonts w:ascii="Times New Roman" w:hAnsi="Times New Roman" w:cs="Times New Roman"/>
        </w:rPr>
        <w:t xml:space="preserve"> i</w:t>
      </w:r>
      <w:r w:rsidRPr="00A46033">
        <w:rPr>
          <w:rFonts w:ascii="Times New Roman" w:hAnsi="Times New Roman" w:cs="Times New Roman"/>
        </w:rPr>
        <w:t>s interesting to note that novel stocks</w:t>
      </w:r>
      <w:r w:rsidR="00F00899">
        <w:rPr>
          <w:rFonts w:ascii="Times New Roman" w:hAnsi="Times New Roman" w:cs="Times New Roman"/>
        </w:rPr>
        <w:t>, which initially appear at low abundance,</w:t>
      </w:r>
      <w:r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47CD6FD0" w14:textId="4299D0B1" w:rsidR="003C1F14"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Pr>
          <w:rFonts w:ascii="Times New Roman" w:hAnsi="Times New Roman" w:cs="Times New Roman"/>
        </w:rPr>
        <w:t>This</w:t>
      </w:r>
      <w:r w:rsidR="002B07E8">
        <w:rPr>
          <w:rFonts w:ascii="Times New Roman" w:hAnsi="Times New Roman" w:cs="Times New Roman"/>
        </w:rPr>
        <w:t xml:space="preserve"> result matches our earlier finding that high harvest pressures at the leading edge of a population can make it more vulnerable to climate velocity. Reallocation of harvesting effort has the effect of increasing the harvest rate in unprotected areas, slowing the invasion rate. </w:t>
      </w:r>
    </w:p>
    <w:p w14:paraId="2239AA1E" w14:textId="6F571C05" w:rsidR="004A099E" w:rsidRDefault="004A099E" w:rsidP="00F240E3">
      <w:pPr>
        <w:spacing w:line="480" w:lineRule="auto"/>
        <w:rPr>
          <w:rFonts w:ascii="Times New Roman" w:hAnsi="Times New Roman" w:cs="Times New Roman"/>
        </w:rPr>
      </w:pPr>
      <w:r>
        <w:rPr>
          <w:rFonts w:ascii="Times New Roman" w:hAnsi="Times New Roman" w:cs="Times New Roman"/>
          <w:highlight w:val="cyan"/>
        </w:rPr>
        <w:t xml:space="preserve">In a theoretical model of an initially small population invading a patchy environment, </w:t>
      </w:r>
      <w:r w:rsidRPr="004801A2">
        <w:rPr>
          <w:rFonts w:ascii="Times New Roman" w:hAnsi="Times New Roman" w:cs="Times New Roman"/>
          <w:highlight w:val="cyan"/>
        </w:rPr>
        <w:t xml:space="preserve">decreasing the growth rate in </w:t>
      </w:r>
      <w:r>
        <w:rPr>
          <w:rFonts w:ascii="Times New Roman" w:hAnsi="Times New Roman" w:cs="Times New Roman"/>
          <w:highlight w:val="cyan"/>
        </w:rPr>
        <w:t xml:space="preserve">the </w:t>
      </w:r>
      <w:r w:rsidRPr="004801A2">
        <w:rPr>
          <w:rFonts w:ascii="Times New Roman" w:hAnsi="Times New Roman" w:cs="Times New Roman"/>
          <w:highlight w:val="cyan"/>
        </w:rPr>
        <w:t xml:space="preserve">unfavorable patches </w:t>
      </w:r>
      <w:r>
        <w:rPr>
          <w:rFonts w:ascii="Times New Roman" w:hAnsi="Times New Roman" w:cs="Times New Roman"/>
          <w:highlight w:val="cyan"/>
        </w:rPr>
        <w:t>made</w:t>
      </w:r>
      <w:r w:rsidRPr="004801A2">
        <w:rPr>
          <w:rFonts w:ascii="Times New Roman" w:hAnsi="Times New Roman" w:cs="Times New Roman"/>
          <w:highlight w:val="cyan"/>
        </w:rPr>
        <w:t xml:space="preserve"> it harder for the population to invade (Kinezaki et al., 2003; Shigesada et al. 1986). </w:t>
      </w:r>
      <w:r>
        <w:rPr>
          <w:rFonts w:ascii="Times New Roman" w:hAnsi="Times New Roman" w:cs="Times New Roman"/>
          <w:highlight w:val="cyan"/>
        </w:rPr>
        <w:t>This agrees with o</w:t>
      </w:r>
      <w:r w:rsidRPr="004801A2">
        <w:rPr>
          <w:rFonts w:ascii="Times New Roman" w:hAnsi="Times New Roman" w:cs="Times New Roman"/>
          <w:highlight w:val="cyan"/>
        </w:rPr>
        <w:t xml:space="preserve">ur finding that reallocating harvesting pressure to unprotected areas increases sensitivity to stressors. </w:t>
      </w:r>
      <w:r>
        <w:rPr>
          <w:rFonts w:ascii="Times New Roman" w:hAnsi="Times New Roman" w:cs="Times New Roman"/>
          <w:highlight w:val="cyan"/>
        </w:rPr>
        <w:t>In that work, they considered how easily a population could invade, but not the variability of biomass in favorable and unfavorable patches, so there are no results to which we can compare our findings about how the spacing of protected areas affects biomass variability. O</w:t>
      </w:r>
      <w:r w:rsidRPr="004801A2">
        <w:rPr>
          <w:rFonts w:ascii="Times New Roman" w:hAnsi="Times New Roman" w:cs="Times New Roman"/>
          <w:highlight w:val="cyan"/>
        </w:rPr>
        <w:t xml:space="preserve">ur results </w:t>
      </w:r>
      <w:r>
        <w:rPr>
          <w:rFonts w:ascii="Times New Roman" w:hAnsi="Times New Roman" w:cs="Times New Roman"/>
          <w:highlight w:val="cyan"/>
        </w:rPr>
        <w:t xml:space="preserve">therefore </w:t>
      </w:r>
      <w:r w:rsidRPr="004801A2">
        <w:rPr>
          <w:rFonts w:ascii="Times New Roman" w:hAnsi="Times New Roman" w:cs="Times New Roman"/>
          <w:highlight w:val="cyan"/>
        </w:rPr>
        <w:t>add to a growing body of theory that demonstrate the importance of considering periodic environments in order to understand how populations will move through space.</w:t>
      </w:r>
    </w:p>
    <w:p w14:paraId="53094C46" w14:textId="77777777"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3C1F14">
        <w:rPr>
          <w:rFonts w:ascii="Times New Roman" w:hAnsi="Times New Roman" w:cs="Times New Roman"/>
        </w:rPr>
        <w:t xml:space="preserve"> and the larger those gaps are, the more diminished the population will be</w:t>
      </w:r>
      <w:r w:rsidR="00481141" w:rsidRPr="00A46033">
        <w:rPr>
          <w:rFonts w:ascii="Times New Roman" w:hAnsi="Times New Roman" w:cs="Times New Roman"/>
        </w:rPr>
        <w:t xml:space="preserve">. </w:t>
      </w:r>
      <w:r w:rsidR="00C86171" w:rsidRPr="00A46033">
        <w:rPr>
          <w:rFonts w:ascii="Times New Roman" w:hAnsi="Times New Roman" w:cs="Times New Roman"/>
        </w:rPr>
        <w:t>While the discussion of many small vs. few large protected areas involves many factors (Gain</w:t>
      </w:r>
      <w:r w:rsidR="001C0D38" w:rsidRPr="00A46033">
        <w:rPr>
          <w:rFonts w:ascii="Times New Roman" w:hAnsi="Times New Roman" w:cs="Times New Roman"/>
        </w:rPr>
        <w:t>e</w:t>
      </w:r>
      <w:r w:rsidR="00C86171" w:rsidRPr="00A46033">
        <w:rPr>
          <w:rFonts w:ascii="Times New Roman" w:hAnsi="Times New Roman" w:cs="Times New Roman"/>
        </w:rPr>
        <w:t xml:space="preserve">s et al. </w:t>
      </w:r>
      <w:r w:rsidR="001C0D38" w:rsidRPr="00A46033">
        <w:rPr>
          <w:rFonts w:ascii="Times New Roman" w:hAnsi="Times New Roman" w:cs="Times New Roman"/>
        </w:rPr>
        <w:t>2010</w:t>
      </w:r>
      <w:r w:rsidR="00145F91" w:rsidRPr="00A46033">
        <w:rPr>
          <w:rFonts w:ascii="Times New Roman" w:hAnsi="Times New Roman" w:cs="Times New Roman"/>
        </w:rPr>
        <w:t>b</w:t>
      </w:r>
      <w:r w:rsidR="001C0D38" w:rsidRPr="00A46033">
        <w:rPr>
          <w:rFonts w:ascii="Times New Roman" w:hAnsi="Times New Roman" w:cs="Times New Roman"/>
        </w:rPr>
        <w:t>; McCarthy et al. 2011), our results contribute to this body of work by showing that small gaps between protected areas, even if counter-balanced by small protected areas, may help species keep up with climate velocities</w:t>
      </w:r>
      <w:r w:rsidR="00C956FE" w:rsidRPr="00A46033">
        <w:rPr>
          <w:rFonts w:ascii="Times New Roman" w:hAnsi="Times New Roman" w:cs="Times New Roman"/>
        </w:rPr>
        <w:t xml:space="preserve"> in the face of harvest.</w:t>
      </w:r>
      <w:r w:rsidR="008E6D76">
        <w:rPr>
          <w:rFonts w:ascii="Times New Roman" w:hAnsi="Times New Roman" w:cs="Times New Roman"/>
        </w:rPr>
        <w:t xml:space="preserve"> </w:t>
      </w:r>
    </w:p>
    <w:p w14:paraId="2C9C5404" w14:textId="67A5BE19" w:rsidR="00F240E3" w:rsidRPr="00A46033" w:rsidRDefault="0069795C" w:rsidP="00F240E3">
      <w:pPr>
        <w:spacing w:line="480" w:lineRule="auto"/>
        <w:rPr>
          <w:rFonts w:ascii="Times New Roman" w:hAnsi="Times New Roman" w:cs="Times New Roman"/>
        </w:rPr>
      </w:pPr>
      <w:r w:rsidRPr="0069795C">
        <w:rPr>
          <w:rFonts w:ascii="Times New Roman" w:hAnsi="Times New Roman" w:cs="Times New Roman"/>
          <w:highlight w:val="cyan"/>
        </w:rPr>
        <w:t>There is no consensus about how MPA size and spacing affect population persistence.</w:t>
      </w:r>
      <w:r>
        <w:rPr>
          <w:rFonts w:ascii="Times New Roman" w:hAnsi="Times New Roman" w:cs="Times New Roman"/>
        </w:rPr>
        <w:t xml:space="preserve"> </w:t>
      </w:r>
      <w:r w:rsidRPr="000D3817">
        <w:rPr>
          <w:rFonts w:ascii="Times New Roman" w:hAnsi="Times New Roman" w:cs="Times New Roman"/>
          <w:highlight w:val="cyan"/>
        </w:rPr>
        <w:t xml:space="preserve">McLeod </w:t>
      </w:r>
      <w:r w:rsidRPr="000245BB">
        <w:rPr>
          <w:rFonts w:ascii="Times New Roman" w:hAnsi="Times New Roman" w:cs="Times New Roman"/>
          <w:highlight w:val="cyan"/>
        </w:rPr>
        <w:t xml:space="preserve">et al. (2009) argued that having fewer larger MPAs </w:t>
      </w:r>
      <w:r>
        <w:rPr>
          <w:rFonts w:ascii="Times New Roman" w:hAnsi="Times New Roman" w:cs="Times New Roman"/>
          <w:highlight w:val="cyan"/>
        </w:rPr>
        <w:t>should</w:t>
      </w:r>
      <w:r w:rsidRPr="000245BB">
        <w:rPr>
          <w:rFonts w:ascii="Times New Roman" w:hAnsi="Times New Roman" w:cs="Times New Roman"/>
          <w:highlight w:val="cyan"/>
        </w:rPr>
        <w:t xml:space="preserve"> increase an ecosystem’s resilience to climate change</w:t>
      </w:r>
      <w:r>
        <w:rPr>
          <w:rFonts w:ascii="Times New Roman" w:hAnsi="Times New Roman" w:cs="Times New Roman"/>
          <w:highlight w:val="cyan"/>
        </w:rPr>
        <w:t xml:space="preserve">. On the other hand, Moffitt et al. (2011) used a theoretical model to compare MPAs that were 10 km long spaced 50 km apart to MPAs that were 20 km long spaced 100 km apart and found that the larger more widely spaced MPAs would support the persistence of a greater number of types of species. </w:t>
      </w:r>
      <w:r w:rsidR="00F256AF" w:rsidRPr="00F256AF">
        <w:rPr>
          <w:rFonts w:ascii="Times New Roman" w:hAnsi="Times New Roman" w:cs="Times New Roman"/>
          <w:highlight w:val="cyan"/>
        </w:rPr>
        <w:t>Using a theoretical model</w:t>
      </w:r>
      <w:r w:rsidR="00F256AF" w:rsidRPr="000D3817">
        <w:rPr>
          <w:rFonts w:ascii="Times New Roman" w:hAnsi="Times New Roman" w:cs="Times New Roman"/>
          <w:highlight w:val="cyan"/>
        </w:rPr>
        <w:t xml:space="preserve">, </w:t>
      </w:r>
      <w:proofErr w:type="spellStart"/>
      <w:r w:rsidR="008E6D76" w:rsidRPr="000D3817">
        <w:rPr>
          <w:rFonts w:ascii="Times New Roman" w:hAnsi="Times New Roman" w:cs="Times New Roman"/>
          <w:highlight w:val="cyan"/>
        </w:rPr>
        <w:t>N</w:t>
      </w:r>
      <w:r w:rsidR="008E6D76" w:rsidRPr="00092C01">
        <w:rPr>
          <w:rFonts w:ascii="Times New Roman" w:hAnsi="Times New Roman" w:cs="Times New Roman"/>
          <w:highlight w:val="cyan"/>
        </w:rPr>
        <w:t>eubert</w:t>
      </w:r>
      <w:proofErr w:type="spellEnd"/>
      <w:r w:rsidR="008E6D76" w:rsidRPr="00092C01">
        <w:rPr>
          <w:rFonts w:ascii="Times New Roman" w:hAnsi="Times New Roman" w:cs="Times New Roman"/>
          <w:highlight w:val="cyan"/>
        </w:rPr>
        <w:t xml:space="preserve"> (2003) found that the optimal MPA spacing to maximize yield of a population that was not shifting through space depended on the length of the region in which the population could survive: as the length increased, more smaller MPAs became preferable. Increasing the length of the viable region is similar to having </w:t>
      </w:r>
      <w:r w:rsidR="007649C5" w:rsidRPr="00092C01">
        <w:rPr>
          <w:rFonts w:ascii="Times New Roman" w:hAnsi="Times New Roman" w:cs="Times New Roman"/>
          <w:highlight w:val="cyan"/>
        </w:rPr>
        <w:t xml:space="preserve">a shifting population that is experiencing more and more of the one-dimensional world, so that his results are similar to our finding that with a shifting population more smaller MPAs are </w:t>
      </w:r>
      <w:r w:rsidR="007649C5" w:rsidRPr="000D3817">
        <w:rPr>
          <w:rFonts w:ascii="Times New Roman" w:hAnsi="Times New Roman" w:cs="Times New Roman"/>
          <w:highlight w:val="cyan"/>
        </w:rPr>
        <w:t xml:space="preserve">best. </w:t>
      </w:r>
      <w:r>
        <w:rPr>
          <w:rFonts w:ascii="Times New Roman" w:hAnsi="Times New Roman" w:cs="Times New Roman"/>
          <w:highlight w:val="cyan"/>
        </w:rPr>
        <w:t xml:space="preserve">Finally, </w:t>
      </w:r>
      <w:r w:rsidR="000D3817">
        <w:rPr>
          <w:rFonts w:ascii="Times New Roman" w:hAnsi="Times New Roman" w:cs="Times New Roman"/>
          <w:highlight w:val="cyan"/>
        </w:rPr>
        <w:t>Halpern (2003) found in a meta-analysis of empirical studies of MPAs that the benefits from implementing an MPA did not depend strongly on its size</w:t>
      </w:r>
      <w:r w:rsidR="000245BB" w:rsidRPr="000245BB">
        <w:rPr>
          <w:rFonts w:ascii="Times New Roman" w:hAnsi="Times New Roman" w:cs="Times New Roman"/>
          <w:highlight w:val="cyan"/>
        </w:rPr>
        <w:t xml:space="preserve">. However, </w:t>
      </w:r>
      <w:r w:rsidR="000D3817">
        <w:rPr>
          <w:rFonts w:ascii="Times New Roman" w:hAnsi="Times New Roman" w:cs="Times New Roman"/>
          <w:highlight w:val="cyan"/>
        </w:rPr>
        <w:t>none of these studies considered</w:t>
      </w:r>
      <w:r w:rsidR="000245BB" w:rsidRPr="000245BB">
        <w:rPr>
          <w:rFonts w:ascii="Times New Roman" w:hAnsi="Times New Roman" w:cs="Times New Roman"/>
          <w:highlight w:val="cyan"/>
        </w:rPr>
        <w:t xml:space="preserve"> a population moving across </w:t>
      </w:r>
      <w:r w:rsidR="000D3817">
        <w:rPr>
          <w:rFonts w:ascii="Times New Roman" w:hAnsi="Times New Roman" w:cs="Times New Roman"/>
          <w:highlight w:val="cyan"/>
        </w:rPr>
        <w:t xml:space="preserve">a network of </w:t>
      </w:r>
      <w:r w:rsidR="000245BB" w:rsidRPr="000245BB">
        <w:rPr>
          <w:rFonts w:ascii="Times New Roman" w:hAnsi="Times New Roman" w:cs="Times New Roman"/>
          <w:highlight w:val="cyan"/>
        </w:rPr>
        <w:t xml:space="preserve">MPAs. It is the decline in biomass caused by moving between MPAs that leads to our arguing for more smaller MPAs. </w:t>
      </w:r>
      <w:r w:rsidR="00092C01">
        <w:rPr>
          <w:rFonts w:ascii="Times New Roman" w:hAnsi="Times New Roman" w:cs="Times New Roman"/>
          <w:highlight w:val="cyan"/>
        </w:rPr>
        <w:t>Comparing our findings to each of these studies in which there was no climate shift</w:t>
      </w:r>
      <w:r w:rsidR="000245BB" w:rsidRPr="000245BB">
        <w:rPr>
          <w:rFonts w:ascii="Times New Roman" w:hAnsi="Times New Roman" w:cs="Times New Roman"/>
          <w:highlight w:val="cyan"/>
        </w:rPr>
        <w:t xml:space="preserve"> shows that considering how a population will track a moving isotherm is important for making policy recommendations about MPA spacing.</w:t>
      </w:r>
    </w:p>
    <w:p w14:paraId="1707C47E" w14:textId="23ED68CE"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15A3317D"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There are some rules of thumb for how multispecies systems should be affected by multiple stressors. For example, c</w:t>
      </w:r>
      <w:r w:rsidR="002F5910">
        <w:rPr>
          <w:rFonts w:ascii="Times New Roman" w:hAnsi="Times New Roman" w:cs="Times New Roman"/>
          <w:highlight w:val="cyan"/>
        </w:rPr>
        <w:t xml:space="preserve">orrelations between species’ </w:t>
      </w:r>
      <w:r w:rsidR="00BB03E2">
        <w:rPr>
          <w:highlight w:val="cyan"/>
        </w:rPr>
        <w:t>sensitivities</w:t>
      </w:r>
      <w:r w:rsidR="002F5910">
        <w:rPr>
          <w:rFonts w:ascii="Times New Roman" w:hAnsi="Times New Roman" w:cs="Times New Roman"/>
          <w:highlight w:val="cyan"/>
        </w:rPr>
        <w:t xml:space="preserve"> to multiple stressors can affect the resilience of the </w:t>
      </w:r>
      <w:r w:rsidR="00BB03E2">
        <w:rPr>
          <w:rFonts w:ascii="Times New Roman" w:hAnsi="Times New Roman" w:cs="Times New Roman"/>
          <w:highlight w:val="cyan"/>
        </w:rPr>
        <w:t>ecosystem functions to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93018F">
        <w:rPr>
          <w:rFonts w:ascii="Times New Roman" w:hAnsi="Times New Roman" w:cs="Times New Roman"/>
          <w:highlight w:val="cyan"/>
        </w:rPr>
        <w:t xml:space="preserve">are increasingly </w:t>
      </w:r>
      <w:r w:rsidR="00125664" w:rsidRPr="00125664">
        <w:rPr>
          <w:rFonts w:ascii="Times New Roman" w:hAnsi="Times New Roman" w:cs="Times New Roman"/>
          <w:highlight w:val="cyan"/>
        </w:rPr>
        <w:t>(</w:t>
      </w:r>
      <w:r w:rsidR="00BB03E2">
        <w:rPr>
          <w:rFonts w:ascii="Times New Roman" w:hAnsi="Times New Roman" w:cs="Times New Roman"/>
          <w:highlight w:val="cyan"/>
        </w:rPr>
        <w:t>e.g</w:t>
      </w:r>
      <w:r w:rsidR="00125664" w:rsidRPr="00125664">
        <w:rPr>
          <w:rFonts w:ascii="Times New Roman" w:hAnsi="Times New Roman" w:cs="Times New Roman"/>
          <w:highlight w:val="cyan"/>
        </w:rPr>
        <w:t>. Travers-Trolet et al. 2014)</w:t>
      </w:r>
      <w:r w:rsidR="0093018F">
        <w:rPr>
          <w:rFonts w:ascii="Times New Roman" w:hAnsi="Times New Roman" w:cs="Times New Roman"/>
          <w:highlight w:val="cyan"/>
        </w:rPr>
        <w:t>, are increasingly popular as a framework for modeling multi-species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371C4C">
        <w:rPr>
          <w:rFonts w:ascii="Times New Roman" w:hAnsi="Times New Roman" w:cs="Times New Roman"/>
          <w:highlight w:val="cyan"/>
        </w:rPr>
        <w:t>Generally</w:t>
      </w:r>
      <w:r w:rsidR="00692A5C" w:rsidRPr="00A35AB3">
        <w:rPr>
          <w:rFonts w:ascii="Times New Roman" w:hAnsi="Times New Roman" w:cs="Times New Roman"/>
          <w:highlight w:val="cyan"/>
        </w:rPr>
        <w:t>, as multispecies models are more complicated than single-species models, there is more room for error, especially as our understanding of species interactions improves, and Hallowed et al. (2000) recommend caution in building detailed models of such systems.</w:t>
      </w:r>
      <w:r w:rsidR="00692A5C">
        <w:rPr>
          <w:rFonts w:ascii="Times New Roman" w:hAnsi="Times New Roman" w:cs="Times New Roman"/>
        </w:rPr>
        <w:t xml:space="preserve"> </w:t>
      </w:r>
    </w:p>
    <w:p w14:paraId="135DE51A" w14:textId="42E7F939"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would be better</w:t>
      </w:r>
      <w:r w:rsidRPr="00A46033">
        <w:rPr>
          <w:rFonts w:ascii="Times New Roman" w:hAnsi="Times New Roman" w:cs="Times New Roman"/>
        </w:rPr>
        <w:t xml:space="preserve"> </w:t>
      </w:r>
      <w:r w:rsidR="00FF3E9B">
        <w:rPr>
          <w:rFonts w:ascii="Times New Roman" w:hAnsi="Times New Roman" w:cs="Times New Roman"/>
        </w:rPr>
        <w:t>representing</w:t>
      </w:r>
      <w:r w:rsidRPr="00A46033">
        <w:rPr>
          <w:rFonts w:ascii="Times New Roman" w:hAnsi="Times New Roman" w:cs="Times New Roman"/>
        </w:rPr>
        <w:t xml:space="preserve"> harvesting dynamics.</w:t>
      </w:r>
      <w:r w:rsidR="00A845FD" w:rsidRPr="00A46033">
        <w:rPr>
          <w:rFonts w:ascii="Times New Roman" w:hAnsi="Times New Roman" w:cs="Times New Roman"/>
        </w:rPr>
        <w:t xml:space="preserve"> </w:t>
      </w:r>
      <w:r w:rsidR="00BE1394">
        <w:rPr>
          <w:rFonts w:ascii="Times New Roman" w:hAnsi="Times New Roman" w:cs="Times New Roman"/>
        </w:rPr>
        <w:t>Our results show that the success of protected areas depends</w:t>
      </w:r>
      <w:r w:rsidR="00FF3E9B">
        <w:rPr>
          <w:rFonts w:ascii="Times New Roman" w:hAnsi="Times New Roman" w:cs="Times New Roman"/>
        </w:rPr>
        <w:t xml:space="preserve"> in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6A488E" w:rsidRPr="006A488E">
        <w:rPr>
          <w:rFonts w:ascii="Times New Roman" w:eastAsiaTheme="minorEastAsia" w:hAnsi="Times New Roman" w:cs="Times New Roman"/>
          <w:highlight w:val="cyan"/>
        </w:rPr>
        <w:t>The importance of effort reallocation is in agreement with previous work on marine reserves, which find that the details of how harvesting is reallocated can change the predictions for how population dynamics will be affected</w:t>
      </w:r>
      <w:r w:rsidR="006A488E">
        <w:rPr>
          <w:rFonts w:ascii="Times New Roman" w:eastAsiaTheme="minorEastAsia" w:hAnsi="Times New Roman" w:cs="Times New Roman"/>
          <w:highlight w:val="cyan"/>
        </w:rPr>
        <w:t xml:space="preserve"> (</w:t>
      </w:r>
      <w:proofErr w:type="spellStart"/>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w:t>
      </w:r>
      <w:proofErr w:type="spellEnd"/>
      <w:r w:rsidR="006A488E" w:rsidRPr="008C59FC">
        <w:rPr>
          <w:rFonts w:ascii="Times New Roman" w:eastAsiaTheme="minorEastAsia" w:hAnsi="Times New Roman" w:cs="Times New Roman"/>
          <w:highlight w:val="cyan"/>
        </w:rPr>
        <w:t xml:space="preserve">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it is likely that fishermen </w:t>
      </w:r>
      <w:r w:rsidR="0052102B" w:rsidRPr="008C59FC">
        <w:rPr>
          <w:rFonts w:ascii="Times New Roman" w:hAnsi="Times New Roman" w:cs="Times New Roman"/>
          <w:highlight w:val="cyan"/>
        </w:rPr>
        <w:t>will 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he MPAs is likely to be highest. Fishing the line can lead to comparable biomass and overall catch relative to a case with uniform harvesting pressure in unprotected areas (</w:t>
      </w:r>
      <w:proofErr w:type="spellStart"/>
      <w:r w:rsidR="00DA715C" w:rsidRPr="008C59FC">
        <w:rPr>
          <w:rFonts w:ascii="Times New Roman" w:hAnsi="Times New Roman" w:cs="Times New Roman"/>
          <w:highlight w:val="cyan"/>
        </w:rPr>
        <w:t>Kellner</w:t>
      </w:r>
      <w:proofErr w:type="spellEnd"/>
      <w:r w:rsidR="00DA715C" w:rsidRPr="008C59FC">
        <w:rPr>
          <w:rFonts w:ascii="Times New Roman" w:hAnsi="Times New Roman" w:cs="Times New Roman"/>
          <w:highlight w:val="cyan"/>
        </w:rPr>
        <w:t xml:space="preserve"> 2007). However, in our model, fishing the line would reduce </w:t>
      </w:r>
      <w:r w:rsidR="008C59FC" w:rsidRPr="008C59FC">
        <w:rPr>
          <w:rFonts w:ascii="Times New Roman" w:hAnsi="Times New Roman" w:cs="Times New Roman"/>
          <w:highlight w:val="cyan"/>
        </w:rPr>
        <w:t>the low-ab</w:t>
      </w:r>
      <w:bookmarkStart w:id="11" w:name="_GoBack"/>
      <w:bookmarkEnd w:id="11"/>
      <w:r w:rsidR="008C59FC" w:rsidRPr="008C59FC">
        <w:rPr>
          <w:rFonts w:ascii="Times New Roman" w:hAnsi="Times New Roman" w:cs="Times New Roman"/>
          <w:highlight w:val="cyan"/>
        </w:rPr>
        <w:t>undance leading edge as it moves into an unprotected area and is therefore likely to have similar consequences as incorporating Allee effects would, namely to 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261A63">
        <w:rPr>
          <w:rFonts w:ascii="Times New Roman" w:hAnsi="Times New Roman" w:cs="Times New Roman"/>
        </w:rPr>
        <w:t>harvest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2" w:name="acknowledgements"/>
      <w:r w:rsidRPr="00A46033">
        <w:rPr>
          <w:rFonts w:ascii="Times New Roman" w:hAnsi="Times New Roman" w:cs="Times New Roman"/>
          <w:color w:val="auto"/>
        </w:rPr>
        <w:t>Acknowledgements</w:t>
      </w:r>
    </w:p>
    <w:bookmarkEnd w:id="12"/>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38B0135B" w14:textId="0F61F99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Engelhard, G.H., </w:t>
      </w:r>
      <w:r w:rsidR="00AE00CA" w:rsidRPr="00A46033">
        <w:rPr>
          <w:rFonts w:ascii="Times New Roman" w:hAnsi="Times New Roman" w:cs="Times New Roman"/>
        </w:rPr>
        <w:t xml:space="preserve">D. A. </w:t>
      </w:r>
      <w:r w:rsidRPr="00A46033">
        <w:rPr>
          <w:rFonts w:ascii="Times New Roman" w:hAnsi="Times New Roman" w:cs="Times New Roman"/>
        </w:rPr>
        <w:t>Righton,</w:t>
      </w:r>
      <w:r w:rsidR="00AE00CA" w:rsidRPr="00A46033">
        <w:rPr>
          <w:rFonts w:ascii="Times New Roman" w:hAnsi="Times New Roman" w:cs="Times New Roman"/>
        </w:rPr>
        <w:t xml:space="preserve"> and J. K.</w:t>
      </w:r>
      <w:r w:rsidRPr="00A46033">
        <w:rPr>
          <w:rFonts w:ascii="Times New Roman" w:hAnsi="Times New Roman" w:cs="Times New Roman"/>
        </w:rPr>
        <w:t xml:space="preserve"> Pinnegar</w:t>
      </w:r>
      <w:r w:rsidR="00AE00CA" w:rsidRPr="00A46033">
        <w:rPr>
          <w:rFonts w:ascii="Times New Roman" w:hAnsi="Times New Roman" w:cs="Times New Roman"/>
        </w:rPr>
        <w:t xml:space="preserve">. </w:t>
      </w:r>
      <w:r w:rsidRPr="00A46033">
        <w:rPr>
          <w:rFonts w:ascii="Times New Roman" w:hAnsi="Times New Roman" w:cs="Times New Roman"/>
        </w:rPr>
        <w:t xml:space="preserve">2014. Climate change and fishing: a century of shifting distribution in North Sea cod. </w:t>
      </w:r>
      <w:r w:rsidRPr="00CC5524">
        <w:rPr>
          <w:rFonts w:ascii="Times New Roman" w:hAnsi="Times New Roman" w:cs="Times New Roman"/>
          <w:i/>
        </w:rPr>
        <w:t>Glob</w:t>
      </w:r>
      <w:r w:rsidR="00AE00CA" w:rsidRPr="00CC5524">
        <w:rPr>
          <w:rFonts w:ascii="Times New Roman" w:hAnsi="Times New Roman" w:cs="Times New Roman"/>
          <w:i/>
        </w:rPr>
        <w:t>al</w:t>
      </w:r>
      <w:r w:rsidRPr="00CC5524">
        <w:rPr>
          <w:rFonts w:ascii="Times New Roman" w:hAnsi="Times New Roman" w:cs="Times New Roman"/>
          <w:i/>
        </w:rPr>
        <w:t xml:space="preserve"> Chang</w:t>
      </w:r>
      <w:r w:rsidR="00AE00CA" w:rsidRPr="00CC5524">
        <w:rPr>
          <w:rFonts w:ascii="Times New Roman" w:hAnsi="Times New Roman" w:cs="Times New Roman"/>
          <w:i/>
        </w:rPr>
        <w:t xml:space="preserve">e </w:t>
      </w:r>
      <w:r w:rsidRPr="00CC5524">
        <w:rPr>
          <w:rFonts w:ascii="Times New Roman" w:hAnsi="Times New Roman" w:cs="Times New Roman"/>
          <w:i/>
        </w:rPr>
        <w:t>Biol</w:t>
      </w:r>
      <w:r w:rsidR="00AE00CA" w:rsidRPr="00CC5524">
        <w:rPr>
          <w:rFonts w:ascii="Times New Roman" w:hAnsi="Times New Roman" w:cs="Times New Roman"/>
          <w:i/>
        </w:rPr>
        <w:t>ogy</w:t>
      </w:r>
      <w:r w:rsidR="00AE00CA" w:rsidRPr="00A46033">
        <w:rPr>
          <w:rFonts w:ascii="Times New Roman" w:hAnsi="Times New Roman" w:cs="Times New Roman"/>
        </w:rPr>
        <w:t xml:space="preserve">. </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1F5C254E" w:rsidR="009027A4" w:rsidRPr="009027A4" w:rsidRDefault="009027A4" w:rsidP="00280355">
      <w:pPr>
        <w:rPr>
          <w:rFonts w:ascii="Times New Roman" w:hAnsi="Times New Roman" w:cs="Times New Roman"/>
          <w:i/>
        </w:rPr>
      </w:pPr>
      <w:r>
        <w:rPr>
          <w:rFonts w:ascii="Times New Roman" w:hAnsi="Times New Roman" w:cs="Times New Roman"/>
        </w:rPr>
        <w:t xml:space="preserve">McLeod, E., R. </w:t>
      </w:r>
      <w:proofErr w:type="spellStart"/>
      <w:r>
        <w:rPr>
          <w:rFonts w:ascii="Times New Roman" w:hAnsi="Times New Roman" w:cs="Times New Roman"/>
        </w:rPr>
        <w:t>Salm</w:t>
      </w:r>
      <w:proofErr w:type="spellEnd"/>
      <w:r>
        <w:rPr>
          <w:rFonts w:ascii="Times New Roman" w:hAnsi="Times New Roman" w:cs="Times New Roman"/>
        </w:rPr>
        <w:t xml:space="preserve">, A. Green, and J. </w:t>
      </w:r>
      <w:proofErr w:type="spellStart"/>
      <w:r>
        <w:rPr>
          <w:rFonts w:ascii="Times New Roman" w:hAnsi="Times New Roman" w:cs="Times New Roman"/>
        </w:rPr>
        <w:t>Almany</w:t>
      </w:r>
      <w:proofErr w:type="spellEnd"/>
      <w:r>
        <w:rPr>
          <w:rFonts w:ascii="Times New Roman" w:hAnsi="Times New Roman" w:cs="Times New Roman"/>
        </w:rPr>
        <w:t xml:space="preserve">. 2008. Designing marine protected area networks to address the impacts of climate change. </w:t>
      </w:r>
      <w:r>
        <w:rPr>
          <w:rFonts w:ascii="Times New Roman" w:hAnsi="Times New Roman" w:cs="Times New Roman"/>
          <w:i/>
        </w:rPr>
        <w:t xml:space="preserve">Frontiers in </w:t>
      </w:r>
      <w:proofErr w:type="spellStart"/>
      <w:r>
        <w:rPr>
          <w:rFonts w:ascii="Times New Roman" w:hAnsi="Times New Roman" w:cs="Times New Roman"/>
          <w:i/>
        </w:rPr>
        <w:t>Ecoogy</w:t>
      </w:r>
      <w:proofErr w:type="spellEnd"/>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proofErr w:type="spellStart"/>
      <w:r>
        <w:rPr>
          <w:rFonts w:ascii="Times New Roman" w:hAnsi="Times New Roman" w:cs="Times New Roman"/>
        </w:rPr>
        <w:t>Neubert</w:t>
      </w:r>
      <w:proofErr w:type="spellEnd"/>
      <w:r>
        <w:rPr>
          <w:rFonts w:ascii="Times New Roman" w:hAnsi="Times New Roman" w:cs="Times New Roman"/>
        </w:rPr>
        <w:t xml:space="preserve">,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3" w:name="tables"/>
      <w:r w:rsidRPr="00A46033">
        <w:rPr>
          <w:rFonts w:ascii="Times New Roman" w:hAnsi="Times New Roman" w:cs="Times New Roman"/>
          <w:color w:val="auto"/>
        </w:rPr>
        <w:t>Tables</w:t>
      </w:r>
      <w:bookmarkEnd w:id="13"/>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9D5EA0">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A94378"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A94378"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4"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4"/>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DA715C" w:rsidRDefault="00DA715C">
      <w:pPr>
        <w:spacing w:after="0"/>
      </w:pPr>
      <w:r>
        <w:separator/>
      </w:r>
    </w:p>
  </w:endnote>
  <w:endnote w:type="continuationSeparator" w:id="0">
    <w:p w14:paraId="405CEB2F" w14:textId="77777777" w:rsidR="00DA715C" w:rsidRDefault="00DA7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altName w:val="Didot"/>
    <w:charset w:val="00"/>
    <w:family w:val="auto"/>
    <w:pitch w:val="variable"/>
    <w:sig w:usb0="8000202F" w:usb1="8000A04A" w:usb2="00000008" w:usb3="00000000" w:csb0="0000004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DA715C" w:rsidRDefault="00DA715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DA715C" w:rsidRDefault="00DA715C"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DA715C" w:rsidRDefault="00DA715C"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59FC">
      <w:rPr>
        <w:rStyle w:val="PageNumber"/>
        <w:noProof/>
      </w:rPr>
      <w:t>24</w:t>
    </w:r>
    <w:r>
      <w:rPr>
        <w:rStyle w:val="PageNumber"/>
      </w:rPr>
      <w:fldChar w:fldCharType="end"/>
    </w:r>
  </w:p>
  <w:p w14:paraId="144DC86D" w14:textId="77777777" w:rsidR="00DA715C" w:rsidRDefault="00DA715C"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DA715C" w:rsidRDefault="00DA715C">
      <w:pPr>
        <w:spacing w:after="0"/>
      </w:pPr>
      <w:r>
        <w:separator/>
      </w:r>
    </w:p>
  </w:footnote>
  <w:footnote w:type="continuationSeparator" w:id="0">
    <w:p w14:paraId="35466555" w14:textId="77777777" w:rsidR="00DA715C" w:rsidRDefault="00DA715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13B82"/>
    <w:rsid w:val="00015D07"/>
    <w:rsid w:val="000245BB"/>
    <w:rsid w:val="00033292"/>
    <w:rsid w:val="000333A4"/>
    <w:rsid w:val="000424BC"/>
    <w:rsid w:val="000448F0"/>
    <w:rsid w:val="000469D6"/>
    <w:rsid w:val="00053E86"/>
    <w:rsid w:val="00054240"/>
    <w:rsid w:val="000607DD"/>
    <w:rsid w:val="0006113D"/>
    <w:rsid w:val="00070B3F"/>
    <w:rsid w:val="000762F4"/>
    <w:rsid w:val="000804BA"/>
    <w:rsid w:val="00087E18"/>
    <w:rsid w:val="00092C01"/>
    <w:rsid w:val="00097FAC"/>
    <w:rsid w:val="000A2225"/>
    <w:rsid w:val="000A44DA"/>
    <w:rsid w:val="000B3465"/>
    <w:rsid w:val="000B651E"/>
    <w:rsid w:val="000C4411"/>
    <w:rsid w:val="000D239F"/>
    <w:rsid w:val="000D3817"/>
    <w:rsid w:val="000D5AFE"/>
    <w:rsid w:val="000F1DE4"/>
    <w:rsid w:val="000F407B"/>
    <w:rsid w:val="001008C6"/>
    <w:rsid w:val="00121724"/>
    <w:rsid w:val="00121EA4"/>
    <w:rsid w:val="00123EE2"/>
    <w:rsid w:val="00125664"/>
    <w:rsid w:val="001269DC"/>
    <w:rsid w:val="00127B14"/>
    <w:rsid w:val="00134B81"/>
    <w:rsid w:val="00135B89"/>
    <w:rsid w:val="00137B04"/>
    <w:rsid w:val="001434AE"/>
    <w:rsid w:val="00145F91"/>
    <w:rsid w:val="00147F2F"/>
    <w:rsid w:val="00167E9B"/>
    <w:rsid w:val="00170CA4"/>
    <w:rsid w:val="00173C34"/>
    <w:rsid w:val="00173FC6"/>
    <w:rsid w:val="001940D3"/>
    <w:rsid w:val="00195706"/>
    <w:rsid w:val="001B095D"/>
    <w:rsid w:val="001B0F63"/>
    <w:rsid w:val="001B1DB7"/>
    <w:rsid w:val="001C0D38"/>
    <w:rsid w:val="001C0EA9"/>
    <w:rsid w:val="001D4419"/>
    <w:rsid w:val="001D611A"/>
    <w:rsid w:val="001E3D67"/>
    <w:rsid w:val="001E7461"/>
    <w:rsid w:val="001F260A"/>
    <w:rsid w:val="001F545E"/>
    <w:rsid w:val="00200F9E"/>
    <w:rsid w:val="00205465"/>
    <w:rsid w:val="00207D52"/>
    <w:rsid w:val="002178B3"/>
    <w:rsid w:val="002332E0"/>
    <w:rsid w:val="002353C1"/>
    <w:rsid w:val="002577A2"/>
    <w:rsid w:val="00261A63"/>
    <w:rsid w:val="00261EC9"/>
    <w:rsid w:val="002678AD"/>
    <w:rsid w:val="00280355"/>
    <w:rsid w:val="00280D63"/>
    <w:rsid w:val="00284449"/>
    <w:rsid w:val="002A18E0"/>
    <w:rsid w:val="002A7398"/>
    <w:rsid w:val="002B07E8"/>
    <w:rsid w:val="002B4A03"/>
    <w:rsid w:val="002C3060"/>
    <w:rsid w:val="002C7ECE"/>
    <w:rsid w:val="002D2470"/>
    <w:rsid w:val="002E58C4"/>
    <w:rsid w:val="002F25EA"/>
    <w:rsid w:val="002F38AB"/>
    <w:rsid w:val="002F587D"/>
    <w:rsid w:val="002F5910"/>
    <w:rsid w:val="002F674B"/>
    <w:rsid w:val="00310DF4"/>
    <w:rsid w:val="0033016F"/>
    <w:rsid w:val="00332C54"/>
    <w:rsid w:val="00336D77"/>
    <w:rsid w:val="00341192"/>
    <w:rsid w:val="00342846"/>
    <w:rsid w:val="00347E34"/>
    <w:rsid w:val="0035369B"/>
    <w:rsid w:val="003641DF"/>
    <w:rsid w:val="00364401"/>
    <w:rsid w:val="00365F9A"/>
    <w:rsid w:val="00371C4C"/>
    <w:rsid w:val="00387277"/>
    <w:rsid w:val="00393FE9"/>
    <w:rsid w:val="003961EB"/>
    <w:rsid w:val="003A057D"/>
    <w:rsid w:val="003A183F"/>
    <w:rsid w:val="003B7D47"/>
    <w:rsid w:val="003C19A1"/>
    <w:rsid w:val="003C1F14"/>
    <w:rsid w:val="003E3350"/>
    <w:rsid w:val="003F1A29"/>
    <w:rsid w:val="003F47EB"/>
    <w:rsid w:val="003F748F"/>
    <w:rsid w:val="00401D68"/>
    <w:rsid w:val="004065CE"/>
    <w:rsid w:val="00406D2B"/>
    <w:rsid w:val="0041210F"/>
    <w:rsid w:val="004370DA"/>
    <w:rsid w:val="004608B7"/>
    <w:rsid w:val="00460AD5"/>
    <w:rsid w:val="00463E6E"/>
    <w:rsid w:val="00464897"/>
    <w:rsid w:val="00465300"/>
    <w:rsid w:val="004801A2"/>
    <w:rsid w:val="00481141"/>
    <w:rsid w:val="00483286"/>
    <w:rsid w:val="00485437"/>
    <w:rsid w:val="00490245"/>
    <w:rsid w:val="00496A86"/>
    <w:rsid w:val="00497AD0"/>
    <w:rsid w:val="004A099E"/>
    <w:rsid w:val="004A1D07"/>
    <w:rsid w:val="004A3016"/>
    <w:rsid w:val="004A4CD2"/>
    <w:rsid w:val="004D2E6A"/>
    <w:rsid w:val="004D50DA"/>
    <w:rsid w:val="004E07D6"/>
    <w:rsid w:val="004F4045"/>
    <w:rsid w:val="0050025E"/>
    <w:rsid w:val="00502DB7"/>
    <w:rsid w:val="00511849"/>
    <w:rsid w:val="0052102B"/>
    <w:rsid w:val="0052464A"/>
    <w:rsid w:val="00527BD4"/>
    <w:rsid w:val="00536868"/>
    <w:rsid w:val="00536A15"/>
    <w:rsid w:val="005370D1"/>
    <w:rsid w:val="005545B7"/>
    <w:rsid w:val="00555FF5"/>
    <w:rsid w:val="0056642B"/>
    <w:rsid w:val="005751A6"/>
    <w:rsid w:val="00575836"/>
    <w:rsid w:val="005772AA"/>
    <w:rsid w:val="00583CA4"/>
    <w:rsid w:val="005966C7"/>
    <w:rsid w:val="00596DB7"/>
    <w:rsid w:val="005A4C51"/>
    <w:rsid w:val="005A7763"/>
    <w:rsid w:val="005B1AD6"/>
    <w:rsid w:val="005C4CE9"/>
    <w:rsid w:val="005D2001"/>
    <w:rsid w:val="005D4E1E"/>
    <w:rsid w:val="005D6B44"/>
    <w:rsid w:val="005E115A"/>
    <w:rsid w:val="0060045D"/>
    <w:rsid w:val="00610EEC"/>
    <w:rsid w:val="006173C9"/>
    <w:rsid w:val="00617AEE"/>
    <w:rsid w:val="00620D4D"/>
    <w:rsid w:val="00636849"/>
    <w:rsid w:val="00644854"/>
    <w:rsid w:val="00646E9B"/>
    <w:rsid w:val="006522C7"/>
    <w:rsid w:val="00652F1E"/>
    <w:rsid w:val="0066665D"/>
    <w:rsid w:val="006804FC"/>
    <w:rsid w:val="006834F1"/>
    <w:rsid w:val="00692A5C"/>
    <w:rsid w:val="006951D9"/>
    <w:rsid w:val="0069795C"/>
    <w:rsid w:val="006A488E"/>
    <w:rsid w:val="006A7319"/>
    <w:rsid w:val="006D1E80"/>
    <w:rsid w:val="006E0223"/>
    <w:rsid w:val="006E16D1"/>
    <w:rsid w:val="006F2CF2"/>
    <w:rsid w:val="006F44E2"/>
    <w:rsid w:val="007063BE"/>
    <w:rsid w:val="00715BF1"/>
    <w:rsid w:val="00722FC5"/>
    <w:rsid w:val="00725950"/>
    <w:rsid w:val="00727A1E"/>
    <w:rsid w:val="00740F01"/>
    <w:rsid w:val="00743D9B"/>
    <w:rsid w:val="00746F4C"/>
    <w:rsid w:val="007649C5"/>
    <w:rsid w:val="00766F81"/>
    <w:rsid w:val="00770CC3"/>
    <w:rsid w:val="0077449B"/>
    <w:rsid w:val="00776AAB"/>
    <w:rsid w:val="00782E48"/>
    <w:rsid w:val="00787331"/>
    <w:rsid w:val="007A46DA"/>
    <w:rsid w:val="007A7C63"/>
    <w:rsid w:val="007A7C86"/>
    <w:rsid w:val="007D0A30"/>
    <w:rsid w:val="007D4B64"/>
    <w:rsid w:val="007D6534"/>
    <w:rsid w:val="007F64BC"/>
    <w:rsid w:val="007F657F"/>
    <w:rsid w:val="00801870"/>
    <w:rsid w:val="00801C70"/>
    <w:rsid w:val="008048CD"/>
    <w:rsid w:val="0080741B"/>
    <w:rsid w:val="00814A97"/>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49C1"/>
    <w:rsid w:val="00897302"/>
    <w:rsid w:val="008A4C8C"/>
    <w:rsid w:val="008B07B3"/>
    <w:rsid w:val="008B48F3"/>
    <w:rsid w:val="008C59FC"/>
    <w:rsid w:val="008D0450"/>
    <w:rsid w:val="008E3BFD"/>
    <w:rsid w:val="008E6D76"/>
    <w:rsid w:val="008F20ED"/>
    <w:rsid w:val="008F21C4"/>
    <w:rsid w:val="008F2927"/>
    <w:rsid w:val="008F67F6"/>
    <w:rsid w:val="009027A4"/>
    <w:rsid w:val="00904841"/>
    <w:rsid w:val="00910F4A"/>
    <w:rsid w:val="0091452A"/>
    <w:rsid w:val="0091558E"/>
    <w:rsid w:val="00920AED"/>
    <w:rsid w:val="00926BC3"/>
    <w:rsid w:val="00927104"/>
    <w:rsid w:val="0093018F"/>
    <w:rsid w:val="00932F61"/>
    <w:rsid w:val="00936C7E"/>
    <w:rsid w:val="009417FE"/>
    <w:rsid w:val="0094625C"/>
    <w:rsid w:val="009472BF"/>
    <w:rsid w:val="00947D1A"/>
    <w:rsid w:val="009707E5"/>
    <w:rsid w:val="00970C1D"/>
    <w:rsid w:val="00986486"/>
    <w:rsid w:val="00987338"/>
    <w:rsid w:val="009A1530"/>
    <w:rsid w:val="009B10E1"/>
    <w:rsid w:val="009B7EE6"/>
    <w:rsid w:val="009C16A2"/>
    <w:rsid w:val="009C2D0B"/>
    <w:rsid w:val="009D2F00"/>
    <w:rsid w:val="009D4F2F"/>
    <w:rsid w:val="009D5EA0"/>
    <w:rsid w:val="009E67EB"/>
    <w:rsid w:val="009F15AE"/>
    <w:rsid w:val="00A04B1F"/>
    <w:rsid w:val="00A11250"/>
    <w:rsid w:val="00A21C64"/>
    <w:rsid w:val="00A21C74"/>
    <w:rsid w:val="00A32B08"/>
    <w:rsid w:val="00A35AB3"/>
    <w:rsid w:val="00A43249"/>
    <w:rsid w:val="00A46033"/>
    <w:rsid w:val="00A51AF6"/>
    <w:rsid w:val="00A7253E"/>
    <w:rsid w:val="00A73E40"/>
    <w:rsid w:val="00A8168C"/>
    <w:rsid w:val="00A81BB7"/>
    <w:rsid w:val="00A845FD"/>
    <w:rsid w:val="00A84AB1"/>
    <w:rsid w:val="00A94378"/>
    <w:rsid w:val="00A95186"/>
    <w:rsid w:val="00A97964"/>
    <w:rsid w:val="00AA04A2"/>
    <w:rsid w:val="00AA778C"/>
    <w:rsid w:val="00AB03E3"/>
    <w:rsid w:val="00AB1742"/>
    <w:rsid w:val="00AB75EB"/>
    <w:rsid w:val="00AC4C17"/>
    <w:rsid w:val="00AC7C3C"/>
    <w:rsid w:val="00AE00CA"/>
    <w:rsid w:val="00AE23DC"/>
    <w:rsid w:val="00AE2BE9"/>
    <w:rsid w:val="00AF077A"/>
    <w:rsid w:val="00B031F9"/>
    <w:rsid w:val="00B05AF1"/>
    <w:rsid w:val="00B11F5C"/>
    <w:rsid w:val="00B12DC8"/>
    <w:rsid w:val="00B14E99"/>
    <w:rsid w:val="00B16BF5"/>
    <w:rsid w:val="00B2126D"/>
    <w:rsid w:val="00B21E63"/>
    <w:rsid w:val="00B41CCC"/>
    <w:rsid w:val="00B43B99"/>
    <w:rsid w:val="00B469AC"/>
    <w:rsid w:val="00B526FA"/>
    <w:rsid w:val="00B64CF1"/>
    <w:rsid w:val="00B64E52"/>
    <w:rsid w:val="00B65D35"/>
    <w:rsid w:val="00B71D1F"/>
    <w:rsid w:val="00B83E84"/>
    <w:rsid w:val="00B92560"/>
    <w:rsid w:val="00B9684A"/>
    <w:rsid w:val="00BB03E2"/>
    <w:rsid w:val="00BB1667"/>
    <w:rsid w:val="00BB25E7"/>
    <w:rsid w:val="00BC39CD"/>
    <w:rsid w:val="00BE1394"/>
    <w:rsid w:val="00BE4494"/>
    <w:rsid w:val="00BE7F55"/>
    <w:rsid w:val="00BF4BC9"/>
    <w:rsid w:val="00BF5D2B"/>
    <w:rsid w:val="00BF6DE4"/>
    <w:rsid w:val="00C0748D"/>
    <w:rsid w:val="00C1056F"/>
    <w:rsid w:val="00C16DA0"/>
    <w:rsid w:val="00C232C4"/>
    <w:rsid w:val="00C2506D"/>
    <w:rsid w:val="00C40958"/>
    <w:rsid w:val="00C415D3"/>
    <w:rsid w:val="00C41F9A"/>
    <w:rsid w:val="00C44F11"/>
    <w:rsid w:val="00C470E8"/>
    <w:rsid w:val="00C47392"/>
    <w:rsid w:val="00C56D5D"/>
    <w:rsid w:val="00C65B21"/>
    <w:rsid w:val="00C70895"/>
    <w:rsid w:val="00C70A44"/>
    <w:rsid w:val="00C772BC"/>
    <w:rsid w:val="00C82540"/>
    <w:rsid w:val="00C86171"/>
    <w:rsid w:val="00C93EA7"/>
    <w:rsid w:val="00C956FE"/>
    <w:rsid w:val="00CA1794"/>
    <w:rsid w:val="00CB0016"/>
    <w:rsid w:val="00CB742B"/>
    <w:rsid w:val="00CC0607"/>
    <w:rsid w:val="00CC5524"/>
    <w:rsid w:val="00CD0434"/>
    <w:rsid w:val="00CD1EC4"/>
    <w:rsid w:val="00CD2E18"/>
    <w:rsid w:val="00CD4641"/>
    <w:rsid w:val="00CE6DE0"/>
    <w:rsid w:val="00CE7545"/>
    <w:rsid w:val="00CF5FFA"/>
    <w:rsid w:val="00CF64D3"/>
    <w:rsid w:val="00D02CDB"/>
    <w:rsid w:val="00D04418"/>
    <w:rsid w:val="00D062F4"/>
    <w:rsid w:val="00D10842"/>
    <w:rsid w:val="00D16B53"/>
    <w:rsid w:val="00D25D67"/>
    <w:rsid w:val="00D32D25"/>
    <w:rsid w:val="00D45C56"/>
    <w:rsid w:val="00D476FB"/>
    <w:rsid w:val="00D54BB2"/>
    <w:rsid w:val="00D6406C"/>
    <w:rsid w:val="00D65B08"/>
    <w:rsid w:val="00D67875"/>
    <w:rsid w:val="00D86790"/>
    <w:rsid w:val="00D9110D"/>
    <w:rsid w:val="00D93CB5"/>
    <w:rsid w:val="00DA0A49"/>
    <w:rsid w:val="00DA50DB"/>
    <w:rsid w:val="00DA6F3C"/>
    <w:rsid w:val="00DA715C"/>
    <w:rsid w:val="00DB004F"/>
    <w:rsid w:val="00DB0402"/>
    <w:rsid w:val="00DB5ABD"/>
    <w:rsid w:val="00DD0456"/>
    <w:rsid w:val="00DD16B2"/>
    <w:rsid w:val="00DF7860"/>
    <w:rsid w:val="00E20CF3"/>
    <w:rsid w:val="00E218F8"/>
    <w:rsid w:val="00E2674C"/>
    <w:rsid w:val="00E27AB7"/>
    <w:rsid w:val="00E30FB5"/>
    <w:rsid w:val="00E32B1F"/>
    <w:rsid w:val="00E35210"/>
    <w:rsid w:val="00E41553"/>
    <w:rsid w:val="00E4601A"/>
    <w:rsid w:val="00E467EE"/>
    <w:rsid w:val="00E5094B"/>
    <w:rsid w:val="00E52E3A"/>
    <w:rsid w:val="00E57628"/>
    <w:rsid w:val="00E60060"/>
    <w:rsid w:val="00E6158B"/>
    <w:rsid w:val="00E86C7B"/>
    <w:rsid w:val="00E9292C"/>
    <w:rsid w:val="00EA7345"/>
    <w:rsid w:val="00EB01A0"/>
    <w:rsid w:val="00EC2B84"/>
    <w:rsid w:val="00ED00F5"/>
    <w:rsid w:val="00ED1459"/>
    <w:rsid w:val="00ED4D56"/>
    <w:rsid w:val="00EE12B4"/>
    <w:rsid w:val="00EF1F2A"/>
    <w:rsid w:val="00EF3E82"/>
    <w:rsid w:val="00EF50DB"/>
    <w:rsid w:val="00EF5C1C"/>
    <w:rsid w:val="00F00899"/>
    <w:rsid w:val="00F02DD2"/>
    <w:rsid w:val="00F03373"/>
    <w:rsid w:val="00F12465"/>
    <w:rsid w:val="00F12EFE"/>
    <w:rsid w:val="00F15A24"/>
    <w:rsid w:val="00F240E3"/>
    <w:rsid w:val="00F256AF"/>
    <w:rsid w:val="00F4367A"/>
    <w:rsid w:val="00F56D07"/>
    <w:rsid w:val="00F574DC"/>
    <w:rsid w:val="00F63EC4"/>
    <w:rsid w:val="00F81334"/>
    <w:rsid w:val="00F93D54"/>
    <w:rsid w:val="00F94996"/>
    <w:rsid w:val="00FA0AC9"/>
    <w:rsid w:val="00FA5856"/>
    <w:rsid w:val="00FB0D13"/>
    <w:rsid w:val="00FC25B2"/>
    <w:rsid w:val="00FD0D63"/>
    <w:rsid w:val="00FE0E2E"/>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36AD6-737E-074F-9553-48F84FB5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36</Pages>
  <Words>9610</Words>
  <Characters>53051</Characters>
  <Application>Microsoft Macintosh Word</Application>
  <DocSecurity>0</DocSecurity>
  <Lines>803</Lines>
  <Paragraphs>256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62405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Eleanor Brush</cp:lastModifiedBy>
  <cp:revision>241</cp:revision>
  <cp:lastPrinted>2014-07-03T17:11:00Z</cp:lastPrinted>
  <dcterms:created xsi:type="dcterms:W3CDTF">2014-06-22T15:48:00Z</dcterms:created>
  <dcterms:modified xsi:type="dcterms:W3CDTF">2015-01-19T18:50:00Z</dcterms:modified>
  <cp:category/>
</cp:coreProperties>
</file>