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32999" w14:textId="77777777" w:rsidR="000056A3" w:rsidRDefault="008E0A55">
      <w:r>
        <w:t>Figures and Tables</w:t>
      </w:r>
    </w:p>
    <w:p w14:paraId="7BCFA6F3" w14:textId="77777777" w:rsidR="008E0A55" w:rsidRDefault="008E0A55"/>
    <w:p w14:paraId="6844A658" w14:textId="77777777" w:rsidR="008E0A55" w:rsidRPr="00577BE2" w:rsidRDefault="008E0A55" w:rsidP="008E0A55">
      <w:pPr>
        <w:pStyle w:val="Caption"/>
        <w:keepNext/>
        <w:rPr>
          <w:i w:val="0"/>
          <w:color w:val="000000" w:themeColor="text1"/>
        </w:rPr>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1</w:t>
      </w:r>
      <w:r w:rsidRPr="00577BE2">
        <w:rPr>
          <w:color w:val="000000" w:themeColor="text1"/>
        </w:rPr>
        <w:fldChar w:fldCharType="end"/>
      </w:r>
      <w:r w:rsidRPr="00577BE2">
        <w:rPr>
          <w:color w:val="000000" w:themeColor="text1"/>
        </w:rPr>
        <w:t xml:space="preserve">: </w:t>
      </w:r>
      <w:r w:rsidRPr="00577BE2">
        <w:rPr>
          <w:i w:val="0"/>
          <w:color w:val="000000" w:themeColor="text1"/>
        </w:rPr>
        <w:t xml:space="preserve">Using landing tickets we aggregated to catch to trips and defined realized fisheries. Using these realized fisheries we measured vessel and port level fisheries diversification.  </w:t>
      </w:r>
    </w:p>
    <w:p w14:paraId="2CAE77BB" w14:textId="77777777" w:rsidR="008E0A55" w:rsidRDefault="008E0A55" w:rsidP="008E0A55">
      <w:pPr>
        <w:spacing w:line="480" w:lineRule="auto"/>
        <w:jc w:val="center"/>
        <w:rPr>
          <w:rFonts w:ascii="Times New Roman" w:hAnsi="Times New Roman"/>
          <w:color w:val="000000" w:themeColor="text1"/>
        </w:rPr>
      </w:pPr>
      <w:r w:rsidRPr="00577BE2">
        <w:rPr>
          <w:rFonts w:ascii="Times New Roman" w:hAnsi="Times New Roman"/>
          <w:noProof/>
          <w:color w:val="000000" w:themeColor="text1"/>
        </w:rPr>
        <w:drawing>
          <wp:inline distT="0" distB="0" distL="0" distR="0" wp14:anchorId="6C500DD0" wp14:editId="562EE391">
            <wp:extent cx="3823335" cy="2986776"/>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1212" cy="2992930"/>
                    </a:xfrm>
                    <a:prstGeom prst="rect">
                      <a:avLst/>
                    </a:prstGeom>
                  </pic:spPr>
                </pic:pic>
              </a:graphicData>
            </a:graphic>
          </wp:inline>
        </w:drawing>
      </w:r>
    </w:p>
    <w:p w14:paraId="3C33FAC7" w14:textId="77777777" w:rsidR="008E0A55" w:rsidRDefault="008E0A55">
      <w:pPr>
        <w:rPr>
          <w:rFonts w:ascii="Times New Roman" w:hAnsi="Times New Roman"/>
          <w:color w:val="000000" w:themeColor="text1"/>
        </w:rPr>
      </w:pPr>
      <w:r>
        <w:rPr>
          <w:rFonts w:ascii="Times New Roman" w:hAnsi="Times New Roman"/>
          <w:color w:val="000000" w:themeColor="text1"/>
        </w:rPr>
        <w:br w:type="page"/>
      </w:r>
    </w:p>
    <w:p w14:paraId="312886D3" w14:textId="77777777" w:rsidR="008E0A55" w:rsidRPr="00577BE2" w:rsidRDefault="008E0A55" w:rsidP="008E0A55">
      <w:pPr>
        <w:pStyle w:val="Caption"/>
        <w:keepNext/>
        <w:rPr>
          <w:rFonts w:ascii="Times New Roman" w:hAnsi="Times New Roman"/>
          <w:color w:val="000000" w:themeColor="text1"/>
        </w:rPr>
      </w:pPr>
      <w:r w:rsidRPr="00577BE2">
        <w:rPr>
          <w:rFonts w:ascii="Times New Roman" w:hAnsi="Times New Roman"/>
          <w:color w:val="000000" w:themeColor="text1"/>
        </w:rPr>
        <w:lastRenderedPageBreak/>
        <w:t xml:space="preserve">Table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Table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1</w:t>
      </w:r>
      <w:r w:rsidRPr="00577BE2">
        <w:rPr>
          <w:rFonts w:ascii="Times New Roman" w:hAnsi="Times New Roman"/>
          <w:color w:val="000000" w:themeColor="text1"/>
        </w:rPr>
        <w:fldChar w:fldCharType="end"/>
      </w:r>
      <w:r w:rsidRPr="00577BE2">
        <w:rPr>
          <w:rFonts w:ascii="Times New Roman" w:hAnsi="Times New Roman"/>
          <w:color w:val="000000" w:themeColor="text1"/>
        </w:rPr>
        <w:t>: We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E0A55" w:rsidRPr="00577BE2" w14:paraId="003632DF" w14:textId="77777777" w:rsidTr="00E645EE">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7AC92105"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1104AAE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7B1C99DB"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13476D22"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36326D8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47A05BAF"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6DEA36A4"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4D3F2B4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0B6B8295" w14:textId="77777777" w:rsidR="008E0A55" w:rsidRPr="00577BE2" w:rsidRDefault="008E0A55" w:rsidP="00E645EE">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367D4E6B" w14:textId="77777777" w:rsidR="008E0A55" w:rsidRPr="00577BE2" w:rsidRDefault="008E0A55" w:rsidP="00E645EE">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 xml:space="preserve">1 </w:t>
            </w:r>
            <w:proofErr w:type="spellStart"/>
            <w:r w:rsidRPr="00577BE2">
              <w:rPr>
                <w:rFonts w:ascii="Times New Roman" w:hAnsi="Times New Roman"/>
                <w:color w:val="000000" w:themeColor="text1"/>
                <w:sz w:val="20"/>
              </w:rPr>
              <w:t>ft</w:t>
            </w:r>
            <w:proofErr w:type="spellEnd"/>
          </w:p>
        </w:tc>
      </w:tr>
      <w:tr w:rsidR="008E0A55" w:rsidRPr="00577BE2" w14:paraId="61CEBD7C" w14:textId="77777777" w:rsidTr="00E645EE">
        <w:trPr>
          <w:trHeight w:val="672"/>
          <w:jc w:val="center"/>
        </w:trPr>
        <w:tc>
          <w:tcPr>
            <w:tcW w:w="2274" w:type="dxa"/>
            <w:tcBorders>
              <w:top w:val="single" w:sz="18" w:space="0" w:color="auto"/>
              <w:left w:val="nil"/>
              <w:bottom w:val="nil"/>
              <w:right w:val="nil"/>
            </w:tcBorders>
            <w:shd w:val="clear" w:color="auto" w:fill="auto"/>
            <w:vAlign w:val="center"/>
          </w:tcPr>
          <w:p w14:paraId="3A4A39E1"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4C9B2E4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784C25B9"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1C501DA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88F25E0"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36ACECC6"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23043F1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4F478E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E0A55" w:rsidRPr="00577BE2" w14:paraId="5E0C1A33" w14:textId="77777777" w:rsidTr="00E645EE">
        <w:trPr>
          <w:trHeight w:val="555"/>
          <w:jc w:val="center"/>
        </w:trPr>
        <w:tc>
          <w:tcPr>
            <w:tcW w:w="2274" w:type="dxa"/>
            <w:tcBorders>
              <w:top w:val="nil"/>
              <w:left w:val="nil"/>
              <w:bottom w:val="nil"/>
              <w:right w:val="nil"/>
            </w:tcBorders>
            <w:shd w:val="clear" w:color="auto" w:fill="auto"/>
            <w:vAlign w:val="center"/>
          </w:tcPr>
          <w:p w14:paraId="53482539"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11C8DA1F"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616485A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6867CF20"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7181E3B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1F094B81"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42A268E8"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6B9F6C56"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E0A55" w:rsidRPr="00577BE2" w14:paraId="3316329A" w14:textId="77777777" w:rsidTr="00E645EE">
        <w:trPr>
          <w:trHeight w:val="534"/>
          <w:jc w:val="center"/>
        </w:trPr>
        <w:tc>
          <w:tcPr>
            <w:tcW w:w="2274" w:type="dxa"/>
            <w:tcBorders>
              <w:top w:val="nil"/>
              <w:left w:val="nil"/>
              <w:bottom w:val="dotted" w:sz="2" w:space="0" w:color="auto"/>
              <w:right w:val="nil"/>
            </w:tcBorders>
            <w:shd w:val="clear" w:color="auto" w:fill="auto"/>
            <w:vAlign w:val="center"/>
          </w:tcPr>
          <w:p w14:paraId="1155F338"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296052E8"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6F59648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5372452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61D3559C"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03883238"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1AFB3B1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E0A55" w:rsidRPr="00577BE2" w14:paraId="47F23709" w14:textId="77777777" w:rsidTr="00E645EE">
        <w:trPr>
          <w:trHeight w:val="425"/>
          <w:jc w:val="center"/>
        </w:trPr>
        <w:tc>
          <w:tcPr>
            <w:tcW w:w="2274" w:type="dxa"/>
            <w:tcBorders>
              <w:top w:val="dotted" w:sz="2" w:space="0" w:color="auto"/>
              <w:left w:val="nil"/>
              <w:bottom w:val="nil"/>
              <w:right w:val="nil"/>
            </w:tcBorders>
            <w:shd w:val="clear" w:color="auto" w:fill="auto"/>
            <w:vAlign w:val="center"/>
          </w:tcPr>
          <w:p w14:paraId="75A00A98"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7C3627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3DA4D21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771C569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15325BA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E0A55" w:rsidRPr="00577BE2" w14:paraId="6A200FAA" w14:textId="77777777" w:rsidTr="00E645EE">
        <w:trPr>
          <w:trHeight w:val="466"/>
          <w:jc w:val="center"/>
        </w:trPr>
        <w:tc>
          <w:tcPr>
            <w:tcW w:w="2274" w:type="dxa"/>
            <w:tcBorders>
              <w:top w:val="nil"/>
              <w:left w:val="nil"/>
              <w:bottom w:val="nil"/>
              <w:right w:val="nil"/>
            </w:tcBorders>
            <w:shd w:val="clear" w:color="auto" w:fill="auto"/>
            <w:vAlign w:val="center"/>
          </w:tcPr>
          <w:p w14:paraId="32361E4D"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61353521"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14425E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3E6FE75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660BB4B2"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E0A55" w:rsidRPr="00577BE2" w14:paraId="13FF5BA9" w14:textId="77777777" w:rsidTr="00E645EE">
        <w:trPr>
          <w:trHeight w:val="421"/>
          <w:jc w:val="center"/>
        </w:trPr>
        <w:tc>
          <w:tcPr>
            <w:tcW w:w="2274" w:type="dxa"/>
            <w:tcBorders>
              <w:top w:val="nil"/>
              <w:left w:val="nil"/>
              <w:bottom w:val="nil"/>
              <w:right w:val="nil"/>
            </w:tcBorders>
            <w:shd w:val="clear" w:color="auto" w:fill="auto"/>
            <w:vAlign w:val="center"/>
          </w:tcPr>
          <w:p w14:paraId="6B05E863"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CB112E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102FFCC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1C00CFE9"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6634D5EA"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E0A55" w:rsidRPr="00577BE2" w14:paraId="53392107" w14:textId="77777777" w:rsidTr="00E645EE">
        <w:trPr>
          <w:trHeight w:val="376"/>
          <w:jc w:val="center"/>
        </w:trPr>
        <w:tc>
          <w:tcPr>
            <w:tcW w:w="2274" w:type="dxa"/>
            <w:tcBorders>
              <w:top w:val="nil"/>
              <w:left w:val="nil"/>
              <w:bottom w:val="nil"/>
              <w:right w:val="nil"/>
            </w:tcBorders>
            <w:shd w:val="clear" w:color="auto" w:fill="auto"/>
            <w:vAlign w:val="center"/>
          </w:tcPr>
          <w:p w14:paraId="466C1A37"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3C36962F"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152C59A0"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61770CB7"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2F2FAE29"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E0A55" w:rsidRPr="00577BE2" w14:paraId="0A9C85FC" w14:textId="77777777" w:rsidTr="00E645EE">
        <w:trPr>
          <w:trHeight w:val="304"/>
          <w:jc w:val="center"/>
        </w:trPr>
        <w:tc>
          <w:tcPr>
            <w:tcW w:w="2274" w:type="dxa"/>
            <w:tcBorders>
              <w:top w:val="nil"/>
              <w:left w:val="nil"/>
              <w:bottom w:val="nil"/>
              <w:right w:val="nil"/>
            </w:tcBorders>
            <w:shd w:val="clear" w:color="auto" w:fill="auto"/>
            <w:vAlign w:val="center"/>
          </w:tcPr>
          <w:p w14:paraId="51B4E3FB"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239AF73E"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B0BBDF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5C82BE2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EC51AA9"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E0A55" w:rsidRPr="00577BE2" w14:paraId="7A5A610D" w14:textId="77777777" w:rsidTr="00E645EE">
        <w:trPr>
          <w:trHeight w:val="534"/>
          <w:jc w:val="center"/>
        </w:trPr>
        <w:tc>
          <w:tcPr>
            <w:tcW w:w="2274" w:type="dxa"/>
            <w:tcBorders>
              <w:top w:val="nil"/>
              <w:left w:val="nil"/>
              <w:bottom w:val="nil"/>
              <w:right w:val="nil"/>
            </w:tcBorders>
            <w:shd w:val="clear" w:color="auto" w:fill="auto"/>
            <w:vAlign w:val="center"/>
          </w:tcPr>
          <w:p w14:paraId="31CCDE0D"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1B6F79D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1EA1A371"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3A07EF55"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5D755C1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E0A55" w:rsidRPr="00577BE2" w14:paraId="40F9D911" w14:textId="77777777" w:rsidTr="00E645EE">
        <w:trPr>
          <w:trHeight w:val="534"/>
          <w:jc w:val="center"/>
        </w:trPr>
        <w:tc>
          <w:tcPr>
            <w:tcW w:w="2274" w:type="dxa"/>
            <w:tcBorders>
              <w:top w:val="nil"/>
              <w:left w:val="nil"/>
              <w:bottom w:val="nil"/>
              <w:right w:val="nil"/>
            </w:tcBorders>
            <w:shd w:val="clear" w:color="auto" w:fill="auto"/>
            <w:vAlign w:val="center"/>
          </w:tcPr>
          <w:p w14:paraId="784A1E3D"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4E77075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476268B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2557AD2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2F99F933"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E0A55" w:rsidRPr="00577BE2" w14:paraId="305AB636" w14:textId="77777777" w:rsidTr="00E645EE">
        <w:trPr>
          <w:trHeight w:val="206"/>
          <w:jc w:val="center"/>
        </w:trPr>
        <w:tc>
          <w:tcPr>
            <w:tcW w:w="2274" w:type="dxa"/>
            <w:tcBorders>
              <w:top w:val="nil"/>
              <w:left w:val="nil"/>
              <w:bottom w:val="single" w:sz="18" w:space="0" w:color="auto"/>
              <w:right w:val="nil"/>
            </w:tcBorders>
            <w:shd w:val="clear" w:color="auto" w:fill="auto"/>
            <w:vAlign w:val="center"/>
          </w:tcPr>
          <w:p w14:paraId="4C093C37" w14:textId="77777777" w:rsidR="008E0A55" w:rsidRPr="00577BE2" w:rsidRDefault="008E0A55" w:rsidP="00E645EE">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1957D80F"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5A087544"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118785ED"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17298EDF" w14:textId="77777777" w:rsidR="008E0A55" w:rsidRPr="00577BE2" w:rsidRDefault="008E0A55" w:rsidP="00E645EE">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230D0E1C" w14:textId="77777777" w:rsidR="008E0A55" w:rsidRDefault="008E0A55"/>
    <w:p w14:paraId="46E30F81" w14:textId="77777777" w:rsidR="008E0A55" w:rsidRDefault="008E0A55">
      <w:r>
        <w:br w:type="page"/>
      </w:r>
    </w:p>
    <w:p w14:paraId="0FD69EB5" w14:textId="7F07EAA2" w:rsidR="00C81A92" w:rsidRDefault="008E0A55" w:rsidP="00C81A92">
      <w:pPr>
        <w:pStyle w:val="Caption"/>
        <w:keepNext/>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2</w:t>
      </w:r>
      <w:r w:rsidRPr="00577BE2">
        <w:rPr>
          <w:noProof/>
          <w:color w:val="000000" w:themeColor="text1"/>
        </w:rPr>
        <w:fldChar w:fldCharType="end"/>
      </w:r>
      <w:r w:rsidRPr="00577BE2">
        <w:rPr>
          <w:color w:val="000000" w:themeColor="text1"/>
        </w:rPr>
        <w:t xml:space="preserve">: </w:t>
      </w:r>
      <w:r w:rsidRPr="00577BE2">
        <w:rPr>
          <w:rFonts w:ascii="Times New Roman" w:hAnsi="Times New Roman"/>
          <w:noProof/>
          <w:color w:val="000000" w:themeColor="text1"/>
        </w:rPr>
        <w:t>Distribution of fisheries diversity at the vessel level; A) coastwide, B) by management region, C) breakdown of generalism for each management sector. Generalists are vessels that land &gt; 1 realized fishery.</w:t>
      </w:r>
      <w:r w:rsidR="00C81A92">
        <w:t xml:space="preserve"> </w:t>
      </w:r>
    </w:p>
    <w:p w14:paraId="2906DB94" w14:textId="2438CF54" w:rsidR="008E0A55" w:rsidRDefault="00C81A92">
      <w:r>
        <w:rPr>
          <w:noProof/>
        </w:rPr>
        <w:drawing>
          <wp:inline distT="0" distB="0" distL="0" distR="0" wp14:anchorId="1D3685CE" wp14:editId="4C3625AD">
            <wp:extent cx="5930900" cy="3962400"/>
            <wp:effectExtent l="0" t="0" r="12700" b="0"/>
            <wp:docPr id="2" name="Picture 2" descr="../../../../../../../../../Desktop/CNH/Analysis/Metiers/bin/05_fi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NH/Analysis/Metiers/bin/05_fig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962400"/>
                    </a:xfrm>
                    <a:prstGeom prst="rect">
                      <a:avLst/>
                    </a:prstGeom>
                    <a:noFill/>
                    <a:ln>
                      <a:noFill/>
                    </a:ln>
                  </pic:spPr>
                </pic:pic>
              </a:graphicData>
            </a:graphic>
          </wp:inline>
        </w:drawing>
      </w:r>
    </w:p>
    <w:p w14:paraId="0AF2B170" w14:textId="1B8DC7E4" w:rsidR="008D679F" w:rsidRDefault="008D679F">
      <w:pPr>
        <w:rPr>
          <w:rFonts w:ascii="Cambria" w:eastAsia="Cambria" w:hAnsi="Cambria" w:cs="Times New Roman"/>
          <w:i/>
          <w:iCs/>
          <w:color w:val="000000" w:themeColor="text1"/>
          <w:sz w:val="18"/>
          <w:szCs w:val="18"/>
        </w:rPr>
      </w:pPr>
      <w:r>
        <w:rPr>
          <w:color w:val="000000" w:themeColor="text1"/>
        </w:rPr>
        <w:br w:type="page"/>
      </w:r>
    </w:p>
    <w:p w14:paraId="293A4421" w14:textId="77777777" w:rsidR="008D679F" w:rsidRDefault="008D679F" w:rsidP="008E0A55">
      <w:pPr>
        <w:pStyle w:val="Caption"/>
        <w:keepNext/>
        <w:rPr>
          <w:color w:val="000000" w:themeColor="text1"/>
        </w:rPr>
      </w:pPr>
    </w:p>
    <w:p w14:paraId="07227C02" w14:textId="309B2829" w:rsidR="008E0A55" w:rsidRPr="00577BE2" w:rsidRDefault="008E0A55" w:rsidP="008E0A55">
      <w:pPr>
        <w:pStyle w:val="Caption"/>
        <w:keepNext/>
        <w:rPr>
          <w:color w:val="000000" w:themeColor="text1"/>
        </w:rPr>
      </w:pPr>
      <w:r w:rsidRPr="00577BE2">
        <w:rPr>
          <w:color w:val="000000" w:themeColor="text1"/>
        </w:rPr>
        <w:t xml:space="preserve">Figure </w:t>
      </w:r>
      <w:r w:rsidRPr="00577BE2">
        <w:rPr>
          <w:color w:val="000000" w:themeColor="text1"/>
        </w:rPr>
        <w:fldChar w:fldCharType="begin"/>
      </w:r>
      <w:r w:rsidRPr="00577BE2">
        <w:rPr>
          <w:color w:val="000000" w:themeColor="text1"/>
        </w:rPr>
        <w:instrText xml:space="preserve"> SEQ Figure \* ARABIC </w:instrText>
      </w:r>
      <w:r w:rsidRPr="00577BE2">
        <w:rPr>
          <w:color w:val="000000" w:themeColor="text1"/>
        </w:rPr>
        <w:fldChar w:fldCharType="separate"/>
      </w:r>
      <w:r>
        <w:rPr>
          <w:noProof/>
          <w:color w:val="000000" w:themeColor="text1"/>
        </w:rPr>
        <w:t>3</w:t>
      </w:r>
      <w:r w:rsidRPr="00577BE2">
        <w:rPr>
          <w:noProof/>
          <w:color w:val="000000" w:themeColor="text1"/>
        </w:rPr>
        <w:fldChar w:fldCharType="end"/>
      </w:r>
      <w:r w:rsidRPr="00577BE2">
        <w:rPr>
          <w:color w:val="000000" w:themeColor="text1"/>
        </w:rPr>
        <w:t xml:space="preserve">: </w:t>
      </w:r>
      <w:r w:rsidRPr="00577BE2">
        <w:rPr>
          <w:rFonts w:ascii="Times New Roman" w:hAnsi="Times New Roman"/>
          <w:noProof/>
          <w:color w:val="000000" w:themeColor="text1"/>
        </w:rPr>
        <w:t xml:space="preserve">: Diversity of fishing communities on the US west coast. A) Fisheries participation network for all landings in Santa Barbara, CA between 2009-2010, B) Fisheries participation network for all landings in </w:t>
      </w:r>
      <w:r w:rsidR="008D679F">
        <w:rPr>
          <w:rFonts w:ascii="Times New Roman" w:hAnsi="Times New Roman"/>
          <w:noProof/>
          <w:color w:val="000000" w:themeColor="text1"/>
        </w:rPr>
        <w:t>Eureka</w:t>
      </w:r>
      <w:r w:rsidRPr="00577BE2">
        <w:rPr>
          <w:rFonts w:ascii="Times New Roman" w:hAnsi="Times New Roman"/>
          <w:noProof/>
          <w:color w:val="000000" w:themeColor="text1"/>
        </w:rPr>
        <w:t>,</w:t>
      </w:r>
      <w:r w:rsidR="008D679F">
        <w:rPr>
          <w:rFonts w:ascii="Times New Roman" w:hAnsi="Times New Roman"/>
          <w:noProof/>
          <w:color w:val="000000" w:themeColor="text1"/>
        </w:rPr>
        <w:t xml:space="preserve"> CA</w:t>
      </w:r>
      <w:r w:rsidRPr="00577BE2">
        <w:rPr>
          <w:rFonts w:ascii="Times New Roman" w:hAnsi="Times New Roman"/>
          <w:noProof/>
          <w:color w:val="000000" w:themeColor="text1"/>
        </w:rPr>
        <w:t xml:space="preserve"> between 2009-2010, C) </w:t>
      </w:r>
      <w:r w:rsidR="008D679F">
        <w:rPr>
          <w:rFonts w:ascii="Times New Roman" w:hAnsi="Times New Roman"/>
          <w:noProof/>
          <w:color w:val="000000" w:themeColor="text1"/>
        </w:rPr>
        <w:t>Fisheries participation network for all landings in Oakland, CA for all landings in Oakland, CA between 2009-2010, D) fishery connectance</w:t>
      </w:r>
      <w:r w:rsidRPr="00577BE2">
        <w:rPr>
          <w:rFonts w:ascii="Times New Roman" w:hAnsi="Times New Roman"/>
          <w:noProof/>
          <w:color w:val="000000" w:themeColor="text1"/>
        </w:rPr>
        <w:t xml:space="preserve"> values for all ports on US west coast with &gt; 3 vessels landing between 2009-2010.</w:t>
      </w:r>
      <w:r w:rsidR="008D679F">
        <w:rPr>
          <w:rFonts w:ascii="Times New Roman" w:hAnsi="Times New Roman"/>
          <w:noProof/>
          <w:color w:val="000000" w:themeColor="text1"/>
        </w:rPr>
        <w:t xml:space="preserve"> Dark bars correspond to the network above them. </w:t>
      </w:r>
    </w:p>
    <w:p w14:paraId="50FC17E4" w14:textId="1D82BF0C" w:rsidR="008E0A55" w:rsidRDefault="00545374">
      <w:r w:rsidRPr="00545374">
        <w:rPr>
          <w:noProof/>
          <w:color w:val="000000" w:themeColor="text1"/>
        </w:rPr>
        <w:drawing>
          <wp:inline distT="0" distB="0" distL="0" distR="0" wp14:anchorId="2DBE8296" wp14:editId="1721DD91">
            <wp:extent cx="5943600" cy="4256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6405"/>
                    </a:xfrm>
                    <a:prstGeom prst="rect">
                      <a:avLst/>
                    </a:prstGeom>
                  </pic:spPr>
                </pic:pic>
              </a:graphicData>
            </a:graphic>
          </wp:inline>
        </w:drawing>
      </w:r>
    </w:p>
    <w:p w14:paraId="722D6463" w14:textId="77777777" w:rsidR="008E0A55" w:rsidRDefault="008E0A55">
      <w:r>
        <w:br w:type="page"/>
      </w:r>
    </w:p>
    <w:p w14:paraId="52710CA5" w14:textId="750BDA2E" w:rsidR="008E0A55" w:rsidRPr="00577BE2" w:rsidRDefault="008E0A55" w:rsidP="008E0A55">
      <w:pPr>
        <w:pStyle w:val="Caption"/>
        <w:keepNext/>
        <w:rPr>
          <w:rFonts w:ascii="Times New Roman" w:hAnsi="Times New Roman"/>
          <w:i w:val="0"/>
          <w:color w:val="000000" w:themeColor="text1"/>
        </w:rPr>
      </w:pPr>
      <w:r w:rsidRPr="00577BE2">
        <w:rPr>
          <w:rFonts w:ascii="Times New Roman" w:hAnsi="Times New Roman"/>
          <w:color w:val="000000" w:themeColor="text1"/>
        </w:rPr>
        <w:t xml:space="preserve">Figure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Figure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4</w:t>
      </w:r>
      <w:r w:rsidRPr="00577BE2">
        <w:rPr>
          <w:rFonts w:ascii="Times New Roman" w:hAnsi="Times New Roman"/>
          <w:color w:val="000000" w:themeColor="text1"/>
        </w:rPr>
        <w:fldChar w:fldCharType="end"/>
      </w:r>
      <w:r w:rsidRPr="00577BE2">
        <w:rPr>
          <w:rFonts w:ascii="Times New Roman" w:hAnsi="Times New Roman"/>
          <w:i w:val="0"/>
          <w:color w:val="000000" w:themeColor="text1"/>
        </w:rPr>
        <w:t>:  Estimated effects</w:t>
      </w:r>
      <w:r>
        <w:rPr>
          <w:rFonts w:ascii="Times New Roman" w:hAnsi="Times New Roman"/>
          <w:i w:val="0"/>
          <w:color w:val="000000" w:themeColor="text1"/>
        </w:rPr>
        <w:t xml:space="preserve"> of c</w:t>
      </w:r>
      <w:r w:rsidR="002F157D">
        <w:rPr>
          <w:rFonts w:ascii="Times New Roman" w:hAnsi="Times New Roman"/>
          <w:i w:val="0"/>
          <w:color w:val="000000" w:themeColor="text1"/>
        </w:rPr>
        <w:t>atch shares on diversity for vessels</w:t>
      </w:r>
      <w:r w:rsidRPr="00577BE2">
        <w:rPr>
          <w:rFonts w:ascii="Times New Roman" w:hAnsi="Times New Roman"/>
          <w:i w:val="0"/>
          <w:color w:val="000000" w:themeColor="text1"/>
        </w:rPr>
        <w:t>, bars are 95% confidence intervals</w:t>
      </w:r>
      <w:r>
        <w:rPr>
          <w:rFonts w:ascii="Times New Roman" w:hAnsi="Times New Roman"/>
          <w:i w:val="0"/>
          <w:color w:val="000000" w:themeColor="text1"/>
        </w:rPr>
        <w:t xml:space="preserve">. </w:t>
      </w:r>
      <w:r w:rsidRPr="00577BE2">
        <w:rPr>
          <w:rFonts w:ascii="Times New Roman" w:hAnsi="Times New Roman"/>
          <w:i w:val="0"/>
          <w:color w:val="000000" w:themeColor="text1"/>
        </w:rPr>
        <w:t xml:space="preserve">Vessels that participate in catch shares, </w:t>
      </w:r>
      <w:r>
        <w:rPr>
          <w:rFonts w:ascii="Times New Roman" w:hAnsi="Times New Roman"/>
          <w:i w:val="0"/>
          <w:color w:val="000000" w:themeColor="text1"/>
        </w:rPr>
        <w:t>increase in</w:t>
      </w:r>
      <w:r w:rsidRPr="00577BE2">
        <w:rPr>
          <w:rFonts w:ascii="Times New Roman" w:hAnsi="Times New Roman"/>
          <w:i w:val="0"/>
          <w:color w:val="000000" w:themeColor="text1"/>
        </w:rPr>
        <w:t xml:space="preserve"> diversity </w:t>
      </w:r>
      <w:r>
        <w:rPr>
          <w:rFonts w:ascii="Times New Roman" w:hAnsi="Times New Roman"/>
          <w:i w:val="0"/>
          <w:color w:val="000000" w:themeColor="text1"/>
        </w:rPr>
        <w:t>more than</w:t>
      </w:r>
      <w:r w:rsidRPr="00577BE2">
        <w:rPr>
          <w:rFonts w:ascii="Times New Roman" w:hAnsi="Times New Roman"/>
          <w:i w:val="0"/>
          <w:color w:val="000000" w:themeColor="text1"/>
        </w:rPr>
        <w:t xml:space="preserve"> either the general fleet or those that exited catch shares. At the port level the best model does not include a term fo</w:t>
      </w:r>
      <w:r>
        <w:rPr>
          <w:rFonts w:ascii="Times New Roman" w:hAnsi="Times New Roman"/>
          <w:i w:val="0"/>
          <w:color w:val="000000" w:themeColor="text1"/>
        </w:rPr>
        <w:t>r participation in catch shares</w:t>
      </w:r>
      <w:r w:rsidR="002F157D">
        <w:rPr>
          <w:rFonts w:ascii="Times New Roman" w:hAnsi="Times New Roman"/>
          <w:i w:val="0"/>
          <w:color w:val="000000" w:themeColor="text1"/>
        </w:rPr>
        <w:t xml:space="preserve">. </w:t>
      </w:r>
      <w:r>
        <w:rPr>
          <w:rFonts w:ascii="Times New Roman" w:hAnsi="Times New Roman"/>
          <w:i w:val="0"/>
          <w:color w:val="000000" w:themeColor="text1"/>
        </w:rPr>
        <w:t xml:space="preserve"> </w:t>
      </w:r>
      <w:r w:rsidRPr="00577BE2">
        <w:rPr>
          <w:rFonts w:ascii="Times New Roman" w:hAnsi="Times New Roman"/>
          <w:i w:val="0"/>
          <w:color w:val="000000" w:themeColor="text1"/>
        </w:rPr>
        <w:t xml:space="preserve"> </w:t>
      </w:r>
    </w:p>
    <w:p w14:paraId="55FEF852" w14:textId="7B03DB02" w:rsidR="008E0A55" w:rsidRPr="00577BE2" w:rsidRDefault="002F157D" w:rsidP="008E0A55">
      <w:pPr>
        <w:spacing w:line="480" w:lineRule="auto"/>
        <w:jc w:val="center"/>
        <w:rPr>
          <w:rFonts w:ascii="Times New Roman" w:hAnsi="Times New Roman"/>
          <w:color w:val="000000" w:themeColor="text1"/>
        </w:rPr>
      </w:pPr>
      <w:r>
        <w:rPr>
          <w:rFonts w:ascii="Times New Roman" w:hAnsi="Times New Roman"/>
          <w:noProof/>
          <w:color w:val="000000" w:themeColor="text1"/>
        </w:rPr>
        <w:drawing>
          <wp:inline distT="0" distB="0" distL="0" distR="0" wp14:anchorId="70DCE19E" wp14:editId="02B8FF50">
            <wp:extent cx="4483735" cy="3843201"/>
            <wp:effectExtent l="0" t="0" r="12065" b="0"/>
            <wp:docPr id="4" name="Picture 4" descr="../bin/05_figures/fig4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05_figures/fig4a.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959" cy="3853678"/>
                    </a:xfrm>
                    <a:prstGeom prst="rect">
                      <a:avLst/>
                    </a:prstGeom>
                    <a:noFill/>
                    <a:ln>
                      <a:noFill/>
                    </a:ln>
                  </pic:spPr>
                </pic:pic>
              </a:graphicData>
            </a:graphic>
          </wp:inline>
        </w:drawing>
      </w:r>
    </w:p>
    <w:p w14:paraId="31894E96" w14:textId="77777777" w:rsidR="008E0A55" w:rsidRDefault="008E0A55">
      <w:r>
        <w:br w:type="page"/>
      </w:r>
    </w:p>
    <w:p w14:paraId="7B98A070" w14:textId="77777777" w:rsidR="008E0A55" w:rsidRPr="00577BE2" w:rsidRDefault="008E0A55" w:rsidP="008E0A55">
      <w:pPr>
        <w:pStyle w:val="Caption"/>
        <w:keepNext/>
        <w:rPr>
          <w:rFonts w:ascii="Times New Roman" w:hAnsi="Times New Roman"/>
          <w:color w:val="000000" w:themeColor="text1"/>
        </w:rPr>
      </w:pPr>
      <w:r w:rsidRPr="00577BE2">
        <w:rPr>
          <w:rFonts w:ascii="Times New Roman" w:hAnsi="Times New Roman"/>
          <w:color w:val="000000" w:themeColor="text1"/>
        </w:rPr>
        <w:t xml:space="preserve">Figure </w:t>
      </w:r>
      <w:r w:rsidRPr="00577BE2">
        <w:rPr>
          <w:rFonts w:ascii="Times New Roman" w:hAnsi="Times New Roman"/>
          <w:color w:val="000000" w:themeColor="text1"/>
        </w:rPr>
        <w:fldChar w:fldCharType="begin"/>
      </w:r>
      <w:r w:rsidRPr="00577BE2">
        <w:rPr>
          <w:rFonts w:ascii="Times New Roman" w:hAnsi="Times New Roman"/>
          <w:color w:val="000000" w:themeColor="text1"/>
        </w:rPr>
        <w:instrText xml:space="preserve"> SEQ Figure \* ARABIC </w:instrText>
      </w:r>
      <w:r w:rsidRPr="00577BE2">
        <w:rPr>
          <w:rFonts w:ascii="Times New Roman" w:hAnsi="Times New Roman"/>
          <w:color w:val="000000" w:themeColor="text1"/>
        </w:rPr>
        <w:fldChar w:fldCharType="separate"/>
      </w:r>
      <w:r>
        <w:rPr>
          <w:rFonts w:ascii="Times New Roman" w:hAnsi="Times New Roman"/>
          <w:noProof/>
          <w:color w:val="000000" w:themeColor="text1"/>
        </w:rPr>
        <w:t>5</w:t>
      </w:r>
      <w:r w:rsidRPr="00577BE2">
        <w:rPr>
          <w:rFonts w:ascii="Times New Roman" w:hAnsi="Times New Roman"/>
          <w:color w:val="000000" w:themeColor="text1"/>
        </w:rPr>
        <w:fldChar w:fldCharType="end"/>
      </w:r>
      <w:r w:rsidRPr="00577BE2">
        <w:rPr>
          <w:rFonts w:ascii="Times New Roman" w:hAnsi="Times New Roman"/>
          <w:i w:val="0"/>
          <w:color w:val="000000" w:themeColor="text1"/>
        </w:rPr>
        <w:t>: We map the ways that a vessel  can respond to the implementation of catch shares. Vessels that were directly affected by catch share implementation are those that fished in the limited entry (LE) groundfish fleet</w:t>
      </w:r>
      <w:r>
        <w:rPr>
          <w:rFonts w:ascii="Times New Roman" w:hAnsi="Times New Roman"/>
          <w:i w:val="0"/>
          <w:color w:val="000000" w:themeColor="text1"/>
        </w:rPr>
        <w:t xml:space="preserve"> between 2009-2010</w:t>
      </w:r>
      <w:r w:rsidRPr="00577BE2">
        <w:rPr>
          <w:rFonts w:ascii="Times New Roman" w:hAnsi="Times New Roman"/>
          <w:i w:val="0"/>
          <w:color w:val="000000" w:themeColor="text1"/>
        </w:rPr>
        <w:t xml:space="preserve">. After 2011, vessels either continue to participate in the groundfish trawl fishery by landing with quota, or leave the catch share fishery and either leave fishing entirely or continue to fish in other commercial fisheries.  </w:t>
      </w:r>
      <w:r>
        <w:rPr>
          <w:rFonts w:ascii="Times New Roman" w:hAnsi="Times New Roman"/>
          <w:i w:val="0"/>
          <w:color w:val="000000" w:themeColor="text1"/>
        </w:rPr>
        <w:t xml:space="preserve">The width of the bar in the decision tree is proportional to the absolute number of vessels which follow a given path given by the number. Percentages are relative to each decision point. </w:t>
      </w:r>
    </w:p>
    <w:p w14:paraId="294FE1A0" w14:textId="00EAF32F" w:rsidR="008E0A55" w:rsidRPr="00577BE2" w:rsidRDefault="00191D91" w:rsidP="008E0A55">
      <w:pPr>
        <w:spacing w:line="480" w:lineRule="auto"/>
        <w:jc w:val="center"/>
        <w:rPr>
          <w:rFonts w:ascii="Times New Roman" w:hAnsi="Times New Roman"/>
          <w:color w:val="000000" w:themeColor="text1"/>
        </w:rPr>
      </w:pPr>
      <w:r w:rsidRPr="00191D91">
        <w:rPr>
          <w:rFonts w:ascii="Times New Roman" w:hAnsi="Times New Roman"/>
          <w:color w:val="000000" w:themeColor="text1"/>
        </w:rPr>
        <w:drawing>
          <wp:inline distT="0" distB="0" distL="0" distR="0" wp14:anchorId="507FEFF8" wp14:editId="7E5790CF">
            <wp:extent cx="5943600" cy="4265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5930"/>
                    </a:xfrm>
                    <a:prstGeom prst="rect">
                      <a:avLst/>
                    </a:prstGeom>
                  </pic:spPr>
                </pic:pic>
              </a:graphicData>
            </a:graphic>
          </wp:inline>
        </w:drawing>
      </w:r>
      <w:bookmarkStart w:id="0" w:name="_GoBack"/>
      <w:bookmarkEnd w:id="0"/>
    </w:p>
    <w:p w14:paraId="788F7131" w14:textId="77777777" w:rsidR="008E0A55" w:rsidRDefault="008E0A55"/>
    <w:sectPr w:rsidR="008E0A55"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55"/>
    <w:rsid w:val="000056A3"/>
    <w:rsid w:val="00191D91"/>
    <w:rsid w:val="002F157D"/>
    <w:rsid w:val="00545374"/>
    <w:rsid w:val="00791B9F"/>
    <w:rsid w:val="008D679F"/>
    <w:rsid w:val="008E0A55"/>
    <w:rsid w:val="00995F4F"/>
    <w:rsid w:val="00A96906"/>
    <w:rsid w:val="00C81A92"/>
    <w:rsid w:val="00DC1ABA"/>
    <w:rsid w:val="00E645EE"/>
    <w:rsid w:val="00F9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D07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rsid w:val="008E0A55"/>
    <w:pPr>
      <w:spacing w:after="200"/>
    </w:pPr>
    <w:rPr>
      <w:rFonts w:ascii="Cambria" w:eastAsia="Cambria" w:hAnsi="Cambria" w:cs="Times New Roman"/>
      <w:i/>
      <w:iCs/>
      <w:color w:val="1F497D"/>
      <w:sz w:val="18"/>
      <w:szCs w:val="18"/>
    </w:rPr>
  </w:style>
  <w:style w:type="character" w:styleId="CommentReference">
    <w:name w:val="annotation reference"/>
    <w:uiPriority w:val="99"/>
    <w:semiHidden/>
    <w:unhideWhenUsed/>
    <w:rsid w:val="008E0A55"/>
    <w:rPr>
      <w:sz w:val="18"/>
      <w:szCs w:val="18"/>
    </w:rPr>
  </w:style>
  <w:style w:type="paragraph" w:styleId="CommentText">
    <w:name w:val="annotation text"/>
    <w:basedOn w:val="Normal"/>
    <w:link w:val="CommentTextChar"/>
    <w:uiPriority w:val="99"/>
    <w:unhideWhenUsed/>
    <w:rsid w:val="008E0A55"/>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8E0A55"/>
    <w:rPr>
      <w:rFonts w:ascii="Cambria" w:eastAsia="Cambria" w:hAnsi="Cambria" w:cs="Times New Roman"/>
    </w:rPr>
  </w:style>
  <w:style w:type="paragraph" w:styleId="BalloonText">
    <w:name w:val="Balloon Text"/>
    <w:basedOn w:val="Normal"/>
    <w:link w:val="BalloonTextChar"/>
    <w:uiPriority w:val="99"/>
    <w:semiHidden/>
    <w:unhideWhenUsed/>
    <w:rsid w:val="008E0A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0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emf"/><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518</Words>
  <Characters>2954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3</cp:revision>
  <dcterms:created xsi:type="dcterms:W3CDTF">2015-12-19T22:11:00Z</dcterms:created>
  <dcterms:modified xsi:type="dcterms:W3CDTF">2016-02-05T22:21:00Z</dcterms:modified>
</cp:coreProperties>
</file>