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E1A10" w14:textId="77777777" w:rsidR="00610A4E" w:rsidRDefault="00610A4E" w:rsidP="00672A25">
      <w:pPr>
        <w:pStyle w:val="Head"/>
        <w:spacing w:before="0" w:after="0" w:line="480" w:lineRule="auto"/>
        <w:rPr>
          <w:b w:val="0"/>
        </w:rPr>
      </w:pPr>
      <w:r>
        <w:t xml:space="preserve">Title: </w:t>
      </w:r>
    </w:p>
    <w:p w14:paraId="6C6AC32F" w14:textId="77777777" w:rsidR="00610A4E" w:rsidRDefault="00610A4E" w:rsidP="00672A25">
      <w:pPr>
        <w:pStyle w:val="Head"/>
        <w:spacing w:before="0" w:after="0" w:line="480" w:lineRule="auto"/>
      </w:pPr>
      <w:r w:rsidRPr="00151A37">
        <w:t>Human Connectivity in Social-Ecological Systems</w:t>
      </w:r>
    </w:p>
    <w:p w14:paraId="56CEC727" w14:textId="77777777" w:rsidR="00610A4E" w:rsidRDefault="00610A4E" w:rsidP="00672A25">
      <w:pPr>
        <w:pStyle w:val="Authors"/>
        <w:spacing w:before="0" w:after="0" w:line="480" w:lineRule="auto"/>
        <w:rPr>
          <w:b/>
        </w:rPr>
      </w:pPr>
    </w:p>
    <w:p w14:paraId="55BAFE5B" w14:textId="77777777" w:rsidR="00610A4E" w:rsidRDefault="00610A4E" w:rsidP="00672A25">
      <w:pPr>
        <w:pStyle w:val="Authors"/>
        <w:spacing w:before="0" w:after="0" w:line="480" w:lineRule="auto"/>
        <w:rPr>
          <w:vertAlign w:val="superscript"/>
        </w:rPr>
      </w:pPr>
      <w:r w:rsidRPr="00987EE5">
        <w:rPr>
          <w:b/>
        </w:rPr>
        <w:t>Authors:</w:t>
      </w:r>
      <w:r>
        <w:t xml:space="preserve">  Emma Fuller</w:t>
      </w:r>
      <w:r>
        <w:rPr>
          <w:vertAlign w:val="superscript"/>
        </w:rPr>
        <w:t>1</w:t>
      </w:r>
      <w:r>
        <w:t xml:space="preserve">*, </w:t>
      </w:r>
      <w:proofErr w:type="spellStart"/>
      <w:r>
        <w:t>Jameal</w:t>
      </w:r>
      <w:proofErr w:type="spellEnd"/>
      <w:r>
        <w:t xml:space="preserve"> F. Samhouri</w:t>
      </w:r>
      <w:r>
        <w:rPr>
          <w:vertAlign w:val="superscript"/>
        </w:rPr>
        <w:t>2</w:t>
      </w:r>
      <w:r>
        <w:t>, Joshua S. Stoll</w:t>
      </w:r>
      <w:r>
        <w:rPr>
          <w:vertAlign w:val="superscript"/>
        </w:rPr>
        <w:t>3</w:t>
      </w:r>
      <w:r>
        <w:t>, James R. Watson</w:t>
      </w:r>
      <w:r>
        <w:rPr>
          <w:vertAlign w:val="superscript"/>
        </w:rPr>
        <w:t>4</w:t>
      </w:r>
      <w:r>
        <w:t>, Simon Levin</w:t>
      </w:r>
      <w:r>
        <w:rPr>
          <w:vertAlign w:val="superscript"/>
        </w:rPr>
        <w:t>1</w:t>
      </w:r>
    </w:p>
    <w:p w14:paraId="01BCC513" w14:textId="77777777" w:rsidR="00610A4E" w:rsidRPr="008E391A" w:rsidRDefault="00610A4E" w:rsidP="00672A25">
      <w:pPr>
        <w:pStyle w:val="Paragraph"/>
        <w:spacing w:before="0" w:line="480" w:lineRule="auto"/>
        <w:ind w:firstLine="0"/>
        <w:rPr>
          <w:b/>
        </w:rPr>
      </w:pPr>
      <w:r w:rsidRPr="008E391A">
        <w:rPr>
          <w:b/>
        </w:rPr>
        <w:t>Affiliations:</w:t>
      </w:r>
    </w:p>
    <w:p w14:paraId="41E11F7A" w14:textId="77777777" w:rsidR="00610A4E" w:rsidRDefault="00610A4E" w:rsidP="00672A25">
      <w:pPr>
        <w:pStyle w:val="Paragraph"/>
        <w:spacing w:before="0" w:line="480" w:lineRule="auto"/>
        <w:ind w:firstLine="0"/>
      </w:pPr>
      <w:r w:rsidRPr="00B43FDE">
        <w:rPr>
          <w:vertAlign w:val="superscript"/>
        </w:rPr>
        <w:t>1</w:t>
      </w:r>
      <w:r w:rsidRPr="00151A37">
        <w:rPr>
          <w:rFonts w:eastAsiaTheme="minorHAnsi"/>
        </w:rPr>
        <w:t xml:space="preserve"> </w:t>
      </w:r>
      <w:r w:rsidRPr="00151A37">
        <w:t>Department of Ecology and Evolutionary Biology, Princeton University</w:t>
      </w:r>
      <w:r>
        <w:t>, Princeton, NJ, USA.</w:t>
      </w:r>
    </w:p>
    <w:p w14:paraId="7481604A" w14:textId="77777777" w:rsidR="00610A4E" w:rsidRDefault="00610A4E" w:rsidP="00672A25">
      <w:pPr>
        <w:pStyle w:val="Paragraph"/>
        <w:spacing w:before="0" w:line="480" w:lineRule="auto"/>
        <w:ind w:firstLine="0"/>
      </w:pPr>
      <w:r w:rsidRPr="00B43FDE">
        <w:rPr>
          <w:vertAlign w:val="superscript"/>
        </w:rPr>
        <w:t>2</w:t>
      </w:r>
      <w:r w:rsidRPr="004D5F80">
        <w:t xml:space="preserve"> </w:t>
      </w:r>
      <w:r>
        <w:t xml:space="preserve">Conservation Biology Division, Northwest Fisheries Science Center, National Marine Fisheries Service, National Oceanic and Atmospheric Administration, 2725 </w:t>
      </w:r>
      <w:proofErr w:type="spellStart"/>
      <w:r>
        <w:t>Montlake</w:t>
      </w:r>
      <w:proofErr w:type="spellEnd"/>
      <w:r>
        <w:t xml:space="preserve"> Blvd E., Seattle, WA 98112</w:t>
      </w:r>
    </w:p>
    <w:p w14:paraId="2257E6FA" w14:textId="77777777" w:rsidR="00610A4E" w:rsidRDefault="00610A4E" w:rsidP="00672A25">
      <w:pPr>
        <w:pStyle w:val="Paragraph"/>
        <w:spacing w:before="0" w:line="480" w:lineRule="auto"/>
        <w:ind w:firstLine="0"/>
      </w:pPr>
      <w:r>
        <w:rPr>
          <w:vertAlign w:val="superscript"/>
        </w:rPr>
        <w:t>3</w:t>
      </w:r>
      <w:r>
        <w:t xml:space="preserve">School of Marine Sciences, University of Maine, </w:t>
      </w:r>
      <w:proofErr w:type="spellStart"/>
      <w:r>
        <w:t>Orono</w:t>
      </w:r>
      <w:proofErr w:type="spellEnd"/>
      <w:r>
        <w:t>, Maine.</w:t>
      </w:r>
    </w:p>
    <w:p w14:paraId="2144D479" w14:textId="77777777" w:rsidR="00610A4E" w:rsidRPr="00151A37" w:rsidRDefault="00610A4E" w:rsidP="00672A25">
      <w:pPr>
        <w:pStyle w:val="Paragraph"/>
        <w:spacing w:before="0" w:line="480" w:lineRule="auto"/>
        <w:ind w:firstLine="0"/>
      </w:pPr>
      <w:r>
        <w:rPr>
          <w:vertAlign w:val="superscript"/>
        </w:rPr>
        <w:t>4</w:t>
      </w:r>
      <w:r>
        <w:t>Stockholm Resilience Centre, Stockholm University</w:t>
      </w:r>
    </w:p>
    <w:p w14:paraId="6897DCA7" w14:textId="77777777" w:rsidR="00610A4E" w:rsidRDefault="00610A4E" w:rsidP="00672A25">
      <w:pPr>
        <w:pStyle w:val="Paragraph"/>
        <w:spacing w:before="0" w:line="480" w:lineRule="auto"/>
        <w:ind w:firstLine="0"/>
      </w:pPr>
      <w:r>
        <w:t>*Correspondence to: emma.cassel.fuller@gmail.com.</w:t>
      </w:r>
    </w:p>
    <w:p w14:paraId="24F8E370" w14:textId="77777777" w:rsidR="00610A4E" w:rsidRDefault="00610A4E" w:rsidP="00672A25">
      <w:pPr>
        <w:pStyle w:val="Teaser"/>
        <w:spacing w:before="0" w:line="480" w:lineRule="auto"/>
        <w:rPr>
          <w:b/>
        </w:rPr>
      </w:pPr>
    </w:p>
    <w:p w14:paraId="7B3A0152" w14:textId="77777777" w:rsidR="00610A4E" w:rsidRPr="00151A37" w:rsidRDefault="00610A4E" w:rsidP="00672A25">
      <w:pPr>
        <w:pStyle w:val="Teaser"/>
        <w:spacing w:before="0" w:line="480" w:lineRule="auto"/>
        <w:rPr>
          <w:i/>
        </w:rPr>
      </w:pPr>
      <w:r w:rsidRPr="00D47899">
        <w:rPr>
          <w:b/>
        </w:rPr>
        <w:t>One Sentence Summary:</w:t>
      </w:r>
      <w:r>
        <w:rPr>
          <w:b/>
        </w:rPr>
        <w:t xml:space="preserve"> </w:t>
      </w:r>
      <w:r>
        <w:t>F</w:t>
      </w:r>
      <w:r w:rsidRPr="00151A37">
        <w:t>oster</w:t>
      </w:r>
      <w:r>
        <w:t>ing</w:t>
      </w:r>
      <w:r w:rsidRPr="00151A37">
        <w:t xml:space="preserve"> resilience </w:t>
      </w:r>
      <w:r>
        <w:t xml:space="preserve">requires that resource managers </w:t>
      </w:r>
      <w:r w:rsidRPr="00151A37">
        <w:t xml:space="preserve">account for the </w:t>
      </w:r>
      <w:r>
        <w:t xml:space="preserve">social and </w:t>
      </w:r>
      <w:r w:rsidRPr="00151A37">
        <w:t xml:space="preserve">ecological links </w:t>
      </w:r>
      <w:r>
        <w:t>users</w:t>
      </w:r>
      <w:r w:rsidRPr="00151A37">
        <w:t xml:space="preserve"> create when</w:t>
      </w:r>
      <w:r>
        <w:t xml:space="preserve"> they are</w:t>
      </w:r>
      <w:r w:rsidRPr="00151A37">
        <w:t xml:space="preserve"> dependent on multiple components of an ecosystem.</w:t>
      </w:r>
    </w:p>
    <w:p w14:paraId="7B51AB7C" w14:textId="77777777" w:rsidR="00610A4E" w:rsidRDefault="00610A4E" w:rsidP="00672A25">
      <w:pPr>
        <w:spacing w:line="480" w:lineRule="auto"/>
        <w:rPr>
          <w:rFonts w:eastAsia="Times New Roman"/>
          <w:b/>
          <w:sz w:val="24"/>
          <w:szCs w:val="24"/>
        </w:rPr>
      </w:pPr>
      <w:r>
        <w:rPr>
          <w:b/>
        </w:rPr>
        <w:br w:type="page"/>
      </w:r>
    </w:p>
    <w:p w14:paraId="072CA844" w14:textId="77777777" w:rsidR="00610A4E" w:rsidRDefault="00610A4E" w:rsidP="00672A25">
      <w:pPr>
        <w:pStyle w:val="Paragraph"/>
        <w:spacing w:before="0" w:line="480" w:lineRule="auto"/>
        <w:ind w:firstLine="0"/>
        <w:rPr>
          <w:b/>
        </w:rPr>
      </w:pPr>
      <w:r w:rsidRPr="00B13B3D">
        <w:rPr>
          <w:b/>
        </w:rPr>
        <w:lastRenderedPageBreak/>
        <w:t xml:space="preserve">Main Text: </w:t>
      </w:r>
    </w:p>
    <w:p w14:paraId="573FE1B0" w14:textId="45F8BC5F" w:rsidR="00610A4E" w:rsidRPr="00151A37" w:rsidRDefault="00610A4E" w:rsidP="00672A25">
      <w:pPr>
        <w:pStyle w:val="Paragraph"/>
        <w:spacing w:before="0" w:line="480" w:lineRule="auto"/>
        <w:rPr>
          <w:bCs/>
        </w:rPr>
      </w:pPr>
      <w:r>
        <w:rPr>
          <w:bCs/>
        </w:rPr>
        <w:t>Balancing</w:t>
      </w:r>
      <w:r w:rsidRPr="00151A37">
        <w:rPr>
          <w:bCs/>
        </w:rPr>
        <w:t xml:space="preserve"> human well-being and ecological integrity is one of the fundamental </w:t>
      </w:r>
      <w:r>
        <w:rPr>
          <w:bCs/>
        </w:rPr>
        <w:t>goals</w:t>
      </w:r>
      <w:r w:rsidRPr="00151A37">
        <w:rPr>
          <w:bCs/>
        </w:rPr>
        <w:t xml:space="preserve"> </w:t>
      </w:r>
      <w:r>
        <w:rPr>
          <w:bCs/>
        </w:rPr>
        <w:t>of</w:t>
      </w:r>
      <w:r w:rsidRPr="00151A37">
        <w:rPr>
          <w:bCs/>
        </w:rPr>
        <w:t xml:space="preserve"> conservation and natural resource management.</w:t>
      </w:r>
      <w:r>
        <w:rPr>
          <w:bCs/>
        </w:rPr>
        <w:t xml:space="preserve"> D</w:t>
      </w:r>
      <w:r w:rsidRPr="00151A37">
        <w:rPr>
          <w:bCs/>
        </w:rPr>
        <w:t>espite the g</w:t>
      </w:r>
      <w:r>
        <w:rPr>
          <w:bCs/>
        </w:rPr>
        <w:t xml:space="preserve">rowing focus on valuing </w:t>
      </w:r>
      <w:r w:rsidRPr="00151A37">
        <w:rPr>
          <w:bCs/>
        </w:rPr>
        <w:t>human well-being alongsid</w:t>
      </w:r>
      <w:r>
        <w:rPr>
          <w:bCs/>
        </w:rPr>
        <w:t>e ecological integrity, tractable means</w:t>
      </w:r>
      <w:r w:rsidRPr="00151A37">
        <w:rPr>
          <w:bCs/>
        </w:rPr>
        <w:t xml:space="preserve"> to operationalize these goals</w:t>
      </w:r>
      <w:r>
        <w:rPr>
          <w:bCs/>
        </w:rPr>
        <w:t>, especially at large spatial and temporal scales, are lacking</w:t>
      </w:r>
      <w:r w:rsidRPr="00151A37">
        <w:rPr>
          <w:bCs/>
        </w:rPr>
        <w:t xml:space="preserve"> </w:t>
      </w:r>
      <w:r w:rsidR="0002623F">
        <w:rPr>
          <w:rFonts w:eastAsiaTheme="minorHAnsi"/>
        </w:rPr>
        <w:t>(</w:t>
      </w:r>
      <w:r w:rsidR="0002623F">
        <w:rPr>
          <w:rFonts w:eastAsiaTheme="minorHAnsi"/>
          <w:i/>
          <w:iCs/>
        </w:rPr>
        <w:t>1</w:t>
      </w:r>
      <w:r w:rsidR="0002623F">
        <w:rPr>
          <w:rFonts w:eastAsiaTheme="minorHAnsi"/>
        </w:rPr>
        <w:t>)</w:t>
      </w:r>
      <w:r w:rsidRPr="00151A37">
        <w:rPr>
          <w:bCs/>
        </w:rPr>
        <w:t>.</w:t>
      </w:r>
      <w:r>
        <w:rPr>
          <w:bCs/>
        </w:rPr>
        <w:t xml:space="preserve"> </w:t>
      </w:r>
    </w:p>
    <w:p w14:paraId="48C2047D" w14:textId="503B5EDD" w:rsidR="00610A4E" w:rsidRPr="00151A37" w:rsidRDefault="00610A4E" w:rsidP="00672A25">
      <w:pPr>
        <w:pStyle w:val="Paragraph"/>
        <w:spacing w:before="0" w:line="480" w:lineRule="auto"/>
        <w:rPr>
          <w:bCs/>
        </w:rPr>
      </w:pPr>
      <w:r w:rsidRPr="00151A37">
        <w:rPr>
          <w:bCs/>
        </w:rPr>
        <w:t>This challenge is particularly acute in commercial fisheries, where</w:t>
      </w:r>
      <w:r>
        <w:rPr>
          <w:bCs/>
        </w:rPr>
        <w:t xml:space="preserve"> </w:t>
      </w:r>
      <w:r w:rsidRPr="00151A37">
        <w:rPr>
          <w:bCs/>
        </w:rPr>
        <w:t xml:space="preserve">the well-being of fishermen </w:t>
      </w:r>
      <w:r>
        <w:rPr>
          <w:bCs/>
        </w:rPr>
        <w:t>is</w:t>
      </w:r>
      <w:r w:rsidRPr="00151A37">
        <w:rPr>
          <w:bCs/>
        </w:rPr>
        <w:t xml:space="preserve"> inherently tied to</w:t>
      </w:r>
      <w:r>
        <w:rPr>
          <w:bCs/>
        </w:rPr>
        <w:t xml:space="preserve"> </w:t>
      </w:r>
      <w:r w:rsidRPr="00151A37">
        <w:rPr>
          <w:bCs/>
        </w:rPr>
        <w:t xml:space="preserve">the </w:t>
      </w:r>
      <w:r>
        <w:rPr>
          <w:bCs/>
        </w:rPr>
        <w:t>distribution and abundance of marine species</w:t>
      </w:r>
      <w:r w:rsidRPr="00151A37">
        <w:rPr>
          <w:bCs/>
        </w:rPr>
        <w:t xml:space="preserve">. </w:t>
      </w:r>
      <w:r>
        <w:rPr>
          <w:bCs/>
        </w:rPr>
        <w:t xml:space="preserve">Accordingly, the need to manage for human well-being has received considerable attention in marine policy directives. In the US, for example, both the </w:t>
      </w:r>
      <w:r w:rsidRPr="00151A37">
        <w:rPr>
          <w:bCs/>
        </w:rPr>
        <w:t xml:space="preserve">NOAA Fisheries Climate Science Strategy </w:t>
      </w:r>
      <w:r w:rsidR="0002623F">
        <w:rPr>
          <w:rFonts w:eastAsiaTheme="minorHAnsi"/>
        </w:rPr>
        <w:t>(</w:t>
      </w:r>
      <w:r w:rsidR="0002623F">
        <w:rPr>
          <w:rFonts w:eastAsiaTheme="minorHAnsi"/>
          <w:i/>
          <w:iCs/>
        </w:rPr>
        <w:t>2</w:t>
      </w:r>
      <w:r w:rsidR="0002623F">
        <w:rPr>
          <w:rFonts w:eastAsiaTheme="minorHAnsi"/>
        </w:rPr>
        <w:t>)</w:t>
      </w:r>
      <w:r>
        <w:rPr>
          <w:bCs/>
        </w:rPr>
        <w:t xml:space="preserve"> </w:t>
      </w:r>
      <w:r w:rsidRPr="00151A37">
        <w:rPr>
          <w:bCs/>
        </w:rPr>
        <w:t>and Ecosystem Based Fisheries Man</w:t>
      </w:r>
      <w:r>
        <w:rPr>
          <w:bCs/>
        </w:rPr>
        <w:t xml:space="preserve">agement (EBFM) policy statement </w:t>
      </w:r>
      <w:r w:rsidR="0002623F">
        <w:rPr>
          <w:rFonts w:eastAsiaTheme="minorHAnsi"/>
        </w:rPr>
        <w:t>(</w:t>
      </w:r>
      <w:r w:rsidR="0002623F">
        <w:rPr>
          <w:rFonts w:eastAsiaTheme="minorHAnsi"/>
          <w:i/>
          <w:iCs/>
        </w:rPr>
        <w:t>3</w:t>
      </w:r>
      <w:r w:rsidR="0002623F">
        <w:rPr>
          <w:rFonts w:eastAsiaTheme="minorHAnsi"/>
        </w:rPr>
        <w:t>)</w:t>
      </w:r>
      <w:r>
        <w:t xml:space="preserve"> call for increased research on coastal communities and their linkages to ocean ecosystems</w:t>
      </w:r>
      <w:r w:rsidRPr="00151A37">
        <w:rPr>
          <w:bCs/>
        </w:rPr>
        <w:t xml:space="preserve">. </w:t>
      </w:r>
      <w:r>
        <w:rPr>
          <w:bCs/>
        </w:rPr>
        <w:t>Despite this focus,</w:t>
      </w:r>
      <w:r w:rsidRPr="00151A37">
        <w:rPr>
          <w:bCs/>
        </w:rPr>
        <w:t xml:space="preserve"> attention to food-web interactions dominates, marginalizing the equally complex human networks resulting from how people participate an</w:t>
      </w:r>
      <w:r>
        <w:rPr>
          <w:bCs/>
        </w:rPr>
        <w:t xml:space="preserve">d shift effort among fisheries. </w:t>
      </w:r>
      <w:r w:rsidRPr="00151A37">
        <w:rPr>
          <w:bCs/>
        </w:rPr>
        <w:t xml:space="preserve">Developing new and innovative methods to understand these complex systems and their dynamics is therefore a critical and largely unaddressed step towards moving EBFM from theory to practice and ultimately advancing sustainability science </w:t>
      </w:r>
      <w:r w:rsidR="0002623F">
        <w:rPr>
          <w:rFonts w:eastAsiaTheme="minorHAnsi"/>
        </w:rPr>
        <w:t>(</w:t>
      </w:r>
      <w:r w:rsidR="0002623F">
        <w:rPr>
          <w:rFonts w:eastAsiaTheme="minorHAnsi"/>
          <w:i/>
          <w:iCs/>
        </w:rPr>
        <w:t>4</w:t>
      </w:r>
      <w:r w:rsidR="0002623F">
        <w:rPr>
          <w:rFonts w:eastAsiaTheme="minorHAnsi"/>
        </w:rPr>
        <w:t>)</w:t>
      </w:r>
      <w:r>
        <w:rPr>
          <w:bCs/>
        </w:rPr>
        <w:t>.</w:t>
      </w:r>
      <w:r w:rsidRPr="00151A37">
        <w:rPr>
          <w:bCs/>
        </w:rPr>
        <w:t xml:space="preserve"> To this end, this paper presents an analysis of socioeconomic connectivity of the commercial fisheries in the California Current ecosystem</w:t>
      </w:r>
      <w:r>
        <w:rPr>
          <w:bCs/>
        </w:rPr>
        <w:t>,</w:t>
      </w:r>
      <w:r w:rsidRPr="00151A37">
        <w:rPr>
          <w:bCs/>
        </w:rPr>
        <w:t xml:space="preserve"> illustrat</w:t>
      </w:r>
      <w:r>
        <w:rPr>
          <w:bCs/>
        </w:rPr>
        <w:t>ing</w:t>
      </w:r>
      <w:r w:rsidRPr="00151A37">
        <w:rPr>
          <w:bCs/>
        </w:rPr>
        <w:t xml:space="preserve"> the diverse </w:t>
      </w:r>
      <w:r>
        <w:rPr>
          <w:bCs/>
        </w:rPr>
        <w:t>intra</w:t>
      </w:r>
      <w:r w:rsidRPr="00151A37">
        <w:rPr>
          <w:bCs/>
        </w:rPr>
        <w:t xml:space="preserve">-fishery </w:t>
      </w:r>
      <w:r>
        <w:rPr>
          <w:bCs/>
        </w:rPr>
        <w:t>connectivity</w:t>
      </w:r>
      <w:r w:rsidRPr="00151A37">
        <w:rPr>
          <w:bCs/>
        </w:rPr>
        <w:t xml:space="preserve"> that exist</w:t>
      </w:r>
      <w:r>
        <w:rPr>
          <w:bCs/>
        </w:rPr>
        <w:t>s</w:t>
      </w:r>
      <w:r w:rsidRPr="00151A37">
        <w:rPr>
          <w:bCs/>
        </w:rPr>
        <w:t xml:space="preserve"> in coastal communities along the west coast of the United States</w:t>
      </w:r>
      <w:r>
        <w:rPr>
          <w:bCs/>
        </w:rPr>
        <w:t xml:space="preserve">. </w:t>
      </w:r>
      <w:r w:rsidRPr="00151A37">
        <w:rPr>
          <w:bCs/>
        </w:rPr>
        <w:t xml:space="preserve">We focus on the California Current ecosystem because the natural science to support EBFM in this region is </w:t>
      </w:r>
      <w:r>
        <w:rPr>
          <w:bCs/>
        </w:rPr>
        <w:t>cutting-edge</w:t>
      </w:r>
      <w:r w:rsidRPr="00151A37">
        <w:rPr>
          <w:bCs/>
        </w:rPr>
        <w:t xml:space="preserve">, yet little work has been done to account for human connections among fisheries that exist in the region. </w:t>
      </w:r>
    </w:p>
    <w:p w14:paraId="56330A4C" w14:textId="0FCEFD9E" w:rsidR="00610A4E" w:rsidRPr="00151A37" w:rsidRDefault="00610A4E" w:rsidP="00672A25">
      <w:pPr>
        <w:pStyle w:val="Paragraph"/>
        <w:spacing w:before="0" w:line="480" w:lineRule="auto"/>
        <w:rPr>
          <w:bCs/>
        </w:rPr>
      </w:pPr>
      <w:r w:rsidRPr="00151A37">
        <w:rPr>
          <w:bCs/>
        </w:rPr>
        <w:t xml:space="preserve">To improve understanding of </w:t>
      </w:r>
      <w:r>
        <w:rPr>
          <w:bCs/>
        </w:rPr>
        <w:t>human connectivity</w:t>
      </w:r>
      <w:r w:rsidRPr="00151A37">
        <w:rPr>
          <w:bCs/>
        </w:rPr>
        <w:t xml:space="preserve"> </w:t>
      </w:r>
      <w:r>
        <w:rPr>
          <w:bCs/>
        </w:rPr>
        <w:t xml:space="preserve">among fisheries </w:t>
      </w:r>
      <w:r w:rsidRPr="00151A37">
        <w:rPr>
          <w:bCs/>
        </w:rPr>
        <w:t>for policy makers, stakeholders and managers, we developed and applied a novel approach to build and describe</w:t>
      </w:r>
      <w:r>
        <w:rPr>
          <w:bCs/>
        </w:rPr>
        <w:t xml:space="preserve"> what we term</w:t>
      </w:r>
      <w:r w:rsidRPr="00151A37">
        <w:rPr>
          <w:bCs/>
        </w:rPr>
        <w:t xml:space="preserve"> </w:t>
      </w:r>
      <w:r>
        <w:rPr>
          <w:bCs/>
        </w:rPr>
        <w:t>“</w:t>
      </w:r>
      <w:r w:rsidRPr="00151A37">
        <w:rPr>
          <w:bCs/>
        </w:rPr>
        <w:t>participation networks</w:t>
      </w:r>
      <w:r>
        <w:rPr>
          <w:bCs/>
        </w:rPr>
        <w:t>”</w:t>
      </w:r>
      <w:r w:rsidRPr="00151A37">
        <w:rPr>
          <w:bCs/>
        </w:rPr>
        <w:t>.</w:t>
      </w:r>
      <w:r>
        <w:rPr>
          <w:bCs/>
        </w:rPr>
        <w:t xml:space="preserve"> Participation networks are comprised of nodes, in this case fisheries, connected by</w:t>
      </w:r>
      <w:r>
        <w:t xml:space="preserve"> the vessels that participate in both (</w:t>
      </w:r>
      <w:r w:rsidRPr="00755A0E">
        <w:rPr>
          <w:bCs/>
        </w:rPr>
        <w:t>Materials and methods are available as supplementary materials at the Science website</w:t>
      </w:r>
      <w:r>
        <w:rPr>
          <w:bCs/>
        </w:rPr>
        <w:t xml:space="preserve">). This network approach is most similar to identifying alternative sources of livelihood </w:t>
      </w:r>
      <w:r w:rsidR="0002623F">
        <w:rPr>
          <w:rFonts w:eastAsiaTheme="minorHAnsi"/>
        </w:rPr>
        <w:t>(</w:t>
      </w:r>
      <w:r w:rsidR="0002623F">
        <w:rPr>
          <w:rFonts w:eastAsiaTheme="minorHAnsi"/>
          <w:i/>
          <w:iCs/>
        </w:rPr>
        <w:t>5</w:t>
      </w:r>
      <w:r w:rsidR="0002623F">
        <w:rPr>
          <w:rFonts w:eastAsiaTheme="minorHAnsi"/>
        </w:rPr>
        <w:t>)</w:t>
      </w:r>
      <w:r>
        <w:rPr>
          <w:bCs/>
        </w:rPr>
        <w:t>, but rather than examine how people move across sectors, focuses in on the interactions in a single social-ecological system, allowing linkages to be drawn between species and the people who depend on them.</w:t>
      </w:r>
      <w:r w:rsidRPr="00151A37">
        <w:rPr>
          <w:bCs/>
        </w:rPr>
        <w:t xml:space="preserve"> </w:t>
      </w:r>
      <w:r>
        <w:rPr>
          <w:bCs/>
        </w:rPr>
        <w:t xml:space="preserve">This approach allows us to take advantage of metrics developed to estimate resilience of networks of interacting actors </w:t>
      </w:r>
      <w:r w:rsidR="0002623F">
        <w:rPr>
          <w:rFonts w:eastAsiaTheme="minorHAnsi"/>
        </w:rPr>
        <w:t>(</w:t>
      </w:r>
      <w:r w:rsidR="0002623F">
        <w:rPr>
          <w:rFonts w:eastAsiaTheme="minorHAnsi"/>
          <w:i/>
          <w:iCs/>
        </w:rPr>
        <w:t>6</w:t>
      </w:r>
      <w:r w:rsidR="0002623F">
        <w:rPr>
          <w:rFonts w:eastAsiaTheme="minorHAnsi"/>
        </w:rPr>
        <w:t>)</w:t>
      </w:r>
      <w:r w:rsidRPr="005525E3">
        <w:rPr>
          <w:bCs/>
        </w:rPr>
        <w:t xml:space="preserve">. </w:t>
      </w:r>
      <w:r>
        <w:rPr>
          <w:bCs/>
        </w:rPr>
        <w:t>Such</w:t>
      </w:r>
      <w:r w:rsidRPr="005525E3">
        <w:rPr>
          <w:bCs/>
        </w:rPr>
        <w:t xml:space="preserve"> network statistics allow us to calculate how coastal communities might respond to perturbation</w:t>
      </w:r>
      <w:r>
        <w:rPr>
          <w:bCs/>
        </w:rPr>
        <w:t xml:space="preserve">s. </w:t>
      </w:r>
      <w:r w:rsidRPr="00151A37">
        <w:rPr>
          <w:bCs/>
        </w:rPr>
        <w:t xml:space="preserve">In </w:t>
      </w:r>
      <w:r>
        <w:rPr>
          <w:bCs/>
        </w:rPr>
        <w:t xml:space="preserve">building and systematically measuring the human connectivity among commercial fisheries </w:t>
      </w:r>
      <w:r w:rsidRPr="00151A37">
        <w:rPr>
          <w:bCs/>
        </w:rPr>
        <w:t>we find (</w:t>
      </w:r>
      <w:proofErr w:type="spellStart"/>
      <w:r w:rsidRPr="00151A37">
        <w:rPr>
          <w:bCs/>
        </w:rPr>
        <w:t>i</w:t>
      </w:r>
      <w:proofErr w:type="spellEnd"/>
      <w:r w:rsidRPr="00151A37">
        <w:rPr>
          <w:bCs/>
        </w:rPr>
        <w:t>) general social linkages among fisheries that are currently unaccounted for in existing fisheries policy and management</w:t>
      </w:r>
      <w:r w:rsidR="006279B3">
        <w:rPr>
          <w:bCs/>
        </w:rPr>
        <w:t xml:space="preserve"> (see figures S4-S21 in Supplement)</w:t>
      </w:r>
      <w:r w:rsidRPr="00151A37">
        <w:rPr>
          <w:bCs/>
        </w:rPr>
        <w:t>; (ii) that people diversify across jurisdiction</w:t>
      </w:r>
      <w:r>
        <w:rPr>
          <w:bCs/>
        </w:rPr>
        <w:t xml:space="preserve">al and </w:t>
      </w:r>
      <w:r w:rsidRPr="00151A37">
        <w:rPr>
          <w:bCs/>
        </w:rPr>
        <w:t>institution</w:t>
      </w:r>
      <w:r>
        <w:rPr>
          <w:bCs/>
        </w:rPr>
        <w:t>al boundaries</w:t>
      </w:r>
      <w:r w:rsidRPr="00151A37">
        <w:rPr>
          <w:bCs/>
        </w:rPr>
        <w:t xml:space="preserve"> (state and federal fisheries); and (iii) while there appear</w:t>
      </w:r>
      <w:r>
        <w:rPr>
          <w:bCs/>
        </w:rPr>
        <w:t>s</w:t>
      </w:r>
      <w:r w:rsidRPr="00151A37">
        <w:rPr>
          <w:bCs/>
        </w:rPr>
        <w:t xml:space="preserve"> to be </w:t>
      </w:r>
      <w:r>
        <w:rPr>
          <w:bCs/>
        </w:rPr>
        <w:t>general</w:t>
      </w:r>
      <w:r w:rsidRPr="00151A37">
        <w:rPr>
          <w:bCs/>
        </w:rPr>
        <w:t xml:space="preserve"> </w:t>
      </w:r>
      <w:r>
        <w:rPr>
          <w:bCs/>
        </w:rPr>
        <w:t>patterns</w:t>
      </w:r>
      <w:r w:rsidRPr="00151A37">
        <w:rPr>
          <w:bCs/>
        </w:rPr>
        <w:t xml:space="preserve"> </w:t>
      </w:r>
      <w:r>
        <w:rPr>
          <w:rStyle w:val="CommentReference"/>
          <w:vanish/>
        </w:rPr>
        <w:commentReference w:id="0"/>
      </w:r>
      <w:r w:rsidRPr="00151A37">
        <w:rPr>
          <w:bCs/>
        </w:rPr>
        <w:t>in these networks, we find variation in the composition and structure from community to community suggesting heterogeneity in both the impact upon fishing communities, and their ability to deal with environmental, management, and market shocks</w:t>
      </w:r>
      <w:r>
        <w:rPr>
          <w:bCs/>
        </w:rPr>
        <w:t xml:space="preserve"> (see Figure)</w:t>
      </w:r>
      <w:r w:rsidRPr="00151A37">
        <w:rPr>
          <w:bCs/>
        </w:rPr>
        <w:t xml:space="preserve">. </w:t>
      </w:r>
    </w:p>
    <w:p w14:paraId="7F1EEC1C" w14:textId="77777777" w:rsidR="00610A4E" w:rsidRPr="00151A37" w:rsidRDefault="00610A4E" w:rsidP="00672A25">
      <w:pPr>
        <w:pStyle w:val="Paragraph"/>
        <w:spacing w:before="0" w:line="480" w:lineRule="auto"/>
        <w:rPr>
          <w:bCs/>
        </w:rPr>
      </w:pPr>
      <w:r>
        <w:rPr>
          <w:bCs/>
        </w:rPr>
        <w:t>I</w:t>
      </w:r>
      <w:r w:rsidRPr="00151A37">
        <w:rPr>
          <w:bCs/>
        </w:rPr>
        <w:t xml:space="preserve">n order to </w:t>
      </w:r>
      <w:r>
        <w:rPr>
          <w:bCs/>
        </w:rPr>
        <w:t>maintain</w:t>
      </w:r>
      <w:r w:rsidRPr="00151A37">
        <w:rPr>
          <w:bCs/>
        </w:rPr>
        <w:t xml:space="preserve"> benefits </w:t>
      </w:r>
      <w:r>
        <w:rPr>
          <w:bCs/>
        </w:rPr>
        <w:t>across</w:t>
      </w:r>
      <w:r w:rsidRPr="00151A37">
        <w:rPr>
          <w:bCs/>
        </w:rPr>
        <w:t xml:space="preserve"> fisheries</w:t>
      </w:r>
      <w:r>
        <w:rPr>
          <w:bCs/>
        </w:rPr>
        <w:t>, these patterns suggest that management must account for</w:t>
      </w:r>
      <w:r w:rsidRPr="00151A37">
        <w:rPr>
          <w:bCs/>
        </w:rPr>
        <w:t xml:space="preserve"> these connections, </w:t>
      </w:r>
      <w:r>
        <w:rPr>
          <w:bCs/>
        </w:rPr>
        <w:t xml:space="preserve">especially when </w:t>
      </w:r>
      <w:r w:rsidRPr="00151A37">
        <w:rPr>
          <w:bCs/>
        </w:rPr>
        <w:t>ecologically distant taxa</w:t>
      </w:r>
      <w:r>
        <w:rPr>
          <w:bCs/>
        </w:rPr>
        <w:t xml:space="preserve"> </w:t>
      </w:r>
      <w:r w:rsidRPr="00151A37">
        <w:rPr>
          <w:bCs/>
        </w:rPr>
        <w:t xml:space="preserve">are </w:t>
      </w:r>
      <w:r>
        <w:rPr>
          <w:bCs/>
        </w:rPr>
        <w:t>transitively</w:t>
      </w:r>
      <w:r w:rsidRPr="00151A37">
        <w:rPr>
          <w:bCs/>
        </w:rPr>
        <w:t xml:space="preserve"> </w:t>
      </w:r>
      <w:r>
        <w:rPr>
          <w:bCs/>
        </w:rPr>
        <w:t>connected</w:t>
      </w:r>
      <w:r w:rsidRPr="00151A37">
        <w:rPr>
          <w:bCs/>
        </w:rPr>
        <w:t xml:space="preserve"> by the people who fish for </w:t>
      </w:r>
      <w:r>
        <w:rPr>
          <w:bCs/>
        </w:rPr>
        <w:t xml:space="preserve">both of </w:t>
      </w:r>
      <w:r w:rsidRPr="00151A37">
        <w:rPr>
          <w:bCs/>
        </w:rPr>
        <w:t>them. For example</w:t>
      </w:r>
      <w:r>
        <w:rPr>
          <w:bCs/>
        </w:rPr>
        <w:t>, on the US West Coast</w:t>
      </w:r>
      <w:r w:rsidRPr="00151A37">
        <w:rPr>
          <w:bCs/>
        </w:rPr>
        <w:t xml:space="preserve"> a closure </w:t>
      </w:r>
      <w:r>
        <w:rPr>
          <w:bCs/>
        </w:rPr>
        <w:t xml:space="preserve">in the crab fishery could have cascading ecological impacts on numerous other fisheries because </w:t>
      </w:r>
      <w:r w:rsidRPr="00151A37">
        <w:rPr>
          <w:bCs/>
        </w:rPr>
        <w:t>75% of the Dungeness crab fishermen are generalists, participating in an average of four other fisheries in a given year</w:t>
      </w:r>
      <w:r>
        <w:rPr>
          <w:bCs/>
        </w:rPr>
        <w:t xml:space="preserve"> (e.g., tuna-groundfish-salmon-crab)</w:t>
      </w:r>
      <w:r w:rsidRPr="00151A37">
        <w:rPr>
          <w:bCs/>
        </w:rPr>
        <w:t xml:space="preserve">. Such </w:t>
      </w:r>
      <w:proofErr w:type="spellStart"/>
      <w:r w:rsidRPr="00151A37">
        <w:rPr>
          <w:bCs/>
        </w:rPr>
        <w:t>generalism</w:t>
      </w:r>
      <w:proofErr w:type="spellEnd"/>
      <w:r w:rsidRPr="00151A37">
        <w:rPr>
          <w:bCs/>
        </w:rPr>
        <w:t xml:space="preserve"> suggests th</w:t>
      </w:r>
      <w:r>
        <w:rPr>
          <w:bCs/>
        </w:rPr>
        <w:t xml:space="preserve">at fishermen will shift their effort from one fishery to another, in order to maximize or satisfy their income needs. This would likely result in </w:t>
      </w:r>
      <w:r w:rsidRPr="00151A37">
        <w:rPr>
          <w:bCs/>
        </w:rPr>
        <w:t xml:space="preserve">cascading </w:t>
      </w:r>
      <w:r>
        <w:rPr>
          <w:bCs/>
        </w:rPr>
        <w:t xml:space="preserve">management </w:t>
      </w:r>
      <w:r w:rsidRPr="00151A37">
        <w:rPr>
          <w:bCs/>
        </w:rPr>
        <w:t>effects</w:t>
      </w:r>
      <w:r>
        <w:rPr>
          <w:bCs/>
        </w:rPr>
        <w:t>, as policy makers play catch-up with fishermen as they redistribute their effort.</w:t>
      </w:r>
      <w:r w:rsidRPr="00151A37">
        <w:rPr>
          <w:bCs/>
        </w:rPr>
        <w:t xml:space="preserve"> </w:t>
      </w:r>
    </w:p>
    <w:p w14:paraId="6054DA97" w14:textId="09680E6B" w:rsidR="00610A4E" w:rsidRPr="00151A37" w:rsidRDefault="00610A4E" w:rsidP="00672A25">
      <w:pPr>
        <w:pStyle w:val="Paragraph"/>
        <w:spacing w:before="0" w:line="480" w:lineRule="auto"/>
        <w:rPr>
          <w:bCs/>
        </w:rPr>
      </w:pPr>
      <w:r w:rsidRPr="00151A37">
        <w:rPr>
          <w:bCs/>
        </w:rPr>
        <w:t>These participation networks also point to the value of</w:t>
      </w:r>
      <w:r>
        <w:rPr>
          <w:bCs/>
        </w:rPr>
        <w:t xml:space="preserve"> cross-scale and trans-boundary</w:t>
      </w:r>
      <w:r w:rsidRPr="00151A37">
        <w:rPr>
          <w:bCs/>
        </w:rPr>
        <w:t xml:space="preserve"> governance </w:t>
      </w:r>
      <w:r>
        <w:rPr>
          <w:bCs/>
        </w:rPr>
        <w:t>institutions</w:t>
      </w:r>
      <w:r w:rsidRPr="00151A37">
        <w:rPr>
          <w:bCs/>
        </w:rPr>
        <w:t xml:space="preserve"> </w:t>
      </w:r>
      <w:r w:rsidR="0002623F">
        <w:rPr>
          <w:rFonts w:eastAsiaTheme="minorHAnsi"/>
        </w:rPr>
        <w:t>(</w:t>
      </w:r>
      <w:r w:rsidR="0002623F">
        <w:rPr>
          <w:rFonts w:eastAsiaTheme="minorHAnsi"/>
          <w:i/>
          <w:iCs/>
        </w:rPr>
        <w:t>7</w:t>
      </w:r>
      <w:r w:rsidR="0002623F">
        <w:rPr>
          <w:rFonts w:eastAsiaTheme="minorHAnsi"/>
        </w:rPr>
        <w:t>)</w:t>
      </w:r>
      <w:r w:rsidRPr="00151A37">
        <w:rPr>
          <w:bCs/>
        </w:rPr>
        <w:t>. For example, the state-managed Dungeness crab fishery is tightly connected to federal fisheries</w:t>
      </w:r>
      <w:r>
        <w:rPr>
          <w:bCs/>
        </w:rPr>
        <w:t>:</w:t>
      </w:r>
      <w:r w:rsidRPr="00151A37">
        <w:rPr>
          <w:bCs/>
        </w:rPr>
        <w:t xml:space="preserve"> on average crab fishers make 30% of their annual revenue on non-crab fisheries, </w:t>
      </w:r>
      <w:r>
        <w:rPr>
          <w:bCs/>
        </w:rPr>
        <w:t xml:space="preserve">and </w:t>
      </w:r>
      <w:r w:rsidRPr="00151A37">
        <w:rPr>
          <w:bCs/>
        </w:rPr>
        <w:t xml:space="preserve">99% of these non-crab fisheries are federally managed. While governance </w:t>
      </w:r>
      <w:r>
        <w:rPr>
          <w:bCs/>
        </w:rPr>
        <w:t xml:space="preserve">institutions </w:t>
      </w:r>
      <w:r w:rsidRPr="00151A37">
        <w:rPr>
          <w:bCs/>
        </w:rPr>
        <w:t>that acknowledge cross-</w:t>
      </w:r>
      <w:r>
        <w:rPr>
          <w:bCs/>
        </w:rPr>
        <w:t xml:space="preserve">scale and trans-boundary </w:t>
      </w:r>
      <w:r w:rsidRPr="00151A37">
        <w:rPr>
          <w:bCs/>
        </w:rPr>
        <w:t xml:space="preserve">issues are not without precedent, as on the US West Coast where Pacific hake are jointly assessed and managed by the US and Canada, </w:t>
      </w:r>
      <w:r>
        <w:rPr>
          <w:bCs/>
        </w:rPr>
        <w:t>formal management structures that recognize</w:t>
      </w:r>
      <w:r w:rsidRPr="00151A37">
        <w:rPr>
          <w:bCs/>
        </w:rPr>
        <w:t xml:space="preserve"> human connectivity of fisheries across jurisdictions</w:t>
      </w:r>
      <w:r>
        <w:rPr>
          <w:bCs/>
        </w:rPr>
        <w:t xml:space="preserve"> are the exception, not the rule</w:t>
      </w:r>
      <w:r w:rsidRPr="00151A37">
        <w:rPr>
          <w:bCs/>
        </w:rPr>
        <w:t xml:space="preserve">. </w:t>
      </w:r>
    </w:p>
    <w:p w14:paraId="3252CCC4" w14:textId="77777777" w:rsidR="00610A4E" w:rsidRPr="00151A37" w:rsidRDefault="00610A4E" w:rsidP="00672A25">
      <w:pPr>
        <w:pStyle w:val="Paragraph"/>
        <w:spacing w:line="480" w:lineRule="auto"/>
        <w:rPr>
          <w:bCs/>
        </w:rPr>
      </w:pPr>
      <w:r w:rsidRPr="00151A37">
        <w:rPr>
          <w:bCs/>
        </w:rPr>
        <w:t xml:space="preserve">Last, quantitative measures of these </w:t>
      </w:r>
      <w:r>
        <w:rPr>
          <w:bCs/>
        </w:rPr>
        <w:t xml:space="preserve">participation </w:t>
      </w:r>
      <w:r w:rsidRPr="00151A37">
        <w:rPr>
          <w:bCs/>
        </w:rPr>
        <w:t xml:space="preserve">networks provide the means to evaluate policy efficacy. </w:t>
      </w:r>
      <w:r>
        <w:rPr>
          <w:bCs/>
        </w:rPr>
        <w:t>Participation networks of the</w:t>
      </w:r>
      <w:r w:rsidRPr="00151A37">
        <w:rPr>
          <w:bCs/>
        </w:rPr>
        <w:t xml:space="preserve"> coastal communitie</w:t>
      </w:r>
      <w:r>
        <w:rPr>
          <w:bCs/>
        </w:rPr>
        <w:t>s in the US California current vary in both composition and topology, with the most complex networks having four times the connectivity of the simplest ones (Figure S2). Recognition of this</w:t>
      </w:r>
      <w:r w:rsidRPr="00151A37">
        <w:rPr>
          <w:bCs/>
        </w:rPr>
        <w:t xml:space="preserve"> variability</w:t>
      </w:r>
      <w:r>
        <w:rPr>
          <w:bCs/>
        </w:rPr>
        <w:t xml:space="preserve"> can help managers anticipate the extent to which </w:t>
      </w:r>
      <w:r w:rsidRPr="00151A37">
        <w:rPr>
          <w:bCs/>
        </w:rPr>
        <w:t>coast</w:t>
      </w:r>
      <w:r>
        <w:rPr>
          <w:bCs/>
        </w:rPr>
        <w:t>-</w:t>
      </w:r>
      <w:r w:rsidRPr="00151A37">
        <w:rPr>
          <w:bCs/>
        </w:rPr>
        <w:t xml:space="preserve">wide </w:t>
      </w:r>
      <w:r>
        <w:rPr>
          <w:bCs/>
        </w:rPr>
        <w:t xml:space="preserve">policy change </w:t>
      </w:r>
      <w:r w:rsidRPr="00EB449E">
        <w:rPr>
          <w:bCs/>
        </w:rPr>
        <w:t>will create comparable social and ecological consequences from place to place</w:t>
      </w:r>
      <w:r>
        <w:rPr>
          <w:bCs/>
        </w:rPr>
        <w:t>.  The recent implementation of</w:t>
      </w:r>
      <w:r w:rsidRPr="00EB449E">
        <w:rPr>
          <w:bCs/>
        </w:rPr>
        <w:t xml:space="preserve"> catch shares in the </w:t>
      </w:r>
      <w:r>
        <w:rPr>
          <w:bCs/>
        </w:rPr>
        <w:t xml:space="preserve">US West Coast groundfish fishery is one example where the different structure of human connectivity revealed here suggests inconsistent social and ecological consequences. </w:t>
      </w:r>
    </w:p>
    <w:p w14:paraId="12C497D7" w14:textId="12E441C9" w:rsidR="00610A4E" w:rsidRPr="00151A37" w:rsidRDefault="00610A4E" w:rsidP="006279B3">
      <w:pPr>
        <w:pStyle w:val="Paragraph"/>
        <w:spacing w:before="0" w:line="480" w:lineRule="auto"/>
        <w:rPr>
          <w:bCs/>
        </w:rPr>
      </w:pPr>
      <w:r w:rsidRPr="00151A37">
        <w:rPr>
          <w:bCs/>
        </w:rPr>
        <w:t>We have focused here on</w:t>
      </w:r>
      <w:r>
        <w:rPr>
          <w:bCs/>
        </w:rPr>
        <w:t xml:space="preserve"> the importance of human connectivity to </w:t>
      </w:r>
      <w:r w:rsidRPr="00151A37">
        <w:rPr>
          <w:bCs/>
        </w:rPr>
        <w:t>advanc</w:t>
      </w:r>
      <w:r>
        <w:rPr>
          <w:bCs/>
        </w:rPr>
        <w:t>ing marine policy for the</w:t>
      </w:r>
      <w:r w:rsidRPr="00151A37">
        <w:rPr>
          <w:bCs/>
        </w:rPr>
        <w:t xml:space="preserve"> US, but </w:t>
      </w:r>
      <w:r>
        <w:rPr>
          <w:bCs/>
        </w:rPr>
        <w:t>its</w:t>
      </w:r>
      <w:r w:rsidRPr="00151A37">
        <w:rPr>
          <w:bCs/>
        </w:rPr>
        <w:t xml:space="preserve"> importance extends</w:t>
      </w:r>
      <w:r>
        <w:rPr>
          <w:bCs/>
        </w:rPr>
        <w:t xml:space="preserve"> to other systems in other places around the world. For example, most marine systems support a diversity of industrial and subsistence fishing fleets, each extracting different living resources </w:t>
      </w:r>
      <w:r w:rsidR="0002623F">
        <w:rPr>
          <w:rFonts w:eastAsiaTheme="minorHAnsi"/>
        </w:rPr>
        <w:t>(</w:t>
      </w:r>
      <w:r w:rsidR="0002623F">
        <w:rPr>
          <w:rFonts w:eastAsiaTheme="minorHAnsi"/>
          <w:i/>
          <w:iCs/>
        </w:rPr>
        <w:t>8</w:t>
      </w:r>
      <w:r w:rsidR="0002623F">
        <w:rPr>
          <w:rFonts w:eastAsiaTheme="minorHAnsi"/>
        </w:rPr>
        <w:t>)</w:t>
      </w:r>
      <w:r>
        <w:rPr>
          <w:bCs/>
        </w:rPr>
        <w:t xml:space="preserve">. This research is also relevant to freshwater and terrestrial systems, where people gain income and sustenance from numerous natural sources </w:t>
      </w:r>
      <w:r w:rsidR="0002623F">
        <w:rPr>
          <w:rFonts w:eastAsiaTheme="minorHAnsi"/>
        </w:rPr>
        <w:t>(</w:t>
      </w:r>
      <w:r w:rsidR="0002623F">
        <w:rPr>
          <w:rFonts w:eastAsiaTheme="minorHAnsi"/>
          <w:i/>
          <w:iCs/>
        </w:rPr>
        <w:t>9</w:t>
      </w:r>
      <w:r w:rsidR="0002623F">
        <w:rPr>
          <w:rFonts w:eastAsiaTheme="minorHAnsi"/>
        </w:rPr>
        <w:t>)</w:t>
      </w:r>
      <w:r>
        <w:rPr>
          <w:bCs/>
        </w:rPr>
        <w:t xml:space="preserve">. As a consequence, measuring and designing policies that account for both ecological and human connectivity will improve sustainability now and in a future under climate change and human population growth. </w:t>
      </w:r>
    </w:p>
    <w:p w14:paraId="1B01C1DD" w14:textId="77777777" w:rsidR="00610A4E" w:rsidRPr="00151A37" w:rsidRDefault="00610A4E" w:rsidP="00672A25">
      <w:pPr>
        <w:pStyle w:val="Paragraph"/>
        <w:spacing w:before="0" w:line="480" w:lineRule="auto"/>
        <w:jc w:val="center"/>
        <w:rPr>
          <w:bCs/>
        </w:rPr>
      </w:pPr>
      <w:r w:rsidRPr="00151A37">
        <w:rPr>
          <w:bCs/>
          <w:noProof/>
        </w:rPr>
        <w:drawing>
          <wp:inline distT="0" distB="0" distL="0" distR="0" wp14:anchorId="5386C7DE" wp14:editId="74AE73E6">
            <wp:extent cx="5939155" cy="4454525"/>
            <wp:effectExtent l="0" t="0" r="4445" b="0"/>
            <wp:docPr id="4" name="Picture 4" descr="../Desktop/CNH/Analysis/old_analysis/participation_plots/policy_forum/figures/policy_forum_fi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NH/Analysis/old_analysis/participation_plots/policy_forum/figures/policy_forum_fig.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155" cy="4454525"/>
                    </a:xfrm>
                    <a:prstGeom prst="rect">
                      <a:avLst/>
                    </a:prstGeom>
                    <a:noFill/>
                    <a:ln>
                      <a:noFill/>
                    </a:ln>
                  </pic:spPr>
                </pic:pic>
              </a:graphicData>
            </a:graphic>
          </wp:inline>
        </w:drawing>
      </w:r>
    </w:p>
    <w:p w14:paraId="2D76FBF3" w14:textId="77777777" w:rsidR="00610A4E" w:rsidRPr="00151A37" w:rsidRDefault="00610A4E" w:rsidP="00672A25">
      <w:pPr>
        <w:pStyle w:val="Paragraph"/>
        <w:spacing w:before="0" w:line="480" w:lineRule="auto"/>
        <w:ind w:firstLine="0"/>
        <w:rPr>
          <w:bCs/>
        </w:rPr>
      </w:pPr>
      <w:r>
        <w:rPr>
          <w:b/>
          <w:bCs/>
        </w:rPr>
        <w:t xml:space="preserve">Fig. 1. </w:t>
      </w:r>
      <w:r w:rsidRPr="00151A37">
        <w:rPr>
          <w:b/>
          <w:bCs/>
        </w:rPr>
        <w:t>Human connectivity of commercial fisheries in the California Current Ecosystem.</w:t>
      </w:r>
      <w:r w:rsidRPr="00151A37">
        <w:rPr>
          <w:bCs/>
        </w:rPr>
        <w:t xml:space="preserve"> Fisheries in the California Current are strongly connected by human participation. Some fisheries, notably the Dungeness crab-pot fishery, dominate the coast-wide network. The human connections among fisheries also frequently </w:t>
      </w:r>
      <w:r>
        <w:rPr>
          <w:bCs/>
        </w:rPr>
        <w:t>connect</w:t>
      </w:r>
      <w:r w:rsidRPr="00151A37">
        <w:rPr>
          <w:bCs/>
        </w:rPr>
        <w:t xml:space="preserve"> ecologically distant species, i.e. Dungeness crab and Albacore Tuna or benthic groundfish and pink shrimp. Examining networks generated for port groups</w:t>
      </w:r>
      <w:r>
        <w:rPr>
          <w:bCs/>
        </w:rPr>
        <w:t xml:space="preserve"> on the right</w:t>
      </w:r>
      <w:r w:rsidRPr="00151A37">
        <w:rPr>
          <w:bCs/>
        </w:rPr>
        <w:t>, we find that these networks vary in the number of fisheries</w:t>
      </w:r>
      <w:r>
        <w:rPr>
          <w:bCs/>
        </w:rPr>
        <w:t xml:space="preserve"> (nodes) </w:t>
      </w:r>
      <w:r w:rsidRPr="00151A37">
        <w:rPr>
          <w:bCs/>
        </w:rPr>
        <w:t>and strength of interconnections. These differences in structure may correspond to differences in community resilience. We color ports using one potential metric of network resilience to highlight this heterogeneity</w:t>
      </w:r>
      <w:r>
        <w:rPr>
          <w:bCs/>
        </w:rPr>
        <w:t xml:space="preserve"> (see supplementary materials for additional metrics)</w:t>
      </w:r>
      <w:r w:rsidRPr="00151A37">
        <w:rPr>
          <w:bCs/>
        </w:rPr>
        <w:t>. On the right port groups are colored by their adaptive capacity and show port-level participation networks with nodes colored by management jurisdiction (federally managed fisheries are blue, state managed are red, fisheries where both state and federal have a role in management, i.e. nearshore rockfish, are purple). For visual clarity we only include fisheries that had at least 3 vessels participating, and accounted for, on average, 25%</w:t>
      </w:r>
      <w:r>
        <w:rPr>
          <w:bCs/>
        </w:rPr>
        <w:t xml:space="preserve"> of a vessel’s annual income (</w:t>
      </w:r>
      <w:r w:rsidRPr="00AC6CD3">
        <w:rPr>
          <w:bCs/>
        </w:rPr>
        <w:t>Materials and methods are available as supplementary m</w:t>
      </w:r>
      <w:r>
        <w:rPr>
          <w:bCs/>
        </w:rPr>
        <w:t>aterials at the Science website)</w:t>
      </w:r>
      <w:r w:rsidRPr="00151A37">
        <w:rPr>
          <w:bCs/>
        </w:rPr>
        <w:t xml:space="preserve">. </w:t>
      </w:r>
    </w:p>
    <w:p w14:paraId="48AC69C0" w14:textId="77777777" w:rsidR="00610A4E" w:rsidRDefault="00610A4E" w:rsidP="00672A25">
      <w:pPr>
        <w:pStyle w:val="Paragraph"/>
        <w:spacing w:before="0" w:line="480" w:lineRule="auto"/>
        <w:ind w:firstLine="0"/>
        <w:rPr>
          <w:b/>
        </w:rPr>
      </w:pPr>
    </w:p>
    <w:p w14:paraId="1961C7BD" w14:textId="77777777" w:rsidR="00610A4E" w:rsidRPr="008A03CC" w:rsidRDefault="00610A4E" w:rsidP="00672A25">
      <w:pPr>
        <w:pStyle w:val="Paragraph"/>
        <w:spacing w:before="0" w:line="480" w:lineRule="auto"/>
        <w:ind w:firstLine="0"/>
        <w:rPr>
          <w:b/>
        </w:rPr>
      </w:pPr>
      <w:r w:rsidRPr="00151A37">
        <w:rPr>
          <w:b/>
        </w:rPr>
        <w:t>References and Notes:</w:t>
      </w:r>
    </w:p>
    <w:p w14:paraId="139C047A" w14:textId="77777777" w:rsidR="0002623F" w:rsidRPr="0002623F" w:rsidRDefault="0002623F" w:rsidP="00672A25">
      <w:pPr>
        <w:pStyle w:val="ListParagraph"/>
        <w:numPr>
          <w:ilvl w:val="0"/>
          <w:numId w:val="1"/>
        </w:numPr>
        <w:tabs>
          <w:tab w:val="left" w:pos="640"/>
        </w:tabs>
        <w:spacing w:line="480" w:lineRule="auto"/>
        <w:rPr>
          <w:sz w:val="24"/>
          <w:szCs w:val="24"/>
        </w:rPr>
      </w:pPr>
      <w:r w:rsidRPr="0002623F">
        <w:rPr>
          <w:sz w:val="24"/>
          <w:szCs w:val="24"/>
        </w:rPr>
        <w:t xml:space="preserve">G. M. Mace, Ecology. Whose conservation? </w:t>
      </w:r>
      <w:r w:rsidRPr="0002623F">
        <w:rPr>
          <w:i/>
          <w:iCs/>
          <w:sz w:val="24"/>
          <w:szCs w:val="24"/>
        </w:rPr>
        <w:t>Science</w:t>
      </w:r>
      <w:r w:rsidRPr="0002623F">
        <w:rPr>
          <w:sz w:val="24"/>
          <w:szCs w:val="24"/>
        </w:rPr>
        <w:t xml:space="preserve">. </w:t>
      </w:r>
      <w:r w:rsidRPr="0002623F">
        <w:rPr>
          <w:b/>
          <w:bCs/>
          <w:sz w:val="24"/>
          <w:szCs w:val="24"/>
        </w:rPr>
        <w:t>345</w:t>
      </w:r>
      <w:r w:rsidRPr="0002623F">
        <w:rPr>
          <w:sz w:val="24"/>
          <w:szCs w:val="24"/>
        </w:rPr>
        <w:t>, 1558–1560 (2014).</w:t>
      </w:r>
    </w:p>
    <w:p w14:paraId="63646A8D" w14:textId="4F967B18" w:rsidR="0002623F" w:rsidRPr="0002623F" w:rsidRDefault="0002623F" w:rsidP="00672A25">
      <w:pPr>
        <w:pStyle w:val="ListParagraph"/>
        <w:numPr>
          <w:ilvl w:val="0"/>
          <w:numId w:val="1"/>
        </w:numPr>
        <w:tabs>
          <w:tab w:val="left" w:pos="640"/>
        </w:tabs>
        <w:spacing w:line="480" w:lineRule="auto"/>
        <w:rPr>
          <w:sz w:val="24"/>
          <w:szCs w:val="24"/>
        </w:rPr>
      </w:pPr>
      <w:r w:rsidRPr="0002623F">
        <w:rPr>
          <w:sz w:val="24"/>
          <w:szCs w:val="24"/>
        </w:rPr>
        <w:t xml:space="preserve">J. S. Link, R. </w:t>
      </w:r>
      <w:proofErr w:type="spellStart"/>
      <w:r w:rsidRPr="0002623F">
        <w:rPr>
          <w:sz w:val="24"/>
          <w:szCs w:val="24"/>
        </w:rPr>
        <w:t>Griffis</w:t>
      </w:r>
      <w:proofErr w:type="spellEnd"/>
      <w:r w:rsidRPr="0002623F">
        <w:rPr>
          <w:sz w:val="24"/>
          <w:szCs w:val="24"/>
        </w:rPr>
        <w:t>, S. Busch, “NOAA Fisheries Climate Science Strategy” (NOAA Technical Memorandum NMFS-F/SPO-155, 2015), p. 70p.</w:t>
      </w:r>
    </w:p>
    <w:p w14:paraId="1E587FD6" w14:textId="5AFD1604" w:rsidR="0002623F" w:rsidRPr="0002623F" w:rsidRDefault="0002623F" w:rsidP="00672A25">
      <w:pPr>
        <w:pStyle w:val="ListParagraph"/>
        <w:numPr>
          <w:ilvl w:val="0"/>
          <w:numId w:val="1"/>
        </w:numPr>
        <w:tabs>
          <w:tab w:val="left" w:pos="640"/>
        </w:tabs>
        <w:spacing w:line="480" w:lineRule="auto"/>
        <w:rPr>
          <w:sz w:val="24"/>
          <w:szCs w:val="24"/>
        </w:rPr>
      </w:pPr>
      <w:r w:rsidRPr="0002623F">
        <w:rPr>
          <w:sz w:val="24"/>
          <w:szCs w:val="24"/>
        </w:rPr>
        <w:t>J. S. Link, “Ecosystem-Based Fisheries Management Policy of the National Marine Fisheries Service National Oceanic and Atmospheric Administration” (2016), pp. 1–8.</w:t>
      </w:r>
    </w:p>
    <w:p w14:paraId="442CFBB3" w14:textId="3A42908A" w:rsidR="0002623F" w:rsidRPr="0002623F" w:rsidRDefault="0002623F" w:rsidP="00672A25">
      <w:pPr>
        <w:pStyle w:val="ListParagraph"/>
        <w:numPr>
          <w:ilvl w:val="0"/>
          <w:numId w:val="1"/>
        </w:numPr>
        <w:tabs>
          <w:tab w:val="left" w:pos="640"/>
        </w:tabs>
        <w:spacing w:line="480" w:lineRule="auto"/>
        <w:rPr>
          <w:sz w:val="24"/>
          <w:szCs w:val="24"/>
        </w:rPr>
      </w:pPr>
      <w:r w:rsidRPr="0002623F">
        <w:rPr>
          <w:sz w:val="24"/>
          <w:szCs w:val="24"/>
        </w:rPr>
        <w:t xml:space="preserve">C. C. Hicks </w:t>
      </w:r>
      <w:r w:rsidRPr="0002623F">
        <w:rPr>
          <w:i/>
          <w:iCs/>
          <w:sz w:val="24"/>
          <w:szCs w:val="24"/>
        </w:rPr>
        <w:t>et al.</w:t>
      </w:r>
      <w:r w:rsidRPr="0002623F">
        <w:rPr>
          <w:sz w:val="24"/>
          <w:szCs w:val="24"/>
        </w:rPr>
        <w:t xml:space="preserve">, Engage key social concepts for sustainability. </w:t>
      </w:r>
      <w:r w:rsidRPr="0002623F">
        <w:rPr>
          <w:i/>
          <w:iCs/>
          <w:sz w:val="24"/>
          <w:szCs w:val="24"/>
        </w:rPr>
        <w:t>Science</w:t>
      </w:r>
      <w:r w:rsidRPr="0002623F">
        <w:rPr>
          <w:sz w:val="24"/>
          <w:szCs w:val="24"/>
        </w:rPr>
        <w:t xml:space="preserve">. </w:t>
      </w:r>
      <w:r w:rsidRPr="0002623F">
        <w:rPr>
          <w:b/>
          <w:bCs/>
          <w:sz w:val="24"/>
          <w:szCs w:val="24"/>
        </w:rPr>
        <w:t>352</w:t>
      </w:r>
      <w:r w:rsidRPr="0002623F">
        <w:rPr>
          <w:sz w:val="24"/>
          <w:szCs w:val="24"/>
        </w:rPr>
        <w:t>, 38–40 (2016).</w:t>
      </w:r>
    </w:p>
    <w:p w14:paraId="0CC0DC65" w14:textId="26AFC5FE" w:rsidR="0002623F" w:rsidRPr="0002623F" w:rsidRDefault="0002623F" w:rsidP="00672A25">
      <w:pPr>
        <w:pStyle w:val="ListParagraph"/>
        <w:numPr>
          <w:ilvl w:val="0"/>
          <w:numId w:val="1"/>
        </w:numPr>
        <w:tabs>
          <w:tab w:val="left" w:pos="640"/>
        </w:tabs>
        <w:spacing w:line="480" w:lineRule="auto"/>
        <w:rPr>
          <w:sz w:val="24"/>
          <w:szCs w:val="24"/>
        </w:rPr>
      </w:pPr>
      <w:r w:rsidRPr="0002623F">
        <w:rPr>
          <w:sz w:val="24"/>
          <w:szCs w:val="24"/>
        </w:rPr>
        <w:t xml:space="preserve">J. E. </w:t>
      </w:r>
      <w:proofErr w:type="spellStart"/>
      <w:r w:rsidRPr="0002623F">
        <w:rPr>
          <w:sz w:val="24"/>
          <w:szCs w:val="24"/>
        </w:rPr>
        <w:t>Cinner</w:t>
      </w:r>
      <w:proofErr w:type="spellEnd"/>
      <w:r w:rsidRPr="0002623F">
        <w:rPr>
          <w:sz w:val="24"/>
          <w:szCs w:val="24"/>
        </w:rPr>
        <w:t xml:space="preserve">, Ö. </w:t>
      </w:r>
      <w:proofErr w:type="spellStart"/>
      <w:r w:rsidRPr="0002623F">
        <w:rPr>
          <w:sz w:val="24"/>
          <w:szCs w:val="24"/>
        </w:rPr>
        <w:t>Bodin</w:t>
      </w:r>
      <w:proofErr w:type="spellEnd"/>
      <w:r w:rsidRPr="0002623F">
        <w:rPr>
          <w:sz w:val="24"/>
          <w:szCs w:val="24"/>
        </w:rPr>
        <w:t xml:space="preserve">, Livelihood Diversification in Tropical Coastal Communities: A Network-Based Approach to Analyzing “Livelihood Landscapes.” </w:t>
      </w:r>
      <w:r w:rsidRPr="0002623F">
        <w:rPr>
          <w:b/>
          <w:bCs/>
          <w:sz w:val="24"/>
          <w:szCs w:val="24"/>
        </w:rPr>
        <w:t>5</w:t>
      </w:r>
      <w:r w:rsidRPr="0002623F">
        <w:rPr>
          <w:sz w:val="24"/>
          <w:szCs w:val="24"/>
        </w:rPr>
        <w:t>, e11999–13 (2010).</w:t>
      </w:r>
    </w:p>
    <w:p w14:paraId="5DD3C46A" w14:textId="404B5C2B" w:rsidR="0002623F" w:rsidRPr="0002623F" w:rsidRDefault="0002623F" w:rsidP="00672A25">
      <w:pPr>
        <w:pStyle w:val="ListParagraph"/>
        <w:numPr>
          <w:ilvl w:val="0"/>
          <w:numId w:val="1"/>
        </w:numPr>
        <w:tabs>
          <w:tab w:val="left" w:pos="640"/>
        </w:tabs>
        <w:spacing w:line="480" w:lineRule="auto"/>
        <w:rPr>
          <w:sz w:val="24"/>
          <w:szCs w:val="24"/>
        </w:rPr>
      </w:pPr>
      <w:r w:rsidRPr="0002623F">
        <w:rPr>
          <w:sz w:val="24"/>
          <w:szCs w:val="24"/>
        </w:rPr>
        <w:t xml:space="preserve">J. Gao, B. </w:t>
      </w:r>
      <w:proofErr w:type="spellStart"/>
      <w:r w:rsidRPr="0002623F">
        <w:rPr>
          <w:sz w:val="24"/>
          <w:szCs w:val="24"/>
        </w:rPr>
        <w:t>Barzel</w:t>
      </w:r>
      <w:proofErr w:type="spellEnd"/>
      <w:r w:rsidRPr="0002623F">
        <w:rPr>
          <w:sz w:val="24"/>
          <w:szCs w:val="24"/>
        </w:rPr>
        <w:t xml:space="preserve">, A.-L. </w:t>
      </w:r>
      <w:proofErr w:type="spellStart"/>
      <w:r w:rsidRPr="0002623F">
        <w:rPr>
          <w:sz w:val="24"/>
          <w:szCs w:val="24"/>
        </w:rPr>
        <w:t>Barabási</w:t>
      </w:r>
      <w:proofErr w:type="spellEnd"/>
      <w:r w:rsidRPr="0002623F">
        <w:rPr>
          <w:sz w:val="24"/>
          <w:szCs w:val="24"/>
        </w:rPr>
        <w:t xml:space="preserve">, Universal resilience patterns in complex networks. </w:t>
      </w:r>
      <w:r w:rsidRPr="0002623F">
        <w:rPr>
          <w:i/>
          <w:iCs/>
          <w:sz w:val="24"/>
          <w:szCs w:val="24"/>
        </w:rPr>
        <w:t>Nature</w:t>
      </w:r>
      <w:r w:rsidRPr="0002623F">
        <w:rPr>
          <w:sz w:val="24"/>
          <w:szCs w:val="24"/>
        </w:rPr>
        <w:t xml:space="preserve">. </w:t>
      </w:r>
      <w:r w:rsidRPr="0002623F">
        <w:rPr>
          <w:b/>
          <w:bCs/>
          <w:sz w:val="24"/>
          <w:szCs w:val="24"/>
        </w:rPr>
        <w:t>530</w:t>
      </w:r>
      <w:r w:rsidRPr="0002623F">
        <w:rPr>
          <w:sz w:val="24"/>
          <w:szCs w:val="24"/>
        </w:rPr>
        <w:t>, 307–312 (2016).</w:t>
      </w:r>
    </w:p>
    <w:p w14:paraId="2022F96A" w14:textId="261BAE9F" w:rsidR="0002623F" w:rsidRPr="0002623F" w:rsidRDefault="0002623F" w:rsidP="00672A25">
      <w:pPr>
        <w:pStyle w:val="ListParagraph"/>
        <w:numPr>
          <w:ilvl w:val="0"/>
          <w:numId w:val="1"/>
        </w:numPr>
        <w:tabs>
          <w:tab w:val="left" w:pos="640"/>
        </w:tabs>
        <w:spacing w:line="480" w:lineRule="auto"/>
        <w:rPr>
          <w:sz w:val="24"/>
          <w:szCs w:val="24"/>
        </w:rPr>
      </w:pPr>
      <w:r w:rsidRPr="0002623F">
        <w:rPr>
          <w:sz w:val="24"/>
          <w:szCs w:val="24"/>
        </w:rPr>
        <w:t xml:space="preserve">L. B. Crowder </w:t>
      </w:r>
      <w:r w:rsidRPr="0002623F">
        <w:rPr>
          <w:i/>
          <w:iCs/>
          <w:sz w:val="24"/>
          <w:szCs w:val="24"/>
        </w:rPr>
        <w:t>et al.</w:t>
      </w:r>
      <w:r w:rsidRPr="0002623F">
        <w:rPr>
          <w:sz w:val="24"/>
          <w:szCs w:val="24"/>
        </w:rPr>
        <w:t xml:space="preserve">, Resolving Mismatches in U.S. Ocean Governance. </w:t>
      </w:r>
      <w:r w:rsidRPr="0002623F">
        <w:rPr>
          <w:i/>
          <w:iCs/>
          <w:sz w:val="24"/>
          <w:szCs w:val="24"/>
        </w:rPr>
        <w:t>Science</w:t>
      </w:r>
      <w:r w:rsidRPr="0002623F">
        <w:rPr>
          <w:sz w:val="24"/>
          <w:szCs w:val="24"/>
        </w:rPr>
        <w:t xml:space="preserve">. </w:t>
      </w:r>
      <w:r w:rsidRPr="0002623F">
        <w:rPr>
          <w:b/>
          <w:bCs/>
          <w:sz w:val="24"/>
          <w:szCs w:val="24"/>
        </w:rPr>
        <w:t>313</w:t>
      </w:r>
      <w:r w:rsidRPr="0002623F">
        <w:rPr>
          <w:sz w:val="24"/>
          <w:szCs w:val="24"/>
        </w:rPr>
        <w:t>, 617–618 (2006).</w:t>
      </w:r>
    </w:p>
    <w:p w14:paraId="78C7285A" w14:textId="0F06CACE" w:rsidR="0002623F" w:rsidRPr="0002623F" w:rsidRDefault="0002623F" w:rsidP="00672A25">
      <w:pPr>
        <w:pStyle w:val="ListParagraph"/>
        <w:numPr>
          <w:ilvl w:val="0"/>
          <w:numId w:val="1"/>
        </w:numPr>
        <w:tabs>
          <w:tab w:val="left" w:pos="640"/>
        </w:tabs>
        <w:spacing w:line="480" w:lineRule="auto"/>
        <w:rPr>
          <w:sz w:val="24"/>
          <w:szCs w:val="24"/>
        </w:rPr>
      </w:pPr>
      <w:r w:rsidRPr="0002623F">
        <w:rPr>
          <w:sz w:val="24"/>
          <w:szCs w:val="24"/>
        </w:rPr>
        <w:t xml:space="preserve">R. </w:t>
      </w:r>
      <w:proofErr w:type="spellStart"/>
      <w:r w:rsidRPr="0002623F">
        <w:rPr>
          <w:sz w:val="24"/>
          <w:szCs w:val="24"/>
        </w:rPr>
        <w:t>Hilborn</w:t>
      </w:r>
      <w:proofErr w:type="spellEnd"/>
      <w:r w:rsidRPr="0002623F">
        <w:rPr>
          <w:sz w:val="24"/>
          <w:szCs w:val="24"/>
        </w:rPr>
        <w:t xml:space="preserve"> </w:t>
      </w:r>
      <w:r w:rsidRPr="0002623F">
        <w:rPr>
          <w:i/>
          <w:iCs/>
          <w:sz w:val="24"/>
          <w:szCs w:val="24"/>
        </w:rPr>
        <w:t>et al.</w:t>
      </w:r>
      <w:r w:rsidRPr="0002623F">
        <w:rPr>
          <w:sz w:val="24"/>
          <w:szCs w:val="24"/>
        </w:rPr>
        <w:t xml:space="preserve">, State of the World's Fisheries. </w:t>
      </w:r>
      <w:proofErr w:type="spellStart"/>
      <w:r w:rsidRPr="0002623F">
        <w:rPr>
          <w:i/>
          <w:iCs/>
          <w:sz w:val="24"/>
          <w:szCs w:val="24"/>
        </w:rPr>
        <w:t>Annu</w:t>
      </w:r>
      <w:proofErr w:type="spellEnd"/>
      <w:r w:rsidRPr="0002623F">
        <w:rPr>
          <w:i/>
          <w:iCs/>
          <w:sz w:val="24"/>
          <w:szCs w:val="24"/>
        </w:rPr>
        <w:t xml:space="preserve">. Rev. Environ. </w:t>
      </w:r>
      <w:proofErr w:type="spellStart"/>
      <w:r w:rsidRPr="0002623F">
        <w:rPr>
          <w:i/>
          <w:iCs/>
          <w:sz w:val="24"/>
          <w:szCs w:val="24"/>
        </w:rPr>
        <w:t>Resourc</w:t>
      </w:r>
      <w:proofErr w:type="spellEnd"/>
      <w:r w:rsidRPr="0002623F">
        <w:rPr>
          <w:i/>
          <w:iCs/>
          <w:sz w:val="24"/>
          <w:szCs w:val="24"/>
        </w:rPr>
        <w:t>.</w:t>
      </w:r>
      <w:r w:rsidRPr="0002623F">
        <w:rPr>
          <w:sz w:val="24"/>
          <w:szCs w:val="24"/>
        </w:rPr>
        <w:t xml:space="preserve"> </w:t>
      </w:r>
      <w:r w:rsidRPr="0002623F">
        <w:rPr>
          <w:b/>
          <w:bCs/>
          <w:sz w:val="24"/>
          <w:szCs w:val="24"/>
        </w:rPr>
        <w:t>28</w:t>
      </w:r>
      <w:r w:rsidRPr="0002623F">
        <w:rPr>
          <w:sz w:val="24"/>
          <w:szCs w:val="24"/>
        </w:rPr>
        <w:t>, 359–399 (2003).</w:t>
      </w:r>
    </w:p>
    <w:p w14:paraId="0B640487" w14:textId="129EE76D" w:rsidR="0002623F" w:rsidRPr="0002623F" w:rsidRDefault="0002623F" w:rsidP="00672A25">
      <w:pPr>
        <w:pStyle w:val="ListParagraph"/>
        <w:numPr>
          <w:ilvl w:val="0"/>
          <w:numId w:val="1"/>
        </w:numPr>
        <w:tabs>
          <w:tab w:val="left" w:pos="640"/>
        </w:tabs>
        <w:spacing w:line="480" w:lineRule="auto"/>
        <w:rPr>
          <w:sz w:val="24"/>
          <w:szCs w:val="24"/>
        </w:rPr>
      </w:pPr>
      <w:r w:rsidRPr="0002623F">
        <w:rPr>
          <w:sz w:val="24"/>
          <w:szCs w:val="24"/>
        </w:rPr>
        <w:t xml:space="preserve">J. S. </w:t>
      </w:r>
      <w:proofErr w:type="spellStart"/>
      <w:r w:rsidRPr="0002623F">
        <w:rPr>
          <w:sz w:val="24"/>
          <w:szCs w:val="24"/>
        </w:rPr>
        <w:t>Brashares</w:t>
      </w:r>
      <w:proofErr w:type="spellEnd"/>
      <w:r w:rsidRPr="0002623F">
        <w:rPr>
          <w:sz w:val="24"/>
          <w:szCs w:val="24"/>
        </w:rPr>
        <w:t xml:space="preserve"> </w:t>
      </w:r>
      <w:r w:rsidRPr="0002623F">
        <w:rPr>
          <w:i/>
          <w:iCs/>
          <w:sz w:val="24"/>
          <w:szCs w:val="24"/>
        </w:rPr>
        <w:t>et al.</w:t>
      </w:r>
      <w:r w:rsidRPr="0002623F">
        <w:rPr>
          <w:sz w:val="24"/>
          <w:szCs w:val="24"/>
        </w:rPr>
        <w:t xml:space="preserve">, Bushmeat Hunting, Wildlife Declines, and Fish Supply in West Africa. </w:t>
      </w:r>
      <w:r w:rsidRPr="0002623F">
        <w:rPr>
          <w:i/>
          <w:iCs/>
          <w:sz w:val="24"/>
          <w:szCs w:val="24"/>
        </w:rPr>
        <w:t>Science</w:t>
      </w:r>
      <w:r w:rsidRPr="0002623F">
        <w:rPr>
          <w:sz w:val="24"/>
          <w:szCs w:val="24"/>
        </w:rPr>
        <w:t xml:space="preserve">. </w:t>
      </w:r>
      <w:r w:rsidRPr="0002623F">
        <w:rPr>
          <w:b/>
          <w:bCs/>
          <w:sz w:val="24"/>
          <w:szCs w:val="24"/>
        </w:rPr>
        <w:t>306</w:t>
      </w:r>
      <w:r w:rsidRPr="0002623F">
        <w:rPr>
          <w:sz w:val="24"/>
          <w:szCs w:val="24"/>
        </w:rPr>
        <w:t>, 1180–1183 (2004).</w:t>
      </w:r>
    </w:p>
    <w:p w14:paraId="72A7F043" w14:textId="77777777" w:rsidR="00610A4E" w:rsidRPr="002C5DB2" w:rsidRDefault="00610A4E" w:rsidP="00672A25">
      <w:pPr>
        <w:pStyle w:val="ListParagraph"/>
        <w:widowControl w:val="0"/>
        <w:numPr>
          <w:ilvl w:val="0"/>
          <w:numId w:val="1"/>
        </w:numPr>
        <w:tabs>
          <w:tab w:val="left" w:pos="640"/>
        </w:tabs>
        <w:autoSpaceDE w:val="0"/>
        <w:autoSpaceDN w:val="0"/>
        <w:adjustRightInd w:val="0"/>
        <w:spacing w:line="480" w:lineRule="auto"/>
        <w:rPr>
          <w:sz w:val="24"/>
          <w:szCs w:val="24"/>
        </w:rPr>
      </w:pPr>
      <w:r w:rsidRPr="002C5DB2">
        <w:rPr>
          <w:bCs/>
          <w:sz w:val="24"/>
          <w:szCs w:val="24"/>
        </w:rPr>
        <w:t>Pacific Fisheries Information Network (</w:t>
      </w:r>
      <w:proofErr w:type="spellStart"/>
      <w:r w:rsidRPr="002C5DB2">
        <w:rPr>
          <w:bCs/>
          <w:sz w:val="24"/>
          <w:szCs w:val="24"/>
        </w:rPr>
        <w:t>PacFIN</w:t>
      </w:r>
      <w:proofErr w:type="spellEnd"/>
      <w:r w:rsidRPr="002C5DB2">
        <w:rPr>
          <w:bCs/>
          <w:sz w:val="24"/>
          <w:szCs w:val="24"/>
        </w:rPr>
        <w:t>)</w:t>
      </w:r>
      <w:r w:rsidRPr="002C5DB2">
        <w:rPr>
          <w:sz w:val="24"/>
          <w:szCs w:val="24"/>
        </w:rPr>
        <w:t xml:space="preserve">, (available at www.psmfc.org).I. E. van </w:t>
      </w:r>
      <w:proofErr w:type="spellStart"/>
      <w:r w:rsidRPr="002C5DB2">
        <w:rPr>
          <w:sz w:val="24"/>
          <w:szCs w:val="24"/>
        </w:rPr>
        <w:t>Putten</w:t>
      </w:r>
      <w:proofErr w:type="spellEnd"/>
      <w:r w:rsidRPr="002C5DB2">
        <w:rPr>
          <w:sz w:val="24"/>
          <w:szCs w:val="24"/>
        </w:rPr>
        <w:t xml:space="preserve"> </w:t>
      </w:r>
      <w:r w:rsidRPr="002C5DB2">
        <w:rPr>
          <w:i/>
          <w:iCs/>
          <w:sz w:val="24"/>
          <w:szCs w:val="24"/>
        </w:rPr>
        <w:t>et al.</w:t>
      </w:r>
      <w:r w:rsidRPr="002C5DB2">
        <w:rPr>
          <w:sz w:val="24"/>
          <w:szCs w:val="24"/>
        </w:rPr>
        <w:t xml:space="preserve">, Theories and </w:t>
      </w:r>
      <w:proofErr w:type="spellStart"/>
      <w:r w:rsidRPr="002C5DB2">
        <w:rPr>
          <w:sz w:val="24"/>
          <w:szCs w:val="24"/>
        </w:rPr>
        <w:t>behavioural</w:t>
      </w:r>
      <w:proofErr w:type="spellEnd"/>
      <w:r w:rsidRPr="002C5DB2">
        <w:rPr>
          <w:sz w:val="24"/>
          <w:szCs w:val="24"/>
        </w:rPr>
        <w:t xml:space="preserve"> drivers underlying fleet dynamics models. </w:t>
      </w:r>
      <w:r w:rsidRPr="002C5DB2">
        <w:rPr>
          <w:i/>
          <w:iCs/>
          <w:sz w:val="24"/>
          <w:szCs w:val="24"/>
        </w:rPr>
        <w:t>Fish and Fisheries</w:t>
      </w:r>
      <w:r w:rsidRPr="002C5DB2">
        <w:rPr>
          <w:sz w:val="24"/>
          <w:szCs w:val="24"/>
        </w:rPr>
        <w:t xml:space="preserve">. </w:t>
      </w:r>
      <w:r w:rsidRPr="002C5DB2">
        <w:rPr>
          <w:b/>
          <w:bCs/>
          <w:sz w:val="24"/>
          <w:szCs w:val="24"/>
        </w:rPr>
        <w:t>13</w:t>
      </w:r>
      <w:r w:rsidRPr="002C5DB2">
        <w:rPr>
          <w:sz w:val="24"/>
          <w:szCs w:val="24"/>
        </w:rPr>
        <w:t>, 216–235 (2012).</w:t>
      </w:r>
    </w:p>
    <w:p w14:paraId="2FB92C3C" w14:textId="77777777" w:rsidR="00610A4E" w:rsidRPr="002C5DB2" w:rsidRDefault="00610A4E" w:rsidP="00672A25">
      <w:pPr>
        <w:pStyle w:val="ListParagraph"/>
        <w:widowControl w:val="0"/>
        <w:numPr>
          <w:ilvl w:val="0"/>
          <w:numId w:val="1"/>
        </w:numPr>
        <w:tabs>
          <w:tab w:val="left" w:pos="640"/>
        </w:tabs>
        <w:autoSpaceDE w:val="0"/>
        <w:autoSpaceDN w:val="0"/>
        <w:adjustRightInd w:val="0"/>
        <w:spacing w:line="480" w:lineRule="auto"/>
        <w:rPr>
          <w:sz w:val="24"/>
          <w:szCs w:val="24"/>
        </w:rPr>
      </w:pPr>
      <w:r w:rsidRPr="002C5DB2">
        <w:rPr>
          <w:sz w:val="24"/>
          <w:szCs w:val="24"/>
        </w:rPr>
        <w:t xml:space="preserve">W. J. </w:t>
      </w:r>
      <w:proofErr w:type="spellStart"/>
      <w:r w:rsidRPr="002C5DB2">
        <w:rPr>
          <w:sz w:val="24"/>
          <w:szCs w:val="24"/>
        </w:rPr>
        <w:t>Boonstra</w:t>
      </w:r>
      <w:proofErr w:type="spellEnd"/>
      <w:r w:rsidRPr="002C5DB2">
        <w:rPr>
          <w:sz w:val="24"/>
          <w:szCs w:val="24"/>
        </w:rPr>
        <w:t xml:space="preserve">, J. </w:t>
      </w:r>
      <w:proofErr w:type="spellStart"/>
      <w:r w:rsidRPr="002C5DB2">
        <w:rPr>
          <w:sz w:val="24"/>
          <w:szCs w:val="24"/>
        </w:rPr>
        <w:t>Hentati</w:t>
      </w:r>
      <w:proofErr w:type="spellEnd"/>
      <w:r w:rsidRPr="002C5DB2">
        <w:rPr>
          <w:sz w:val="24"/>
          <w:szCs w:val="24"/>
        </w:rPr>
        <w:t xml:space="preserve"> </w:t>
      </w:r>
      <w:proofErr w:type="spellStart"/>
      <w:r w:rsidRPr="002C5DB2">
        <w:rPr>
          <w:sz w:val="24"/>
          <w:szCs w:val="24"/>
        </w:rPr>
        <w:t>Sundberg</w:t>
      </w:r>
      <w:proofErr w:type="spellEnd"/>
      <w:r w:rsidRPr="002C5DB2">
        <w:rPr>
          <w:sz w:val="24"/>
          <w:szCs w:val="24"/>
        </w:rPr>
        <w:t xml:space="preserve">, Classifying fishers' </w:t>
      </w:r>
      <w:proofErr w:type="spellStart"/>
      <w:r w:rsidRPr="002C5DB2">
        <w:rPr>
          <w:sz w:val="24"/>
          <w:szCs w:val="24"/>
        </w:rPr>
        <w:t>behaviour</w:t>
      </w:r>
      <w:proofErr w:type="spellEnd"/>
      <w:r w:rsidRPr="002C5DB2">
        <w:rPr>
          <w:sz w:val="24"/>
          <w:szCs w:val="24"/>
        </w:rPr>
        <w:t xml:space="preserve">. An invitation to fishing styles. </w:t>
      </w:r>
      <w:r w:rsidRPr="002C5DB2">
        <w:rPr>
          <w:i/>
          <w:iCs/>
          <w:sz w:val="24"/>
          <w:szCs w:val="24"/>
        </w:rPr>
        <w:t>Fish and Fisheries</w:t>
      </w:r>
      <w:r w:rsidRPr="002C5DB2">
        <w:rPr>
          <w:sz w:val="24"/>
          <w:szCs w:val="24"/>
        </w:rPr>
        <w:t xml:space="preserve">. </w:t>
      </w:r>
      <w:r w:rsidRPr="002C5DB2">
        <w:rPr>
          <w:b/>
          <w:bCs/>
          <w:sz w:val="24"/>
          <w:szCs w:val="24"/>
        </w:rPr>
        <w:t>17</w:t>
      </w:r>
      <w:r w:rsidRPr="002C5DB2">
        <w:rPr>
          <w:sz w:val="24"/>
          <w:szCs w:val="24"/>
        </w:rPr>
        <w:t>, 78–100 (2014).</w:t>
      </w:r>
    </w:p>
    <w:p w14:paraId="6DE2C7F2" w14:textId="77777777" w:rsidR="00610A4E" w:rsidRPr="002C5DB2" w:rsidRDefault="00610A4E" w:rsidP="00672A25">
      <w:pPr>
        <w:pStyle w:val="ListParagraph"/>
        <w:widowControl w:val="0"/>
        <w:numPr>
          <w:ilvl w:val="0"/>
          <w:numId w:val="1"/>
        </w:numPr>
        <w:tabs>
          <w:tab w:val="left" w:pos="640"/>
        </w:tabs>
        <w:autoSpaceDE w:val="0"/>
        <w:autoSpaceDN w:val="0"/>
        <w:adjustRightInd w:val="0"/>
        <w:spacing w:line="480" w:lineRule="auto"/>
        <w:rPr>
          <w:sz w:val="24"/>
          <w:szCs w:val="24"/>
        </w:rPr>
      </w:pPr>
      <w:r w:rsidRPr="002C5DB2">
        <w:rPr>
          <w:sz w:val="24"/>
          <w:szCs w:val="24"/>
        </w:rPr>
        <w:t xml:space="preserve">The Northwest Fisheries Science Center, (NWFSC), "Data Products" (https://www.nwfsc.noaa.gov/research/divisions/fram/observation/data_products/index.cfm). </w:t>
      </w:r>
    </w:p>
    <w:p w14:paraId="301D7A10" w14:textId="77777777" w:rsidR="00610A4E" w:rsidRPr="002C5DB2" w:rsidRDefault="00610A4E" w:rsidP="00672A25">
      <w:pPr>
        <w:pStyle w:val="ListParagraph"/>
        <w:widowControl w:val="0"/>
        <w:numPr>
          <w:ilvl w:val="0"/>
          <w:numId w:val="1"/>
        </w:numPr>
        <w:tabs>
          <w:tab w:val="left" w:pos="640"/>
        </w:tabs>
        <w:autoSpaceDE w:val="0"/>
        <w:autoSpaceDN w:val="0"/>
        <w:adjustRightInd w:val="0"/>
        <w:spacing w:line="480" w:lineRule="auto"/>
        <w:rPr>
          <w:sz w:val="24"/>
          <w:szCs w:val="24"/>
        </w:rPr>
      </w:pPr>
      <w:r w:rsidRPr="002C5DB2">
        <w:rPr>
          <w:sz w:val="24"/>
          <w:szCs w:val="24"/>
        </w:rPr>
        <w:t xml:space="preserve">N. Deporte, C. Ulrich, S. </w:t>
      </w:r>
      <w:proofErr w:type="spellStart"/>
      <w:r w:rsidRPr="002C5DB2">
        <w:rPr>
          <w:sz w:val="24"/>
          <w:szCs w:val="24"/>
        </w:rPr>
        <w:t>Mahevas</w:t>
      </w:r>
      <w:proofErr w:type="spellEnd"/>
      <w:r w:rsidRPr="002C5DB2">
        <w:rPr>
          <w:sz w:val="24"/>
          <w:szCs w:val="24"/>
        </w:rPr>
        <w:t xml:space="preserve">, S. </w:t>
      </w:r>
      <w:proofErr w:type="spellStart"/>
      <w:r w:rsidRPr="002C5DB2">
        <w:rPr>
          <w:sz w:val="24"/>
          <w:szCs w:val="24"/>
        </w:rPr>
        <w:t>Demaneche</w:t>
      </w:r>
      <w:proofErr w:type="spellEnd"/>
      <w:r w:rsidRPr="002C5DB2">
        <w:rPr>
          <w:sz w:val="24"/>
          <w:szCs w:val="24"/>
        </w:rPr>
        <w:t xml:space="preserve">, F. </w:t>
      </w:r>
      <w:proofErr w:type="spellStart"/>
      <w:r w:rsidRPr="002C5DB2">
        <w:rPr>
          <w:sz w:val="24"/>
          <w:szCs w:val="24"/>
        </w:rPr>
        <w:t>Bastardie</w:t>
      </w:r>
      <w:proofErr w:type="spellEnd"/>
      <w:r w:rsidRPr="002C5DB2">
        <w:rPr>
          <w:sz w:val="24"/>
          <w:szCs w:val="24"/>
        </w:rPr>
        <w:t xml:space="preserve">, Regional </w:t>
      </w:r>
      <w:proofErr w:type="spellStart"/>
      <w:r w:rsidRPr="002C5DB2">
        <w:rPr>
          <w:sz w:val="24"/>
          <w:szCs w:val="24"/>
        </w:rPr>
        <w:t>metier</w:t>
      </w:r>
      <w:proofErr w:type="spellEnd"/>
      <w:r w:rsidRPr="002C5DB2">
        <w:rPr>
          <w:sz w:val="24"/>
          <w:szCs w:val="24"/>
        </w:rPr>
        <w:t xml:space="preserve"> definition: a comparative investigation of statistical methods using a workflow applied to international otter trawl fisheries in the North Sea. </w:t>
      </w:r>
      <w:r w:rsidRPr="002C5DB2">
        <w:rPr>
          <w:i/>
          <w:iCs/>
          <w:sz w:val="24"/>
          <w:szCs w:val="24"/>
        </w:rPr>
        <w:t>ICES Journal of Marine Science</w:t>
      </w:r>
      <w:r w:rsidRPr="002C5DB2">
        <w:rPr>
          <w:sz w:val="24"/>
          <w:szCs w:val="24"/>
        </w:rPr>
        <w:t xml:space="preserve">. </w:t>
      </w:r>
      <w:r w:rsidRPr="002C5DB2">
        <w:rPr>
          <w:b/>
          <w:bCs/>
          <w:sz w:val="24"/>
          <w:szCs w:val="24"/>
        </w:rPr>
        <w:t>69</w:t>
      </w:r>
      <w:r w:rsidRPr="002C5DB2">
        <w:rPr>
          <w:sz w:val="24"/>
          <w:szCs w:val="24"/>
        </w:rPr>
        <w:t>, 331–342 (2012).</w:t>
      </w:r>
    </w:p>
    <w:p w14:paraId="08B3EB1B" w14:textId="77777777" w:rsidR="005E15E8" w:rsidRDefault="00610A4E" w:rsidP="00672A25">
      <w:pPr>
        <w:pStyle w:val="ListParagraph"/>
        <w:widowControl w:val="0"/>
        <w:numPr>
          <w:ilvl w:val="0"/>
          <w:numId w:val="1"/>
        </w:numPr>
        <w:tabs>
          <w:tab w:val="left" w:pos="640"/>
        </w:tabs>
        <w:autoSpaceDE w:val="0"/>
        <w:autoSpaceDN w:val="0"/>
        <w:adjustRightInd w:val="0"/>
        <w:spacing w:line="480" w:lineRule="auto"/>
        <w:rPr>
          <w:sz w:val="24"/>
          <w:szCs w:val="24"/>
        </w:rPr>
      </w:pPr>
      <w:r w:rsidRPr="002C5DB2">
        <w:rPr>
          <w:sz w:val="24"/>
          <w:szCs w:val="24"/>
        </w:rPr>
        <w:t xml:space="preserve">F. Jordan, Keystone species and food webs. </w:t>
      </w:r>
      <w:r w:rsidRPr="002C5DB2">
        <w:rPr>
          <w:i/>
          <w:iCs/>
          <w:sz w:val="24"/>
          <w:szCs w:val="24"/>
        </w:rPr>
        <w:t xml:space="preserve">Philos. Trans. R. Soc. </w:t>
      </w:r>
      <w:proofErr w:type="spellStart"/>
      <w:r w:rsidRPr="002C5DB2">
        <w:rPr>
          <w:i/>
          <w:iCs/>
          <w:sz w:val="24"/>
          <w:szCs w:val="24"/>
        </w:rPr>
        <w:t>Lond</w:t>
      </w:r>
      <w:proofErr w:type="spellEnd"/>
      <w:r w:rsidRPr="002C5DB2">
        <w:rPr>
          <w:i/>
          <w:iCs/>
          <w:sz w:val="24"/>
          <w:szCs w:val="24"/>
        </w:rPr>
        <w:t>., B, Biol. Sci.</w:t>
      </w:r>
      <w:r w:rsidRPr="002C5DB2">
        <w:rPr>
          <w:sz w:val="24"/>
          <w:szCs w:val="24"/>
        </w:rPr>
        <w:t xml:space="preserve"> </w:t>
      </w:r>
      <w:r w:rsidRPr="002C5DB2">
        <w:rPr>
          <w:b/>
          <w:bCs/>
          <w:sz w:val="24"/>
          <w:szCs w:val="24"/>
        </w:rPr>
        <w:t>364</w:t>
      </w:r>
      <w:r w:rsidRPr="002C5DB2">
        <w:rPr>
          <w:sz w:val="24"/>
          <w:szCs w:val="24"/>
        </w:rPr>
        <w:t>, 1733–1741 (2009).</w:t>
      </w:r>
    </w:p>
    <w:p w14:paraId="41D095E5" w14:textId="794F27DF" w:rsidR="00610A4E" w:rsidRPr="005E15E8" w:rsidRDefault="00610A4E" w:rsidP="00672A25">
      <w:pPr>
        <w:pStyle w:val="ListParagraph"/>
        <w:widowControl w:val="0"/>
        <w:numPr>
          <w:ilvl w:val="0"/>
          <w:numId w:val="1"/>
        </w:numPr>
        <w:tabs>
          <w:tab w:val="left" w:pos="640"/>
        </w:tabs>
        <w:autoSpaceDE w:val="0"/>
        <w:autoSpaceDN w:val="0"/>
        <w:adjustRightInd w:val="0"/>
        <w:spacing w:line="480" w:lineRule="auto"/>
        <w:rPr>
          <w:sz w:val="24"/>
          <w:szCs w:val="24"/>
        </w:rPr>
      </w:pPr>
      <w:proofErr w:type="spellStart"/>
      <w:r w:rsidRPr="005E15E8">
        <w:rPr>
          <w:sz w:val="24"/>
          <w:szCs w:val="24"/>
        </w:rPr>
        <w:t>Barrat</w:t>
      </w:r>
      <w:proofErr w:type="spellEnd"/>
      <w:r w:rsidRPr="005E15E8">
        <w:rPr>
          <w:sz w:val="24"/>
          <w:szCs w:val="24"/>
        </w:rPr>
        <w:t xml:space="preserve">, M. </w:t>
      </w:r>
      <w:proofErr w:type="spellStart"/>
      <w:r w:rsidRPr="005E15E8">
        <w:rPr>
          <w:sz w:val="24"/>
          <w:szCs w:val="24"/>
        </w:rPr>
        <w:t>Barthelemy</w:t>
      </w:r>
      <w:proofErr w:type="spellEnd"/>
      <w:r w:rsidRPr="005E15E8">
        <w:rPr>
          <w:sz w:val="24"/>
          <w:szCs w:val="24"/>
        </w:rPr>
        <w:t>, R. Pastor-</w:t>
      </w:r>
      <w:proofErr w:type="spellStart"/>
      <w:r w:rsidRPr="005E15E8">
        <w:rPr>
          <w:sz w:val="24"/>
          <w:szCs w:val="24"/>
        </w:rPr>
        <w:t>Satorras</w:t>
      </w:r>
      <w:proofErr w:type="spellEnd"/>
      <w:r w:rsidRPr="005E15E8">
        <w:rPr>
          <w:sz w:val="24"/>
          <w:szCs w:val="24"/>
        </w:rPr>
        <w:t xml:space="preserve">, A. </w:t>
      </w:r>
      <w:proofErr w:type="spellStart"/>
      <w:r w:rsidRPr="005E15E8">
        <w:rPr>
          <w:sz w:val="24"/>
          <w:szCs w:val="24"/>
        </w:rPr>
        <w:t>Vespignani</w:t>
      </w:r>
      <w:proofErr w:type="spellEnd"/>
      <w:r w:rsidRPr="005E15E8">
        <w:rPr>
          <w:sz w:val="24"/>
          <w:szCs w:val="24"/>
        </w:rPr>
        <w:t xml:space="preserve">, </w:t>
      </w:r>
      <w:proofErr w:type="gramStart"/>
      <w:r w:rsidRPr="005E15E8">
        <w:rPr>
          <w:sz w:val="24"/>
          <w:szCs w:val="24"/>
        </w:rPr>
        <w:t>The</w:t>
      </w:r>
      <w:proofErr w:type="gramEnd"/>
      <w:r w:rsidRPr="005E15E8">
        <w:rPr>
          <w:sz w:val="24"/>
          <w:szCs w:val="24"/>
        </w:rPr>
        <w:t xml:space="preserve"> architecture of complex weighted networks. </w:t>
      </w:r>
      <w:r w:rsidRPr="005E15E8">
        <w:rPr>
          <w:i/>
          <w:iCs/>
          <w:sz w:val="24"/>
          <w:szCs w:val="24"/>
        </w:rPr>
        <w:t>PNAS</w:t>
      </w:r>
      <w:r w:rsidRPr="005E15E8">
        <w:rPr>
          <w:sz w:val="24"/>
          <w:szCs w:val="24"/>
        </w:rPr>
        <w:t xml:space="preserve">. </w:t>
      </w:r>
      <w:r w:rsidRPr="005E15E8">
        <w:rPr>
          <w:b/>
          <w:bCs/>
          <w:sz w:val="24"/>
          <w:szCs w:val="24"/>
        </w:rPr>
        <w:t>101</w:t>
      </w:r>
      <w:r w:rsidRPr="005E15E8">
        <w:rPr>
          <w:sz w:val="24"/>
          <w:szCs w:val="24"/>
        </w:rPr>
        <w:t>, 3747–3752 (2004).</w:t>
      </w:r>
    </w:p>
    <w:p w14:paraId="7A134223" w14:textId="77777777" w:rsidR="00610A4E" w:rsidRPr="002C5DB2" w:rsidRDefault="00610A4E" w:rsidP="00672A25">
      <w:pPr>
        <w:pStyle w:val="ListParagraph"/>
        <w:widowControl w:val="0"/>
        <w:numPr>
          <w:ilvl w:val="0"/>
          <w:numId w:val="1"/>
        </w:numPr>
        <w:tabs>
          <w:tab w:val="left" w:pos="640"/>
        </w:tabs>
        <w:autoSpaceDE w:val="0"/>
        <w:autoSpaceDN w:val="0"/>
        <w:adjustRightInd w:val="0"/>
        <w:spacing w:line="480" w:lineRule="auto"/>
        <w:rPr>
          <w:sz w:val="24"/>
          <w:szCs w:val="24"/>
        </w:rPr>
      </w:pPr>
      <w:r w:rsidRPr="002C5DB2">
        <w:rPr>
          <w:sz w:val="24"/>
          <w:szCs w:val="24"/>
        </w:rPr>
        <w:t xml:space="preserve">L. C. Freeman, D. Roeder, R. R. Mulholland, Centrality in Social Networks: II. Experimental Results. </w:t>
      </w:r>
      <w:r w:rsidRPr="002C5DB2">
        <w:rPr>
          <w:i/>
          <w:iCs/>
          <w:sz w:val="24"/>
          <w:szCs w:val="24"/>
        </w:rPr>
        <w:t>Social Networks</w:t>
      </w:r>
      <w:r w:rsidRPr="002C5DB2">
        <w:rPr>
          <w:sz w:val="24"/>
          <w:szCs w:val="24"/>
        </w:rPr>
        <w:t xml:space="preserve">. </w:t>
      </w:r>
      <w:r w:rsidRPr="002C5DB2">
        <w:rPr>
          <w:b/>
          <w:bCs/>
          <w:sz w:val="24"/>
          <w:szCs w:val="24"/>
        </w:rPr>
        <w:t>2</w:t>
      </w:r>
      <w:r w:rsidRPr="002C5DB2">
        <w:rPr>
          <w:sz w:val="24"/>
          <w:szCs w:val="24"/>
        </w:rPr>
        <w:t>, 119–141 (1979).</w:t>
      </w:r>
    </w:p>
    <w:p w14:paraId="4FDD31A6" w14:textId="77777777" w:rsidR="00610A4E" w:rsidRPr="002C5DB2" w:rsidRDefault="00610A4E" w:rsidP="00672A25">
      <w:pPr>
        <w:pStyle w:val="ListParagraph"/>
        <w:widowControl w:val="0"/>
        <w:numPr>
          <w:ilvl w:val="0"/>
          <w:numId w:val="1"/>
        </w:numPr>
        <w:tabs>
          <w:tab w:val="left" w:pos="640"/>
        </w:tabs>
        <w:autoSpaceDE w:val="0"/>
        <w:autoSpaceDN w:val="0"/>
        <w:adjustRightInd w:val="0"/>
        <w:spacing w:line="480" w:lineRule="auto"/>
        <w:rPr>
          <w:sz w:val="24"/>
          <w:szCs w:val="24"/>
        </w:rPr>
      </w:pPr>
      <w:r w:rsidRPr="002C5DB2">
        <w:rPr>
          <w:sz w:val="24"/>
          <w:szCs w:val="24"/>
        </w:rPr>
        <w:t xml:space="preserve">P. Pons, M. </w:t>
      </w:r>
      <w:proofErr w:type="spellStart"/>
      <w:r w:rsidRPr="002C5DB2">
        <w:rPr>
          <w:sz w:val="24"/>
          <w:szCs w:val="24"/>
        </w:rPr>
        <w:t>Latapy</w:t>
      </w:r>
      <w:proofErr w:type="spellEnd"/>
      <w:r w:rsidRPr="002C5DB2">
        <w:rPr>
          <w:sz w:val="24"/>
          <w:szCs w:val="24"/>
        </w:rPr>
        <w:t xml:space="preserve">, Computing communities in large networks using random walks. </w:t>
      </w:r>
      <w:proofErr w:type="spellStart"/>
      <w:r w:rsidRPr="002C5DB2">
        <w:rPr>
          <w:i/>
          <w:iCs/>
          <w:sz w:val="24"/>
          <w:szCs w:val="24"/>
        </w:rPr>
        <w:t>ArXiv</w:t>
      </w:r>
      <w:proofErr w:type="spellEnd"/>
      <w:r w:rsidRPr="002C5DB2">
        <w:rPr>
          <w:i/>
          <w:iCs/>
          <w:sz w:val="24"/>
          <w:szCs w:val="24"/>
        </w:rPr>
        <w:t xml:space="preserve"> Physics e-prints</w:t>
      </w:r>
      <w:r w:rsidRPr="002C5DB2">
        <w:rPr>
          <w:sz w:val="24"/>
          <w:szCs w:val="24"/>
        </w:rPr>
        <w:t xml:space="preserve"> (2005), (available at http://arxiv.org/abs/physics/0512106#).</w:t>
      </w:r>
    </w:p>
    <w:p w14:paraId="73C68DBC" w14:textId="77777777" w:rsidR="00610A4E" w:rsidRDefault="00610A4E" w:rsidP="00672A25">
      <w:pPr>
        <w:widowControl w:val="0"/>
        <w:tabs>
          <w:tab w:val="left" w:pos="640"/>
        </w:tabs>
        <w:autoSpaceDE w:val="0"/>
        <w:autoSpaceDN w:val="0"/>
        <w:adjustRightInd w:val="0"/>
        <w:spacing w:line="480" w:lineRule="auto"/>
        <w:ind w:left="634" w:hanging="634"/>
        <w:rPr>
          <w:b/>
          <w:sz w:val="24"/>
          <w:szCs w:val="24"/>
        </w:rPr>
      </w:pPr>
    </w:p>
    <w:p w14:paraId="23385CBC" w14:textId="77777777" w:rsidR="00610A4E" w:rsidRPr="00C37861" w:rsidRDefault="00610A4E" w:rsidP="00672A25">
      <w:pPr>
        <w:widowControl w:val="0"/>
        <w:tabs>
          <w:tab w:val="left" w:pos="640"/>
        </w:tabs>
        <w:autoSpaceDE w:val="0"/>
        <w:autoSpaceDN w:val="0"/>
        <w:adjustRightInd w:val="0"/>
        <w:spacing w:line="480" w:lineRule="auto"/>
        <w:ind w:left="640" w:hanging="640"/>
        <w:rPr>
          <w:sz w:val="24"/>
          <w:szCs w:val="24"/>
        </w:rPr>
      </w:pPr>
      <w:r w:rsidRPr="00C37861">
        <w:rPr>
          <w:b/>
          <w:sz w:val="24"/>
          <w:szCs w:val="24"/>
        </w:rPr>
        <w:t>Acknowledgments:</w:t>
      </w:r>
      <w:r w:rsidRPr="00C37861">
        <w:rPr>
          <w:sz w:val="24"/>
          <w:szCs w:val="24"/>
        </w:rPr>
        <w:t xml:space="preserve"> Data for this analysis was provided by </w:t>
      </w:r>
      <w:r w:rsidRPr="00C37861">
        <w:rPr>
          <w:bCs/>
          <w:sz w:val="24"/>
          <w:szCs w:val="24"/>
        </w:rPr>
        <w:t>the Pacific Fisheries Information Network (</w:t>
      </w:r>
      <w:proofErr w:type="spellStart"/>
      <w:r w:rsidRPr="00C37861">
        <w:rPr>
          <w:bCs/>
          <w:sz w:val="24"/>
          <w:szCs w:val="24"/>
        </w:rPr>
        <w:t>PacFIN</w:t>
      </w:r>
      <w:proofErr w:type="spellEnd"/>
      <w:r w:rsidRPr="00C37861">
        <w:rPr>
          <w:bCs/>
          <w:sz w:val="24"/>
          <w:szCs w:val="24"/>
        </w:rPr>
        <w:t>) database (</w:t>
      </w:r>
      <w:r w:rsidRPr="0027246E">
        <w:rPr>
          <w:bCs/>
          <w:sz w:val="24"/>
          <w:szCs w:val="24"/>
        </w:rPr>
        <w:t>www.psmfc.org</w:t>
      </w:r>
      <w:r w:rsidRPr="0027246E">
        <w:rPr>
          <w:sz w:val="24"/>
          <w:szCs w:val="24"/>
        </w:rPr>
        <w:t>)</w:t>
      </w:r>
      <w:r w:rsidRPr="00C37861">
        <w:rPr>
          <w:sz w:val="24"/>
          <w:szCs w:val="24"/>
        </w:rPr>
        <w:t xml:space="preserve">. This work </w:t>
      </w:r>
      <w:r w:rsidRPr="00C37861">
        <w:rPr>
          <w:bCs/>
          <w:sz w:val="24"/>
          <w:szCs w:val="24"/>
        </w:rPr>
        <w:t>supported by funding from the National Science</w:t>
      </w:r>
      <w:r>
        <w:rPr>
          <w:bCs/>
          <w:sz w:val="24"/>
          <w:szCs w:val="24"/>
        </w:rPr>
        <w:t xml:space="preserve"> Foundation (GRFP, GEO-1211972) and we thank </w:t>
      </w:r>
      <w:r w:rsidRPr="00986046">
        <w:rPr>
          <w:bCs/>
          <w:sz w:val="24"/>
          <w:szCs w:val="24"/>
        </w:rPr>
        <w:t xml:space="preserve">the observers and fishermen on the US </w:t>
      </w:r>
      <w:r>
        <w:rPr>
          <w:bCs/>
          <w:sz w:val="24"/>
          <w:szCs w:val="24"/>
        </w:rPr>
        <w:t>W</w:t>
      </w:r>
      <w:r w:rsidRPr="00986046">
        <w:rPr>
          <w:bCs/>
          <w:sz w:val="24"/>
          <w:szCs w:val="24"/>
        </w:rPr>
        <w:t xml:space="preserve">est </w:t>
      </w:r>
      <w:r>
        <w:rPr>
          <w:bCs/>
          <w:sz w:val="24"/>
          <w:szCs w:val="24"/>
        </w:rPr>
        <w:t>C</w:t>
      </w:r>
      <w:r w:rsidRPr="00986046">
        <w:rPr>
          <w:bCs/>
          <w:sz w:val="24"/>
          <w:szCs w:val="24"/>
        </w:rPr>
        <w:t>oast for</w:t>
      </w:r>
      <w:r>
        <w:rPr>
          <w:bCs/>
          <w:sz w:val="24"/>
          <w:szCs w:val="24"/>
        </w:rPr>
        <w:t xml:space="preserve"> their time and</w:t>
      </w:r>
      <w:r w:rsidRPr="00986046">
        <w:rPr>
          <w:bCs/>
          <w:sz w:val="24"/>
          <w:szCs w:val="24"/>
        </w:rPr>
        <w:t xml:space="preserve"> insightful discussions</w:t>
      </w:r>
      <w:r>
        <w:rPr>
          <w:bCs/>
          <w:sz w:val="24"/>
          <w:szCs w:val="24"/>
        </w:rPr>
        <w:t xml:space="preserve"> on the topic. </w:t>
      </w:r>
    </w:p>
    <w:p w14:paraId="444A6074" w14:textId="77777777" w:rsidR="00610A4E" w:rsidRDefault="00610A4E" w:rsidP="00672A25">
      <w:pPr>
        <w:pStyle w:val="SOMHead"/>
        <w:spacing w:before="0" w:line="480" w:lineRule="auto"/>
      </w:pPr>
    </w:p>
    <w:p w14:paraId="746318E8" w14:textId="77777777" w:rsidR="00610A4E" w:rsidRDefault="00610A4E" w:rsidP="00672A25">
      <w:pPr>
        <w:pStyle w:val="SOMHead"/>
        <w:spacing w:before="0" w:line="480" w:lineRule="auto"/>
      </w:pPr>
      <w:r>
        <w:t>Supplementary Materials:</w:t>
      </w:r>
    </w:p>
    <w:p w14:paraId="18BF6329" w14:textId="77777777" w:rsidR="00610A4E" w:rsidRDefault="00610A4E" w:rsidP="00672A25">
      <w:pPr>
        <w:pStyle w:val="SOMContent"/>
        <w:spacing w:before="0" w:line="480" w:lineRule="auto"/>
      </w:pPr>
      <w:r>
        <w:t>Materials and Methods</w:t>
      </w:r>
    </w:p>
    <w:p w14:paraId="4CC1FD82" w14:textId="492748EE" w:rsidR="001B1D86" w:rsidRDefault="001B1D86" w:rsidP="00672A25">
      <w:pPr>
        <w:pStyle w:val="SOMContent"/>
        <w:spacing w:before="0" w:line="480" w:lineRule="auto"/>
      </w:pPr>
      <w:r>
        <w:t>Figures S1-S3</w:t>
      </w:r>
    </w:p>
    <w:p w14:paraId="3DF3A5A3" w14:textId="09BD8361" w:rsidR="000C1AE7" w:rsidRDefault="00497FDB" w:rsidP="00672A25">
      <w:pPr>
        <w:pStyle w:val="SOMContent"/>
        <w:spacing w:before="0" w:line="480" w:lineRule="auto"/>
      </w:pPr>
      <w:r>
        <w:t>Table</w:t>
      </w:r>
      <w:r w:rsidR="000C1AE7">
        <w:t xml:space="preserve"> S1</w:t>
      </w:r>
    </w:p>
    <w:p w14:paraId="3AE2642D" w14:textId="1A29EB4A" w:rsidR="000F7719" w:rsidRDefault="000F7719" w:rsidP="00672A25">
      <w:pPr>
        <w:pStyle w:val="SOMContent"/>
        <w:spacing w:before="0" w:line="480" w:lineRule="auto"/>
      </w:pPr>
      <w:r>
        <w:t>Supplementary Text</w:t>
      </w:r>
    </w:p>
    <w:p w14:paraId="56A3E70F" w14:textId="69E9A0A3" w:rsidR="000056A3" w:rsidRDefault="00610A4E" w:rsidP="00672A25">
      <w:pPr>
        <w:pStyle w:val="SOMContent"/>
        <w:spacing w:before="0" w:line="480" w:lineRule="auto"/>
      </w:pPr>
      <w:r>
        <w:t>References (</w:t>
      </w:r>
      <w:r w:rsidR="00CF607A">
        <w:rPr>
          <w:i/>
        </w:rPr>
        <w:t>10</w:t>
      </w:r>
      <w:r w:rsidRPr="00A644A5">
        <w:rPr>
          <w:i/>
        </w:rPr>
        <w:t>-</w:t>
      </w:r>
      <w:bookmarkStart w:id="1" w:name="_GoBack"/>
      <w:bookmarkEnd w:id="1"/>
      <w:r>
        <w:rPr>
          <w:i/>
        </w:rPr>
        <w:t>1</w:t>
      </w:r>
      <w:r w:rsidR="00DF22C4">
        <w:rPr>
          <w:i/>
        </w:rPr>
        <w:t>7</w:t>
      </w:r>
      <w:r>
        <w:t>)</w:t>
      </w:r>
    </w:p>
    <w:sectPr w:rsidR="000056A3" w:rsidSect="00D73714">
      <w:headerReference w:type="first" r:id="rId10"/>
      <w:pgSz w:w="12240" w:h="15840"/>
      <w:pgMar w:top="1440" w:right="1440" w:bottom="1440" w:left="1440" w:header="432"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hua Stoll" w:date="2016-07-01T12:38:00Z" w:initials="JS">
    <w:p w14:paraId="78785F18" w14:textId="77777777" w:rsidR="00610A4E" w:rsidRDefault="00610A4E" w:rsidP="00610A4E">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785F1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71C39" w14:textId="77777777" w:rsidR="001074C2" w:rsidRDefault="001074C2">
      <w:r>
        <w:separator/>
      </w:r>
    </w:p>
  </w:endnote>
  <w:endnote w:type="continuationSeparator" w:id="0">
    <w:p w14:paraId="03F46724" w14:textId="77777777" w:rsidR="001074C2" w:rsidRDefault="00107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96915" w14:textId="77777777" w:rsidR="001074C2" w:rsidRDefault="001074C2">
      <w:r>
        <w:separator/>
      </w:r>
    </w:p>
  </w:footnote>
  <w:footnote w:type="continuationSeparator" w:id="0">
    <w:p w14:paraId="475923C8" w14:textId="77777777" w:rsidR="001074C2" w:rsidRDefault="001074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40E00" w14:textId="77777777" w:rsidR="003F504B" w:rsidRPr="00204015" w:rsidRDefault="001624AC" w:rsidP="00D73714">
    <w:pPr>
      <w:pStyle w:val="Header"/>
    </w:pPr>
    <w:r>
      <w:rPr>
        <w:noProof/>
      </w:rPr>
      <w:drawing>
        <wp:anchor distT="0" distB="0" distL="114300" distR="114300" simplePos="0" relativeHeight="251659264" behindDoc="0" locked="0" layoutInCell="1" allowOverlap="1" wp14:anchorId="7B119915" wp14:editId="6D2AB2AA">
          <wp:simplePos x="0" y="0"/>
          <wp:positionH relativeFrom="column">
            <wp:posOffset>38100</wp:posOffset>
          </wp:positionH>
          <wp:positionV relativeFrom="paragraph">
            <wp:posOffset>-83185</wp:posOffset>
          </wp:positionV>
          <wp:extent cx="682625" cy="368300"/>
          <wp:effectExtent l="0" t="0" r="3175" b="0"/>
          <wp:wrapSquare wrapText="bothSides"/>
          <wp:docPr id="1" name="Picture 1" descr="scien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368300"/>
                  </a:xfrm>
                  <a:prstGeom prst="rect">
                    <a:avLst/>
                  </a:prstGeom>
                  <a:noFill/>
                </pic:spPr>
              </pic:pic>
            </a:graphicData>
          </a:graphic>
        </wp:anchor>
      </w:drawing>
    </w:r>
    <w:r>
      <w:tab/>
    </w:r>
    <w:r w:rsidRPr="00204015">
      <w:t>Submitted Manuscript:  Confidential</w:t>
    </w:r>
    <w:r>
      <w:tab/>
    </w:r>
  </w:p>
  <w:p w14:paraId="0B69F22A" w14:textId="77777777" w:rsidR="003F504B" w:rsidRDefault="001074C2" w:rsidP="00D73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B5686D"/>
    <w:multiLevelType w:val="hybridMultilevel"/>
    <w:tmpl w:val="BB76126E"/>
    <w:lvl w:ilvl="0" w:tplc="0409000F">
      <w:start w:val="1"/>
      <w:numFmt w:val="decimal"/>
      <w:lvlText w:val="%1."/>
      <w:lvlJc w:val="left"/>
      <w:pPr>
        <w:ind w:left="720" w:hanging="360"/>
      </w:pPr>
    </w:lvl>
    <w:lvl w:ilvl="1" w:tplc="8D2443E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A4E"/>
    <w:rsid w:val="000056A3"/>
    <w:rsid w:val="0002623F"/>
    <w:rsid w:val="000C1AE7"/>
    <w:rsid w:val="000F7719"/>
    <w:rsid w:val="001074C2"/>
    <w:rsid w:val="001474D8"/>
    <w:rsid w:val="001624AC"/>
    <w:rsid w:val="001B1D86"/>
    <w:rsid w:val="002C5DB2"/>
    <w:rsid w:val="00497FDB"/>
    <w:rsid w:val="005E15E8"/>
    <w:rsid w:val="00610A4E"/>
    <w:rsid w:val="006279B3"/>
    <w:rsid w:val="00672A25"/>
    <w:rsid w:val="007379C8"/>
    <w:rsid w:val="00765002"/>
    <w:rsid w:val="007D0335"/>
    <w:rsid w:val="00995F4F"/>
    <w:rsid w:val="00BD0D85"/>
    <w:rsid w:val="00CF607A"/>
    <w:rsid w:val="00DF22C4"/>
    <w:rsid w:val="00F95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57F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A4E"/>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rsid w:val="00610A4E"/>
    <w:pPr>
      <w:spacing w:before="120" w:after="360"/>
      <w:jc w:val="center"/>
    </w:pPr>
    <w:rPr>
      <w:rFonts w:eastAsia="Times New Roman"/>
      <w:sz w:val="24"/>
      <w:szCs w:val="24"/>
    </w:rPr>
  </w:style>
  <w:style w:type="paragraph" w:customStyle="1" w:styleId="Paragraph">
    <w:name w:val="Paragraph"/>
    <w:basedOn w:val="Normal"/>
    <w:rsid w:val="00610A4E"/>
    <w:pPr>
      <w:spacing w:before="120"/>
      <w:ind w:firstLine="720"/>
    </w:pPr>
    <w:rPr>
      <w:rFonts w:eastAsia="Times New Roman"/>
      <w:sz w:val="24"/>
      <w:szCs w:val="24"/>
    </w:rPr>
  </w:style>
  <w:style w:type="character" w:styleId="CommentReference">
    <w:name w:val="annotation reference"/>
    <w:basedOn w:val="DefaultParagraphFont"/>
    <w:uiPriority w:val="99"/>
    <w:rsid w:val="00610A4E"/>
    <w:rPr>
      <w:sz w:val="18"/>
      <w:szCs w:val="18"/>
    </w:rPr>
  </w:style>
  <w:style w:type="paragraph" w:styleId="CommentText">
    <w:name w:val="annotation text"/>
    <w:basedOn w:val="Normal"/>
    <w:link w:val="CommentTextChar"/>
    <w:semiHidden/>
    <w:rsid w:val="00610A4E"/>
    <w:rPr>
      <w:rFonts w:eastAsia="Times New Roman"/>
    </w:rPr>
  </w:style>
  <w:style w:type="character" w:customStyle="1" w:styleId="CommentTextChar">
    <w:name w:val="Comment Text Char"/>
    <w:basedOn w:val="DefaultParagraphFont"/>
    <w:link w:val="CommentText"/>
    <w:semiHidden/>
    <w:rsid w:val="00610A4E"/>
    <w:rPr>
      <w:rFonts w:ascii="Times New Roman" w:eastAsia="Times New Roman" w:hAnsi="Times New Roman" w:cs="Times New Roman"/>
      <w:sz w:val="20"/>
      <w:szCs w:val="20"/>
    </w:rPr>
  </w:style>
  <w:style w:type="paragraph" w:customStyle="1" w:styleId="Head">
    <w:name w:val="Head"/>
    <w:basedOn w:val="Normal"/>
    <w:rsid w:val="00610A4E"/>
    <w:pPr>
      <w:keepNext/>
      <w:spacing w:before="120" w:after="120"/>
      <w:jc w:val="center"/>
      <w:outlineLvl w:val="0"/>
    </w:pPr>
    <w:rPr>
      <w:rFonts w:eastAsia="Times New Roman"/>
      <w:b/>
      <w:bCs/>
      <w:kern w:val="28"/>
      <w:sz w:val="28"/>
      <w:szCs w:val="28"/>
    </w:rPr>
  </w:style>
  <w:style w:type="paragraph" w:styleId="Header">
    <w:name w:val="header"/>
    <w:basedOn w:val="Normal"/>
    <w:link w:val="HeaderChar"/>
    <w:rsid w:val="00610A4E"/>
    <w:pPr>
      <w:tabs>
        <w:tab w:val="center" w:pos="4320"/>
        <w:tab w:val="right" w:pos="8640"/>
      </w:tabs>
    </w:pPr>
    <w:rPr>
      <w:rFonts w:eastAsia="Times New Roman"/>
    </w:rPr>
  </w:style>
  <w:style w:type="character" w:customStyle="1" w:styleId="HeaderChar">
    <w:name w:val="Header Char"/>
    <w:basedOn w:val="DefaultParagraphFont"/>
    <w:link w:val="Header"/>
    <w:rsid w:val="00610A4E"/>
    <w:rPr>
      <w:rFonts w:ascii="Times New Roman" w:eastAsia="Times New Roman" w:hAnsi="Times New Roman" w:cs="Times New Roman"/>
      <w:sz w:val="20"/>
      <w:szCs w:val="20"/>
    </w:rPr>
  </w:style>
  <w:style w:type="paragraph" w:customStyle="1" w:styleId="SOMContent">
    <w:name w:val="SOMContent"/>
    <w:basedOn w:val="Normal"/>
    <w:rsid w:val="00610A4E"/>
    <w:pPr>
      <w:spacing w:before="120"/>
    </w:pPr>
    <w:rPr>
      <w:rFonts w:eastAsia="Times New Roman"/>
      <w:sz w:val="24"/>
      <w:szCs w:val="24"/>
    </w:rPr>
  </w:style>
  <w:style w:type="paragraph" w:customStyle="1" w:styleId="SOMHead">
    <w:name w:val="SOMHead"/>
    <w:basedOn w:val="Normal"/>
    <w:rsid w:val="00610A4E"/>
    <w:pPr>
      <w:keepNext/>
      <w:spacing w:before="240"/>
      <w:outlineLvl w:val="0"/>
    </w:pPr>
    <w:rPr>
      <w:rFonts w:eastAsia="Times New Roman"/>
      <w:b/>
      <w:kern w:val="28"/>
      <w:sz w:val="24"/>
      <w:szCs w:val="24"/>
    </w:rPr>
  </w:style>
  <w:style w:type="paragraph" w:customStyle="1" w:styleId="Teaser">
    <w:name w:val="Teaser"/>
    <w:basedOn w:val="Normal"/>
    <w:rsid w:val="00610A4E"/>
    <w:pPr>
      <w:spacing w:before="120"/>
    </w:pPr>
    <w:rPr>
      <w:rFonts w:eastAsia="Times New Roman"/>
      <w:sz w:val="24"/>
      <w:szCs w:val="24"/>
    </w:rPr>
  </w:style>
  <w:style w:type="paragraph" w:styleId="ListParagraph">
    <w:name w:val="List Paragraph"/>
    <w:basedOn w:val="Normal"/>
    <w:uiPriority w:val="34"/>
    <w:qFormat/>
    <w:rsid w:val="002C5DB2"/>
    <w:pPr>
      <w:ind w:left="720"/>
      <w:contextualSpacing/>
    </w:pPr>
  </w:style>
  <w:style w:type="paragraph" w:styleId="BalloonText">
    <w:name w:val="Balloon Text"/>
    <w:basedOn w:val="Normal"/>
    <w:link w:val="BalloonTextChar"/>
    <w:uiPriority w:val="99"/>
    <w:semiHidden/>
    <w:unhideWhenUsed/>
    <w:rsid w:val="0002623F"/>
    <w:rPr>
      <w:sz w:val="18"/>
      <w:szCs w:val="18"/>
    </w:rPr>
  </w:style>
  <w:style w:type="character" w:customStyle="1" w:styleId="BalloonTextChar">
    <w:name w:val="Balloon Text Char"/>
    <w:basedOn w:val="DefaultParagraphFont"/>
    <w:link w:val="BalloonText"/>
    <w:uiPriority w:val="99"/>
    <w:semiHidden/>
    <w:rsid w:val="0002623F"/>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1704</Words>
  <Characters>9713</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Title: </vt:lpstr>
      <vt:lpstr>Human Connectivity in Social-Ecological Systems</vt:lpstr>
      <vt:lpstr/>
      <vt:lpstr>Supplementary Materials:</vt:lpstr>
    </vt:vector>
  </TitlesOfParts>
  <LinksUpToDate>false</LinksUpToDate>
  <CharactersWithSpaces>11395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18</cp:revision>
  <dcterms:created xsi:type="dcterms:W3CDTF">2016-07-05T20:11:00Z</dcterms:created>
  <dcterms:modified xsi:type="dcterms:W3CDTF">2016-07-05T21:15:00Z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