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8D014" w14:textId="77777777" w:rsidR="007B473D" w:rsidRPr="00304882" w:rsidRDefault="007B473D" w:rsidP="007B473D">
      <w:pPr>
        <w:outlineLvl w:val="0"/>
        <w:rPr>
          <w:rFonts w:ascii="Times New Roman" w:hAnsi="Times New Roman" w:cs="Times New Roman"/>
          <w:sz w:val="24"/>
          <w:szCs w:val="24"/>
        </w:rPr>
      </w:pPr>
    </w:p>
    <w:p w14:paraId="2DE36AE8" w14:textId="77777777" w:rsidR="007B473D" w:rsidRPr="00304882" w:rsidRDefault="007B473D" w:rsidP="007B473D">
      <w:pPr>
        <w:outlineLvl w:val="0"/>
        <w:rPr>
          <w:rFonts w:ascii="Times New Roman" w:hAnsi="Times New Roman" w:cs="Times New Roman"/>
          <w:sz w:val="24"/>
          <w:szCs w:val="24"/>
        </w:rPr>
      </w:pPr>
    </w:p>
    <w:p w14:paraId="0888FF61" w14:textId="77777777" w:rsidR="007B473D" w:rsidRPr="00304882" w:rsidRDefault="007B473D" w:rsidP="007B473D">
      <w:pPr>
        <w:outlineLvl w:val="0"/>
        <w:rPr>
          <w:rFonts w:ascii="Times New Roman" w:hAnsi="Times New Roman" w:cs="Times New Roman"/>
          <w:sz w:val="24"/>
          <w:szCs w:val="24"/>
        </w:rPr>
      </w:pPr>
    </w:p>
    <w:p w14:paraId="0AB9EF74" w14:textId="77777777" w:rsidR="007B473D" w:rsidRPr="00304882" w:rsidRDefault="007B473D" w:rsidP="007B473D">
      <w:pPr>
        <w:outlineLvl w:val="0"/>
        <w:rPr>
          <w:rFonts w:ascii="Times New Roman" w:hAnsi="Times New Roman" w:cs="Times New Roman"/>
          <w:sz w:val="24"/>
          <w:szCs w:val="24"/>
        </w:rPr>
      </w:pPr>
    </w:p>
    <w:p w14:paraId="1A23E5FF" w14:textId="77777777" w:rsidR="007B473D" w:rsidRPr="00304882" w:rsidRDefault="007B473D" w:rsidP="007B473D">
      <w:pPr>
        <w:spacing w:line="480" w:lineRule="auto"/>
        <w:outlineLvl w:val="0"/>
        <w:rPr>
          <w:rFonts w:ascii="Times New Roman" w:hAnsi="Times New Roman" w:cs="Times New Roman"/>
          <w:sz w:val="24"/>
          <w:szCs w:val="24"/>
        </w:rPr>
      </w:pPr>
    </w:p>
    <w:p w14:paraId="6E3B2B98" w14:textId="77777777" w:rsidR="007B473D" w:rsidRPr="00304882" w:rsidRDefault="007B473D" w:rsidP="007B473D">
      <w:pPr>
        <w:spacing w:line="480" w:lineRule="auto"/>
        <w:outlineLvl w:val="0"/>
        <w:rPr>
          <w:rFonts w:ascii="Times New Roman" w:hAnsi="Times New Roman" w:cs="Times New Roman"/>
          <w:sz w:val="24"/>
          <w:szCs w:val="24"/>
        </w:rPr>
      </w:pPr>
    </w:p>
    <w:p w14:paraId="6F045CC1" w14:textId="77777777" w:rsidR="007B473D" w:rsidRPr="00304882" w:rsidRDefault="007B473D" w:rsidP="007B473D">
      <w:pPr>
        <w:spacing w:line="480" w:lineRule="auto"/>
        <w:outlineLvl w:val="0"/>
        <w:rPr>
          <w:rFonts w:ascii="Times New Roman" w:hAnsi="Times New Roman" w:cs="Times New Roman"/>
          <w:sz w:val="24"/>
          <w:szCs w:val="24"/>
        </w:rPr>
      </w:pPr>
    </w:p>
    <w:p w14:paraId="15673FBE" w14:textId="77777777" w:rsidR="007B473D" w:rsidRPr="00304882" w:rsidRDefault="007B473D" w:rsidP="007B473D">
      <w:pPr>
        <w:spacing w:line="480" w:lineRule="auto"/>
        <w:outlineLvl w:val="0"/>
        <w:rPr>
          <w:rFonts w:ascii="Times New Roman" w:hAnsi="Times New Roman" w:cs="Times New Roman"/>
          <w:sz w:val="24"/>
          <w:szCs w:val="24"/>
        </w:rPr>
      </w:pPr>
    </w:p>
    <w:p w14:paraId="35051798" w14:textId="77777777" w:rsidR="007B473D" w:rsidRPr="00304882" w:rsidRDefault="007B473D" w:rsidP="007B473D">
      <w:pPr>
        <w:spacing w:line="480" w:lineRule="auto"/>
        <w:outlineLvl w:val="0"/>
        <w:rPr>
          <w:rFonts w:ascii="Times New Roman" w:hAnsi="Times New Roman" w:cs="Times New Roman"/>
          <w:sz w:val="24"/>
          <w:szCs w:val="24"/>
        </w:rPr>
      </w:pPr>
    </w:p>
    <w:p w14:paraId="1F66E535" w14:textId="77777777" w:rsidR="007B473D" w:rsidRPr="00304882" w:rsidRDefault="007B473D" w:rsidP="007B473D">
      <w:pPr>
        <w:spacing w:line="480" w:lineRule="auto"/>
        <w:outlineLvl w:val="0"/>
        <w:rPr>
          <w:rFonts w:ascii="Times New Roman" w:hAnsi="Times New Roman" w:cs="Times New Roman"/>
          <w:sz w:val="24"/>
          <w:szCs w:val="24"/>
        </w:rPr>
      </w:pPr>
    </w:p>
    <w:p w14:paraId="4973E491" w14:textId="77777777" w:rsidR="007B473D" w:rsidRPr="00B131AF" w:rsidRDefault="007B473D" w:rsidP="007B473D">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CHAPTER ONE</w:t>
      </w:r>
    </w:p>
    <w:p w14:paraId="7E145EFF" w14:textId="77777777" w:rsidR="007B473D" w:rsidRPr="00B131AF" w:rsidRDefault="007B473D" w:rsidP="007B473D">
      <w:pPr>
        <w:spacing w:line="480" w:lineRule="auto"/>
        <w:jc w:val="center"/>
        <w:outlineLvl w:val="0"/>
        <w:rPr>
          <w:rFonts w:ascii="Times New Roman" w:hAnsi="Times New Roman" w:cs="Times New Roman"/>
          <w:sz w:val="28"/>
          <w:szCs w:val="24"/>
        </w:rPr>
      </w:pPr>
    </w:p>
    <w:p w14:paraId="6E8D520C" w14:textId="77777777" w:rsidR="007B473D" w:rsidRPr="00B131AF" w:rsidRDefault="007B473D" w:rsidP="007B473D">
      <w:pPr>
        <w:spacing w:line="480" w:lineRule="auto"/>
        <w:jc w:val="center"/>
        <w:outlineLvl w:val="0"/>
        <w:rPr>
          <w:rFonts w:ascii="Times New Roman" w:hAnsi="Times New Roman" w:cs="Times New Roman"/>
          <w:sz w:val="28"/>
          <w:szCs w:val="24"/>
        </w:rPr>
      </w:pPr>
    </w:p>
    <w:p w14:paraId="3E91887A" w14:textId="77777777" w:rsidR="007B473D" w:rsidRPr="00B131AF" w:rsidRDefault="007B473D" w:rsidP="007B473D">
      <w:pPr>
        <w:spacing w:line="480" w:lineRule="auto"/>
        <w:jc w:val="center"/>
        <w:outlineLvl w:val="0"/>
        <w:rPr>
          <w:rFonts w:ascii="Times New Roman" w:hAnsi="Times New Roman" w:cs="Times New Roman"/>
          <w:sz w:val="28"/>
          <w:szCs w:val="24"/>
        </w:rPr>
      </w:pPr>
      <w:r w:rsidRPr="00B131AF">
        <w:rPr>
          <w:rFonts w:ascii="Times New Roman" w:hAnsi="Times New Roman" w:cs="Times New Roman"/>
          <w:sz w:val="28"/>
          <w:szCs w:val="24"/>
        </w:rPr>
        <w:t>The persistence of populations facing climate shifts and harvest</w:t>
      </w:r>
      <w:r w:rsidRPr="00B131AF">
        <w:rPr>
          <w:rStyle w:val="FootnoteReference"/>
          <w:rFonts w:ascii="Times New Roman" w:hAnsi="Times New Roman" w:cs="Times New Roman"/>
          <w:sz w:val="28"/>
          <w:szCs w:val="24"/>
        </w:rPr>
        <w:footnoteReference w:id="1"/>
      </w:r>
    </w:p>
    <w:p w14:paraId="702D7C5F" w14:textId="77777777" w:rsidR="007B473D" w:rsidRPr="00304882" w:rsidRDefault="007B473D" w:rsidP="007B473D">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p>
    <w:p w14:paraId="1C09305D"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2791305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we develop and analyze a spatial population dynamics model to explore the cumulative impacts of climate with another dominant stressor in the ocean and on land: harvest. We find that critical rates of climate velocity and harvest depend on the growth rate and dispersal kernel of the population, as well as the magnitude of the other stressor. This allows us to identify conditions under which harvesting and climate velocity can together drive populations extinct even when neither stressor would do so in isolation. Except in these extreme cases, we also find that the interaction between the declines in biomass caused by climate velocity and harvest is approximately additive. Finally, we show that threshold harvest rules can be effective management tools to mitigate the interaction between the two stressors, while protected areas can either help or hinder, depending on how harvesters reallocate their effort. </w:t>
      </w:r>
    </w:p>
    <w:p w14:paraId="07F810D6" w14:textId="77777777" w:rsidR="007B473D" w:rsidRPr="00304882" w:rsidRDefault="007B473D" w:rsidP="007B473D">
      <w:pPr>
        <w:spacing w:line="480" w:lineRule="auto"/>
        <w:rPr>
          <w:rFonts w:ascii="Times New Roman" w:hAnsi="Times New Roman" w:cs="Times New Roman"/>
          <w:b w:val="0"/>
          <w:sz w:val="24"/>
          <w:szCs w:val="24"/>
        </w:rPr>
      </w:pPr>
    </w:p>
    <w:p w14:paraId="52AAA10E"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76F1829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2A2B689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5E5765CE"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59E9759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6C50EEF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77EC035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Here, we focus on a relatively simple ecological model that captures the dominant processes (reproduction, dispersal, and population growth) underlying climate-driven range shifts and population responses to harvesting pressure. We built this model originally for marine species, but because of its mathematical generality, it could also apply to any species with distinct growth and dispersal stages (e.g., plants and many insects). We identify the harvesting rate and climate velocity that drive populations extinct, investigate how the critical rate of one stressor depends on the other, and analyze the declines in biomass caused by each stressor. We also examine two different types of management strategies—threshold harvesting rules and protected areas—to determine how these management strategies affect population persistence and biomass. We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34484438" w14:textId="77777777" w:rsidR="007B473D" w:rsidRPr="00304882" w:rsidRDefault="007B473D" w:rsidP="007B473D">
      <w:pPr>
        <w:spacing w:line="480" w:lineRule="auto"/>
        <w:rPr>
          <w:rFonts w:ascii="Times New Roman" w:hAnsi="Times New Roman" w:cs="Times New Roman"/>
          <w:b w:val="0"/>
          <w:sz w:val="24"/>
          <w:szCs w:val="24"/>
        </w:rPr>
      </w:pPr>
    </w:p>
    <w:p w14:paraId="536DF3AE"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3C2A4429"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85AC9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6F3AF29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m:rPr>
            <m:sty m:val="bi"/>
          </m:rP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513"/>
      </w:tblGrid>
      <w:tr w:rsidR="007B473D" w:rsidRPr="00304882" w14:paraId="0A62C1CC" w14:textId="77777777" w:rsidTr="00153D1E">
        <w:trPr>
          <w:trHeight w:val="1360"/>
        </w:trPr>
        <w:tc>
          <w:tcPr>
            <w:tcW w:w="7939" w:type="dxa"/>
            <w:shd w:val="clear" w:color="auto" w:fill="auto"/>
            <w:vAlign w:val="center"/>
          </w:tcPr>
          <w:p w14:paraId="4378C373" w14:textId="77777777" w:rsidR="007B473D" w:rsidRPr="00304882" w:rsidRDefault="007B473D"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t+1</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b>
                  <m:sup>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p>
                  <m:e>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g(f(</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y</m:t>
                        </m:r>
                      </m:e>
                    </m:d>
                    <m:r>
                      <m:rPr>
                        <m:sty m:val="bi"/>
                      </m:rPr>
                      <w:rPr>
                        <w:rFonts w:ascii="Cambria Math" w:hAnsi="Cambria Math" w:cs="Times New Roman"/>
                        <w:sz w:val="24"/>
                        <w:szCs w:val="24"/>
                      </w:rPr>
                      <m:t>))</m:t>
                    </m:r>
                  </m:e>
                </m:nary>
                <m:r>
                  <m:rPr>
                    <m:sty m:val="bi"/>
                  </m:rPr>
                  <w:rPr>
                    <w:rFonts w:ascii="Cambria Math" w:hAnsi="Cambria Math" w:cs="Times New Roman"/>
                    <w:sz w:val="24"/>
                    <w:szCs w:val="24"/>
                  </w:rPr>
                  <m:t>dy,</m:t>
                </m:r>
              </m:oMath>
            </m:oMathPara>
          </w:p>
        </w:tc>
        <w:tc>
          <w:tcPr>
            <w:tcW w:w="1531" w:type="dxa"/>
            <w:shd w:val="clear" w:color="auto" w:fill="auto"/>
            <w:vAlign w:val="center"/>
          </w:tcPr>
          <w:p w14:paraId="0AEEE8B9"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09B1789E"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786D002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Initially, we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7B473D" w:rsidRPr="00304882" w14:paraId="334A5B84" w14:textId="77777777" w:rsidTr="00153D1E">
        <w:trPr>
          <w:trHeight w:val="1201"/>
        </w:trPr>
        <w:tc>
          <w:tcPr>
            <w:tcW w:w="7933" w:type="dxa"/>
            <w:vAlign w:val="center"/>
          </w:tcPr>
          <w:p w14:paraId="08AB4E82" w14:textId="77777777" w:rsidR="007B473D" w:rsidRPr="00304882" w:rsidRDefault="007B473D"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f(n)=</m:t>
                </m:r>
                <m:f>
                  <m:fPr>
                    <m:ctrlPr>
                      <w:rPr>
                        <w:rFonts w:ascii="Cambria Math" w:hAnsi="Cambria Math" w:cs="Times New Roman"/>
                        <w:b w:val="0"/>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K</m:t>
                            </m:r>
                          </m:den>
                        </m:f>
                      </m:e>
                    </m:d>
                    <m:r>
                      <m:rPr>
                        <m:sty m:val="bi"/>
                      </m:rPr>
                      <w:rPr>
                        <w:rFonts w:ascii="Cambria Math" w:hAnsi="Cambria Math" w:cs="Times New Roman"/>
                        <w:sz w:val="24"/>
                        <w:szCs w:val="24"/>
                      </w:rPr>
                      <m:t>n</m:t>
                    </m:r>
                  </m:den>
                </m:f>
              </m:oMath>
            </m:oMathPara>
          </w:p>
        </w:tc>
        <w:tc>
          <w:tcPr>
            <w:tcW w:w="1530" w:type="dxa"/>
            <w:vAlign w:val="center"/>
          </w:tcPr>
          <w:p w14:paraId="2EEF7438"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(2)</w:t>
            </w:r>
          </w:p>
        </w:tc>
      </w:tr>
    </w:tbl>
    <w:p w14:paraId="46A5A242"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As before,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is the intrinsic growth rate, while </w:t>
      </w:r>
      <w:r w:rsidRPr="00304882">
        <w:rPr>
          <w:rFonts w:ascii="Times New Roman" w:hAnsi="Times New Roman" w:cs="Times New Roman"/>
          <w:b w:val="0"/>
          <w:i/>
          <w:sz w:val="24"/>
          <w:szCs w:val="24"/>
        </w:rPr>
        <w:t xml:space="preserve">K </w:t>
      </w:r>
      <w:r w:rsidRPr="00304882">
        <w:rPr>
          <w:rFonts w:ascii="Times New Roman" w:hAnsi="Times New Roman" w:cs="Times New Roman"/>
          <w:b w:val="0"/>
          <w:sz w:val="24"/>
          <w:szCs w:val="24"/>
        </w:rPr>
        <w:t xml:space="preserve">is the carrying capacity at a given point in space, which we assume to be constant (see Table 1 for a full description of parameters and functions). Since </w:t>
      </w:r>
      <w:r w:rsidRPr="00304882">
        <w:rPr>
          <w:rFonts w:ascii="Times New Roman" w:hAnsi="Times New Roman" w:cs="Times New Roman"/>
          <w:b w:val="0"/>
          <w:i/>
          <w:sz w:val="24"/>
          <w:szCs w:val="24"/>
        </w:rPr>
        <w:t>f(K) = 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if </w:t>
      </w:r>
      <w:r w:rsidRPr="00304882">
        <w:rPr>
          <w:rFonts w:ascii="Times New Roman" w:hAnsi="Times New Roman" w:cs="Times New Roman"/>
          <w:b w:val="0"/>
          <w:i/>
          <w:sz w:val="24"/>
          <w:szCs w:val="24"/>
        </w:rPr>
        <w:t>n = K</w:t>
      </w:r>
      <w:r w:rsidRPr="00304882">
        <w:rPr>
          <w:rFonts w:ascii="Times New Roman" w:hAnsi="Times New Roman" w:cs="Times New Roman"/>
          <w:b w:val="0"/>
          <w:sz w:val="24"/>
          <w:szCs w:val="24"/>
        </w:rPr>
        <w:t xml:space="preserve">, there will be </w:t>
      </w:r>
      <w:r w:rsidRPr="00304882">
        <w:rPr>
          <w:rFonts w:ascii="Times New Roman" w:hAnsi="Times New Roman" w:cs="Times New Roman"/>
          <w:b w:val="0"/>
          <w:i/>
          <w:sz w:val="24"/>
          <w:szCs w:val="24"/>
        </w:rPr>
        <w:t>K/R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surviving offspring, and when they reproduce at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the population will remain at carrying capacity. As shown in Appendix A, the precise forms of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are not important to the persistence of the population. Persistence depends only on </w:t>
      </w:r>
      <w:r w:rsidRPr="00304882">
        <w:rPr>
          <w:rFonts w:ascii="Times New Roman" w:hAnsi="Times New Roman" w:cs="Times New Roman"/>
          <w:b w:val="0"/>
          <w:i/>
          <w:sz w:val="24"/>
          <w:szCs w:val="24"/>
        </w:rPr>
        <w:t>g’(0)</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f’(0). </w:t>
      </w:r>
      <w:r w:rsidRPr="00304882">
        <w:rPr>
          <w:rFonts w:ascii="Times New Roman" w:hAnsi="Times New Roman" w:cs="Times New Roman"/>
          <w:b w:val="0"/>
          <w:sz w:val="24"/>
          <w:szCs w:val="24"/>
        </w:rPr>
        <w:t>The full functional forms do matter, however, for equilibrium biomass.</w:t>
      </w:r>
    </w:p>
    <w:p w14:paraId="5B4E868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304882">
        <w:rPr>
          <w:rFonts w:ascii="Times New Roman" w:hAnsi="Times New Roman" w:cs="Times New Roman"/>
          <w:b w:val="0"/>
          <w:i/>
          <w:sz w:val="24"/>
          <w:szCs w:val="24"/>
        </w:rPr>
        <w:t>a</w:t>
      </w:r>
      <w:r w:rsidRPr="00304882">
        <w:rPr>
          <w:rFonts w:ascii="Times New Roman" w:hAnsi="Times New Roman" w:cs="Times New Roman"/>
          <w:b w:val="0"/>
          <w:i/>
          <w:sz w:val="24"/>
          <w:szCs w:val="24"/>
          <w:vertAlign w:val="subscript"/>
        </w:rPr>
        <w:t>i</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and</w:t>
      </w:r>
      <w:r w:rsidRPr="00304882">
        <w:rPr>
          <w:rFonts w:ascii="Times New Roman" w:hAnsi="Times New Roman" w:cs="Times New Roman"/>
          <w:b w:val="0"/>
          <w:i/>
          <w:sz w:val="24"/>
          <w:szCs w:val="24"/>
        </w:rPr>
        <w:t xml:space="preserve"> b</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 xml:space="preserve">such that  </w:t>
      </w:r>
      <w:r w:rsidRPr="00304882">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(y</m:t>
        </m:r>
      </m:oMath>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(see Appendix B for further details). In the analyses presented below, we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7B473D" w:rsidRPr="00304882" w14:paraId="78B81BFD" w14:textId="77777777" w:rsidTr="00153D1E">
        <w:tc>
          <w:tcPr>
            <w:tcW w:w="8028" w:type="dxa"/>
            <w:vAlign w:val="center"/>
          </w:tcPr>
          <w:p w14:paraId="6E8AFC78" w14:textId="77777777" w:rsidR="007B473D" w:rsidRPr="00304882" w:rsidRDefault="007B473D"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k(x-y)=</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m:rPr>
                        <m:sty m:val="bi"/>
                      </m:rPr>
                      <w:rPr>
                        <w:rFonts w:ascii="Cambria Math" w:hAnsi="Cambria Math" w:cs="Times New Roman"/>
                        <w:sz w:val="24"/>
                        <w:szCs w:val="24"/>
                      </w:rPr>
                      <m:t>e</m:t>
                    </m:r>
                  </m:e>
                  <m:sup>
                    <m:f>
                      <m:fPr>
                        <m:ctrlPr>
                          <w:rPr>
                            <w:rFonts w:ascii="Cambria Math" w:hAnsi="Cambria Math" w:cs="Times New Roman"/>
                            <w:b w:val="0"/>
                            <w:sz w:val="24"/>
                            <w:szCs w:val="24"/>
                          </w:rPr>
                        </m:ctrlPr>
                      </m:fPr>
                      <m:num>
                        <m:r>
                          <m:rPr>
                            <m:sty m:val="bi"/>
                          </m:rPr>
                          <w:rPr>
                            <w:rFonts w:ascii="Cambria Math" w:hAnsi="Cambria Math" w:cs="Times New Roman"/>
                            <w:sz w:val="24"/>
                            <w:szCs w:val="24"/>
                          </w:rPr>
                          <m:t>-(x-y</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4</m:t>
                        </m:r>
                        <m:r>
                          <m:rPr>
                            <m:sty m:val="bi"/>
                          </m:rPr>
                          <w:rPr>
                            <w:rFonts w:ascii="Cambria Math" w:hAnsi="Cambria Math" w:cs="Times New Roman"/>
                            <w:sz w:val="24"/>
                            <w:szCs w:val="24"/>
                          </w:rPr>
                          <m:t>D</m:t>
                        </m:r>
                      </m:den>
                    </m:f>
                  </m:sup>
                </m:sSup>
                <m:r>
                  <m:rPr>
                    <m:sty m:val="bi"/>
                  </m:rPr>
                  <w:rPr>
                    <w:rFonts w:ascii="Cambria Math" w:hAnsi="Cambria Math" w:cs="Times New Roman"/>
                    <w:sz w:val="24"/>
                    <w:szCs w:val="24"/>
                  </w:rPr>
                  <m:t>.</m:t>
                </m:r>
              </m:oMath>
            </m:oMathPara>
          </w:p>
        </w:tc>
        <w:tc>
          <w:tcPr>
            <w:tcW w:w="1548" w:type="dxa"/>
            <w:vAlign w:val="center"/>
          </w:tcPr>
          <w:p w14:paraId="6504803A"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A16C0D4"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To derive analytical expressions for the critical rates of harvesting and climate velocity, we approximate the kernel to its first-order terms, as described in Appendix C. To examine the sensitivity of the model to the shape of the kernel, we also analyze a sinusoidal kernel (see Appendix D).</w:t>
      </w:r>
    </w:p>
    <w:p w14:paraId="65F07209"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7B473D" w:rsidRPr="00304882" w14:paraId="5CCB61C9" w14:textId="77777777" w:rsidTr="00153D1E">
        <w:tc>
          <w:tcPr>
            <w:tcW w:w="8028" w:type="dxa"/>
            <w:vAlign w:val="center"/>
          </w:tcPr>
          <w:p w14:paraId="5453A81F" w14:textId="77777777" w:rsidR="007B473D" w:rsidRPr="00304882" w:rsidRDefault="007B473D"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r>
                      <m:rPr>
                        <m:sty m:val="bi"/>
                      </m:rPr>
                      <w:rPr>
                        <w:rFonts w:ascii="Cambria Math" w:hAnsi="Cambria Math" w:cs="Times New Roman"/>
                        <w:sz w:val="24"/>
                        <w:szCs w:val="24"/>
                      </w:rPr>
                      <m:t>k</m:t>
                    </m:r>
                  </m:e>
                </m:nary>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+c-</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))d</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oMath>
            </m:oMathPara>
          </w:p>
        </w:tc>
        <w:tc>
          <w:tcPr>
            <w:tcW w:w="1548" w:type="dxa"/>
            <w:vAlign w:val="center"/>
          </w:tcPr>
          <w:p w14:paraId="286599D6"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01733AF5"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describes the position within the patch. For a separable kernel, the equilibrium traveling pulse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(x) </w:t>
      </w:r>
      <w:r w:rsidRPr="00304882">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7B473D" w:rsidRPr="00304882" w14:paraId="741A8225" w14:textId="77777777" w:rsidTr="00153D1E">
        <w:tc>
          <w:tcPr>
            <w:tcW w:w="8028" w:type="dxa"/>
            <w:vAlign w:val="center"/>
          </w:tcPr>
          <w:p w14:paraId="3CA981CD" w14:textId="77777777" w:rsidR="007B473D" w:rsidRPr="00304882" w:rsidRDefault="007B473D"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oMath>
            </m:oMathPara>
          </w:p>
        </w:tc>
        <w:tc>
          <w:tcPr>
            <w:tcW w:w="1548" w:type="dxa"/>
            <w:vAlign w:val="center"/>
          </w:tcPr>
          <w:p w14:paraId="4DE5632D"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37FFCC9D"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512"/>
      </w:tblGrid>
      <w:tr w:rsidR="007B473D" w:rsidRPr="00304882" w14:paraId="164D22D5" w14:textId="77777777" w:rsidTr="00153D1E">
        <w:tc>
          <w:tcPr>
            <w:tcW w:w="8028" w:type="dxa"/>
            <w:vAlign w:val="center"/>
          </w:tcPr>
          <w:p w14:paraId="6B597095" w14:textId="77777777" w:rsidR="007B473D" w:rsidRPr="00304882" w:rsidRDefault="007B473D"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(y)</m:t>
                    </m:r>
                  </m:e>
                </m:d>
                <m:r>
                  <m:rPr>
                    <m:sty m:val="bi"/>
                  </m:rPr>
                  <w:rPr>
                    <w:rFonts w:ascii="Cambria Math" w:hAnsi="Cambria Math" w:cs="Times New Roman"/>
                    <w:sz w:val="24"/>
                    <w:szCs w:val="24"/>
                  </w:rPr>
                  <m:t>dy</m:t>
                </m:r>
              </m:oMath>
            </m:oMathPara>
          </w:p>
        </w:tc>
        <w:tc>
          <w:tcPr>
            <w:tcW w:w="1548" w:type="dxa"/>
            <w:vAlign w:val="center"/>
          </w:tcPr>
          <w:p w14:paraId="61410441"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283E0A77"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(Latore et al. 1998). We show the derivation of these equations in Appendix B. While there are certainly interesting transient dynamics as the population reaches its equilibrium traveling wave, We focus on equilibrium biomass to make results from different dispersal kernels, parameters, and methods of analysis directly comparable, without the confounding effects of initial conditions and rates of approach to equilibrium.</w:t>
      </w:r>
    </w:p>
    <w:p w14:paraId="6F243CD6" w14:textId="77777777" w:rsidR="007B473D" w:rsidRPr="002674A2" w:rsidRDefault="007B473D" w:rsidP="007B473D">
      <w:pPr>
        <w:pStyle w:val="Caption"/>
        <w:keepNext/>
        <w:spacing w:after="0"/>
        <w:rPr>
          <w:rFonts w:ascii="Times New Roman" w:hAnsi="Times New Roman" w:cs="Times New Roman"/>
          <w:b w:val="0"/>
          <w:color w:val="auto"/>
          <w:sz w:val="24"/>
          <w:szCs w:val="22"/>
        </w:rPr>
      </w:pPr>
      <w:r w:rsidRPr="002674A2">
        <w:rPr>
          <w:rFonts w:ascii="Times New Roman" w:hAnsi="Times New Roman" w:cs="Times New Roman"/>
          <w:color w:val="auto"/>
          <w:sz w:val="24"/>
          <w:szCs w:val="22"/>
        </w:rPr>
        <w:t>Table 1.</w:t>
      </w:r>
      <w:r w:rsidRPr="002674A2">
        <w:rPr>
          <w:rFonts w:ascii="Times New Roman" w:hAnsi="Times New Roman" w:cs="Times New Roman"/>
          <w:b w:val="0"/>
          <w:color w:val="auto"/>
          <w:sz w:val="24"/>
          <w:szCs w:val="22"/>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7B473D" w:rsidRPr="002674A2" w14:paraId="10924A35" w14:textId="77777777" w:rsidTr="00153D1E">
        <w:tc>
          <w:tcPr>
            <w:tcW w:w="1188" w:type="dxa"/>
            <w:tcBorders>
              <w:bottom w:val="single" w:sz="4" w:space="0" w:color="auto"/>
            </w:tcBorders>
          </w:tcPr>
          <w:p w14:paraId="5C3ED421" w14:textId="77777777" w:rsidR="007B473D" w:rsidRPr="002674A2" w:rsidRDefault="007B473D" w:rsidP="00153D1E">
            <w:pPr>
              <w:rPr>
                <w:rFonts w:ascii="Times New Roman" w:hAnsi="Times New Roman" w:cs="Times New Roman"/>
                <w:sz w:val="24"/>
              </w:rPr>
            </w:pPr>
            <w:r w:rsidRPr="002674A2">
              <w:rPr>
                <w:rFonts w:ascii="Times New Roman" w:hAnsi="Times New Roman" w:cs="Times New Roman"/>
                <w:sz w:val="24"/>
              </w:rPr>
              <w:t>Variable</w:t>
            </w:r>
          </w:p>
        </w:tc>
        <w:tc>
          <w:tcPr>
            <w:tcW w:w="8388" w:type="dxa"/>
            <w:tcBorders>
              <w:bottom w:val="single" w:sz="4" w:space="0" w:color="auto"/>
            </w:tcBorders>
          </w:tcPr>
          <w:p w14:paraId="715CCF86" w14:textId="77777777" w:rsidR="007B473D" w:rsidRPr="002674A2" w:rsidRDefault="007B473D" w:rsidP="00153D1E">
            <w:pPr>
              <w:rPr>
                <w:rFonts w:ascii="Times New Roman" w:hAnsi="Times New Roman" w:cs="Times New Roman"/>
                <w:sz w:val="24"/>
              </w:rPr>
            </w:pPr>
            <w:r w:rsidRPr="002674A2">
              <w:rPr>
                <w:rFonts w:ascii="Times New Roman" w:hAnsi="Times New Roman" w:cs="Times New Roman"/>
                <w:sz w:val="24"/>
              </w:rPr>
              <w:t>Definition</w:t>
            </w:r>
          </w:p>
        </w:tc>
      </w:tr>
      <w:tr w:rsidR="007B473D" w:rsidRPr="002674A2" w14:paraId="0B41BD16" w14:textId="77777777" w:rsidTr="00153D1E">
        <w:tc>
          <w:tcPr>
            <w:tcW w:w="1188" w:type="dxa"/>
            <w:tcBorders>
              <w:top w:val="single" w:sz="4" w:space="0" w:color="auto"/>
            </w:tcBorders>
          </w:tcPr>
          <w:p w14:paraId="573596EA"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bscript"/>
              </w:rPr>
              <w:t>t</w:t>
            </w:r>
            <w:r w:rsidRPr="002674A2">
              <w:rPr>
                <w:rFonts w:ascii="Times New Roman" w:hAnsi="Times New Roman" w:cs="Times New Roman"/>
                <w:b w:val="0"/>
                <w:i/>
                <w:sz w:val="24"/>
              </w:rPr>
              <w:t>(x)</w:t>
            </w:r>
          </w:p>
        </w:tc>
        <w:tc>
          <w:tcPr>
            <w:tcW w:w="8388" w:type="dxa"/>
            <w:tcBorders>
              <w:top w:val="single" w:sz="4" w:space="0" w:color="auto"/>
            </w:tcBorders>
          </w:tcPr>
          <w:p w14:paraId="3DEB69AC"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density of individuals at position </w:t>
            </w:r>
            <w:r w:rsidRPr="002674A2">
              <w:rPr>
                <w:rFonts w:ascii="Times New Roman" w:hAnsi="Times New Roman" w:cs="Times New Roman"/>
                <w:b w:val="0"/>
                <w:i/>
                <w:sz w:val="24"/>
              </w:rPr>
              <w:t>x</w:t>
            </w:r>
            <w:r w:rsidRPr="002674A2">
              <w:rPr>
                <w:rFonts w:ascii="Times New Roman" w:hAnsi="Times New Roman" w:cs="Times New Roman"/>
                <w:b w:val="0"/>
                <w:sz w:val="24"/>
              </w:rPr>
              <w:t xml:space="preserve"> at time </w:t>
            </w:r>
            <w:r w:rsidRPr="002674A2">
              <w:rPr>
                <w:rFonts w:ascii="Times New Roman" w:hAnsi="Times New Roman" w:cs="Times New Roman"/>
                <w:b w:val="0"/>
                <w:i/>
                <w:sz w:val="24"/>
              </w:rPr>
              <w:t>t</w:t>
            </w:r>
          </w:p>
        </w:tc>
      </w:tr>
      <w:tr w:rsidR="007B473D" w:rsidRPr="002674A2" w14:paraId="0D3D77FF" w14:textId="77777777" w:rsidTr="00153D1E">
        <w:tc>
          <w:tcPr>
            <w:tcW w:w="1188" w:type="dxa"/>
          </w:tcPr>
          <w:p w14:paraId="73FFA10C"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perscript"/>
              </w:rPr>
              <w:t>*</w:t>
            </w:r>
            <m:oMath>
              <m:r>
                <m:rPr>
                  <m:sty m:val="bi"/>
                </m:rPr>
                <w:rPr>
                  <w:rFonts w:ascii="Cambria Math" w:hAnsi="Cambria Math" w:cs="Times New Roman"/>
                  <w:sz w:val="24"/>
                </w:rPr>
                <m:t>(</m:t>
              </m:r>
              <m:bar>
                <m:barPr>
                  <m:pos m:val="top"/>
                  <m:ctrlPr>
                    <w:rPr>
                      <w:rFonts w:ascii="Cambria Math" w:hAnsi="Cambria Math" w:cs="Times New Roman"/>
                      <w:b w:val="0"/>
                      <w:sz w:val="24"/>
                    </w:rPr>
                  </m:ctrlPr>
                </m:barPr>
                <m:e>
                  <m:r>
                    <m:rPr>
                      <m:sty m:val="bi"/>
                    </m:rPr>
                    <w:rPr>
                      <w:rFonts w:ascii="Cambria Math" w:hAnsi="Cambria Math" w:cs="Times New Roman"/>
                      <w:sz w:val="24"/>
                    </w:rPr>
                    <m:t>x</m:t>
                  </m:r>
                </m:e>
              </m:bar>
              <m:r>
                <m:rPr>
                  <m:sty m:val="bi"/>
                </m:rPr>
                <w:rPr>
                  <w:rFonts w:ascii="Cambria Math" w:hAnsi="Cambria Math" w:cs="Times New Roman"/>
                  <w:sz w:val="24"/>
                </w:rPr>
                <m:t>)</m:t>
              </m:r>
            </m:oMath>
          </w:p>
        </w:tc>
        <w:tc>
          <w:tcPr>
            <w:tcW w:w="8388" w:type="dxa"/>
          </w:tcPr>
          <w:p w14:paraId="30D24212"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density of individuals at equilibrium at position </w:t>
            </w:r>
            <m:oMath>
              <m:bar>
                <m:barPr>
                  <m:pos m:val="top"/>
                  <m:ctrlPr>
                    <w:rPr>
                      <w:rFonts w:ascii="Cambria Math" w:hAnsi="Cambria Math" w:cs="Times New Roman"/>
                      <w:b w:val="0"/>
                      <w:sz w:val="24"/>
                    </w:rPr>
                  </m:ctrlPr>
                </m:barPr>
                <m:e>
                  <m:r>
                    <m:rPr>
                      <m:sty m:val="bi"/>
                    </m:rPr>
                    <w:rPr>
                      <w:rFonts w:ascii="Cambria Math" w:hAnsi="Cambria Math" w:cs="Times New Roman"/>
                      <w:sz w:val="24"/>
                    </w:rPr>
                    <m:t>x</m:t>
                  </m:r>
                </m:e>
              </m:bar>
            </m:oMath>
            <w:r w:rsidRPr="002674A2">
              <w:rPr>
                <w:rFonts w:ascii="Times New Roman" w:hAnsi="Times New Roman" w:cs="Times New Roman"/>
                <w:b w:val="0"/>
                <w:sz w:val="24"/>
              </w:rPr>
              <w:t xml:space="preserve"> relative to the patch</w:t>
            </w:r>
          </w:p>
        </w:tc>
      </w:tr>
      <w:tr w:rsidR="007B473D" w:rsidRPr="002674A2" w14:paraId="7E137C8F" w14:textId="77777777" w:rsidTr="00153D1E">
        <w:tc>
          <w:tcPr>
            <w:tcW w:w="1188" w:type="dxa"/>
          </w:tcPr>
          <w:p w14:paraId="0A3121BF"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k(x – y)</w:t>
            </w:r>
          </w:p>
        </w:tc>
        <w:tc>
          <w:tcPr>
            <w:tcW w:w="8388" w:type="dxa"/>
          </w:tcPr>
          <w:p w14:paraId="19E84108"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dispersal kernel, the probability of offspring traveling from position </w:t>
            </w:r>
            <w:r w:rsidRPr="002674A2">
              <w:rPr>
                <w:rFonts w:ascii="Times New Roman" w:hAnsi="Times New Roman" w:cs="Times New Roman"/>
                <w:b w:val="0"/>
                <w:i/>
                <w:sz w:val="24"/>
              </w:rPr>
              <w:t>y</w:t>
            </w:r>
            <w:r w:rsidRPr="002674A2">
              <w:rPr>
                <w:rFonts w:ascii="Times New Roman" w:hAnsi="Times New Roman" w:cs="Times New Roman"/>
                <w:b w:val="0"/>
                <w:sz w:val="24"/>
              </w:rPr>
              <w:t xml:space="preserve"> to position </w:t>
            </w:r>
            <w:r w:rsidRPr="002674A2">
              <w:rPr>
                <w:rFonts w:ascii="Times New Roman" w:hAnsi="Times New Roman" w:cs="Times New Roman"/>
                <w:b w:val="0"/>
                <w:i/>
                <w:sz w:val="24"/>
              </w:rPr>
              <w:t>x</w:t>
            </w:r>
          </w:p>
        </w:tc>
      </w:tr>
      <w:tr w:rsidR="007B473D" w:rsidRPr="002674A2" w14:paraId="40DBB9EF" w14:textId="77777777" w:rsidTr="00153D1E">
        <w:tc>
          <w:tcPr>
            <w:tcW w:w="1188" w:type="dxa"/>
          </w:tcPr>
          <w:p w14:paraId="4C9E840B"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sz w:val="24"/>
              </w:rPr>
              <w:sym w:font="Symbol" w:char="F0E1"/>
            </w:r>
            <w:r w:rsidRPr="002674A2">
              <w:rPr>
                <w:rFonts w:ascii="Times New Roman" w:hAnsi="Times New Roman" w:cs="Times New Roman"/>
                <w:b w:val="0"/>
                <w:i/>
                <w:sz w:val="24"/>
              </w:rPr>
              <w:t>d</w:t>
            </w:r>
            <w:r w:rsidRPr="002674A2">
              <w:rPr>
                <w:rFonts w:ascii="Times New Roman" w:hAnsi="Times New Roman" w:cs="Times New Roman"/>
                <w:b w:val="0"/>
                <w:sz w:val="24"/>
              </w:rPr>
              <w:sym w:font="Symbol" w:char="F0F1"/>
            </w:r>
          </w:p>
        </w:tc>
        <w:tc>
          <w:tcPr>
            <w:tcW w:w="8388" w:type="dxa"/>
          </w:tcPr>
          <w:p w14:paraId="783C6AD7"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expected distance traveled by an offspring</w:t>
            </w:r>
          </w:p>
        </w:tc>
      </w:tr>
      <w:tr w:rsidR="007B473D" w:rsidRPr="002674A2" w14:paraId="5331D9E9" w14:textId="77777777" w:rsidTr="00153D1E">
        <w:tc>
          <w:tcPr>
            <w:tcW w:w="1188" w:type="dxa"/>
          </w:tcPr>
          <w:p w14:paraId="4878DB2B"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f(n)</w:t>
            </w:r>
          </w:p>
        </w:tc>
        <w:tc>
          <w:tcPr>
            <w:tcW w:w="8388" w:type="dxa"/>
          </w:tcPr>
          <w:p w14:paraId="5F7CD630"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recruitment function, the number of offspring produced by a population of size </w:t>
            </w:r>
            <w:r w:rsidRPr="002674A2">
              <w:rPr>
                <w:rFonts w:ascii="Times New Roman" w:hAnsi="Times New Roman" w:cs="Times New Roman"/>
                <w:b w:val="0"/>
                <w:i/>
                <w:sz w:val="24"/>
              </w:rPr>
              <w:t>n</w:t>
            </w:r>
          </w:p>
        </w:tc>
      </w:tr>
      <w:tr w:rsidR="007B473D" w:rsidRPr="002674A2" w14:paraId="71182F00" w14:textId="77777777" w:rsidTr="00153D1E">
        <w:tc>
          <w:tcPr>
            <w:tcW w:w="1188" w:type="dxa"/>
          </w:tcPr>
          <w:p w14:paraId="3A819DC1"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R</w:t>
            </w:r>
            <w:r w:rsidRPr="002674A2">
              <w:rPr>
                <w:rFonts w:ascii="Times New Roman" w:hAnsi="Times New Roman" w:cs="Times New Roman"/>
                <w:b w:val="0"/>
                <w:i/>
                <w:sz w:val="24"/>
                <w:vertAlign w:val="subscript"/>
              </w:rPr>
              <w:t>0</w:t>
            </w:r>
          </w:p>
        </w:tc>
        <w:tc>
          <w:tcPr>
            <w:tcW w:w="8388" w:type="dxa"/>
          </w:tcPr>
          <w:p w14:paraId="198DD45A"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intrinsic growth rate of the population at low abundance</w:t>
            </w:r>
          </w:p>
        </w:tc>
      </w:tr>
      <w:tr w:rsidR="007B473D" w:rsidRPr="002674A2" w14:paraId="211DE257" w14:textId="77777777" w:rsidTr="00153D1E">
        <w:trPr>
          <w:trHeight w:val="297"/>
        </w:trPr>
        <w:tc>
          <w:tcPr>
            <w:tcW w:w="1188" w:type="dxa"/>
          </w:tcPr>
          <w:p w14:paraId="47CFF694" w14:textId="77777777" w:rsidR="007B473D" w:rsidRPr="002674A2" w:rsidRDefault="007B473D" w:rsidP="00153D1E">
            <w:pPr>
              <w:jc w:val="center"/>
              <w:rPr>
                <w:rFonts w:ascii="Times New Roman" w:hAnsi="Times New Roman" w:cs="Times New Roman"/>
                <w:b w:val="0"/>
                <w:i/>
                <w:sz w:val="24"/>
              </w:rPr>
            </w:pPr>
            <w:r w:rsidRPr="002674A2">
              <w:rPr>
                <w:rFonts w:ascii="Times New Roman" w:hAnsi="Times New Roman" w:cs="Times New Roman"/>
                <w:b w:val="0"/>
                <w:i/>
                <w:sz w:val="24"/>
              </w:rPr>
              <w:t>K</w:t>
            </w:r>
          </w:p>
        </w:tc>
        <w:tc>
          <w:tcPr>
            <w:tcW w:w="8388" w:type="dxa"/>
          </w:tcPr>
          <w:p w14:paraId="1033750B"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carrying capacity</w:t>
            </w:r>
          </w:p>
        </w:tc>
      </w:tr>
      <w:tr w:rsidR="007B473D" w:rsidRPr="002674A2" w14:paraId="6678ED40" w14:textId="77777777" w:rsidTr="00153D1E">
        <w:tc>
          <w:tcPr>
            <w:tcW w:w="1188" w:type="dxa"/>
          </w:tcPr>
          <w:p w14:paraId="1280F80E" w14:textId="77777777" w:rsidR="007B473D" w:rsidRPr="002674A2" w:rsidRDefault="007B473D" w:rsidP="00153D1E">
            <w:pPr>
              <w:keepNext/>
              <w:keepLines/>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g(n)</w:t>
            </w:r>
          </w:p>
        </w:tc>
        <w:tc>
          <w:tcPr>
            <w:tcW w:w="8388" w:type="dxa"/>
          </w:tcPr>
          <w:p w14:paraId="78B8D965"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harvest function, the number of adults remaining after a population of size </w:t>
            </w:r>
            <w:r w:rsidRPr="002674A2">
              <w:rPr>
                <w:rFonts w:ascii="Times New Roman" w:hAnsi="Times New Roman" w:cs="Times New Roman"/>
                <w:b w:val="0"/>
                <w:i/>
                <w:sz w:val="24"/>
              </w:rPr>
              <w:t xml:space="preserve">n </w:t>
            </w:r>
            <w:r w:rsidRPr="002674A2">
              <w:rPr>
                <w:rFonts w:ascii="Times New Roman" w:hAnsi="Times New Roman" w:cs="Times New Roman"/>
                <w:b w:val="0"/>
                <w:sz w:val="24"/>
              </w:rPr>
              <w:t>has been harvested</w:t>
            </w:r>
          </w:p>
        </w:tc>
      </w:tr>
      <w:tr w:rsidR="007B473D" w:rsidRPr="002674A2" w14:paraId="7FE5E82B" w14:textId="77777777" w:rsidTr="00153D1E">
        <w:tc>
          <w:tcPr>
            <w:tcW w:w="1188" w:type="dxa"/>
          </w:tcPr>
          <w:p w14:paraId="4832B04D" w14:textId="77777777" w:rsidR="007B473D" w:rsidRPr="002674A2" w:rsidRDefault="007B473D" w:rsidP="00153D1E">
            <w:pPr>
              <w:jc w:val="center"/>
              <w:rPr>
                <w:rFonts w:ascii="Times New Roman" w:hAnsi="Times New Roman" w:cs="Times New Roman"/>
                <w:b w:val="0"/>
                <w:i/>
                <w:sz w:val="24"/>
              </w:rPr>
            </w:pPr>
            <w:r w:rsidRPr="002674A2">
              <w:rPr>
                <w:rFonts w:ascii="Times New Roman" w:hAnsi="Times New Roman" w:cs="Times New Roman"/>
                <w:b w:val="0"/>
                <w:i/>
                <w:sz w:val="24"/>
              </w:rPr>
              <w:t>h</w:t>
            </w:r>
          </w:p>
        </w:tc>
        <w:tc>
          <w:tcPr>
            <w:tcW w:w="8388" w:type="dxa"/>
          </w:tcPr>
          <w:p w14:paraId="5BA26412"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proportion of adults harvested, when </w:t>
            </w:r>
            <w:r w:rsidRPr="002674A2">
              <w:rPr>
                <w:rFonts w:ascii="Times New Roman" w:hAnsi="Times New Roman" w:cs="Times New Roman"/>
                <w:b w:val="0"/>
                <w:i/>
                <w:sz w:val="24"/>
              </w:rPr>
              <w:t>g(n) = (1 – h)n</w:t>
            </w:r>
            <m:oMath>
              <m:r>
                <m:rPr>
                  <m:sty m:val="b"/>
                </m:rPr>
                <w:rPr>
                  <w:rFonts w:ascii="Cambria Math" w:hAnsi="Cambria Math" w:cs="Times New Roman"/>
                  <w:color w:val="1A1A1A"/>
                  <w:sz w:val="24"/>
                </w:rPr>
                <m:t> </m:t>
              </m:r>
            </m:oMath>
          </w:p>
        </w:tc>
      </w:tr>
      <w:tr w:rsidR="007B473D" w:rsidRPr="002674A2" w14:paraId="3FEFBA53" w14:textId="77777777" w:rsidTr="00153D1E">
        <w:trPr>
          <w:trHeight w:val="270"/>
        </w:trPr>
        <w:tc>
          <w:tcPr>
            <w:tcW w:w="1188" w:type="dxa"/>
          </w:tcPr>
          <w:p w14:paraId="3208AD76" w14:textId="77777777" w:rsidR="007B473D" w:rsidRPr="002674A2" w:rsidRDefault="007B473D" w:rsidP="00153D1E">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L</w:t>
            </w:r>
          </w:p>
        </w:tc>
        <w:tc>
          <w:tcPr>
            <w:tcW w:w="8388" w:type="dxa"/>
          </w:tcPr>
          <w:p w14:paraId="11F35AD1"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patch length</w:t>
            </w:r>
          </w:p>
        </w:tc>
      </w:tr>
      <w:tr w:rsidR="007B473D" w:rsidRPr="002674A2" w14:paraId="5BA98085" w14:textId="77777777" w:rsidTr="00153D1E">
        <w:tc>
          <w:tcPr>
            <w:tcW w:w="1188" w:type="dxa"/>
          </w:tcPr>
          <w:p w14:paraId="6ACBD70B" w14:textId="77777777" w:rsidR="007B473D" w:rsidRPr="002674A2" w:rsidRDefault="007B473D" w:rsidP="00153D1E">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c</w:t>
            </w:r>
          </w:p>
        </w:tc>
        <w:tc>
          <w:tcPr>
            <w:tcW w:w="8388" w:type="dxa"/>
          </w:tcPr>
          <w:p w14:paraId="2905B97C"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climate velocity in units of distance per generation</w:t>
            </w:r>
          </w:p>
        </w:tc>
      </w:tr>
    </w:tbl>
    <w:p w14:paraId="10B44A2F" w14:textId="77777777" w:rsidR="007B473D" w:rsidRPr="00304882" w:rsidRDefault="007B473D" w:rsidP="007B473D">
      <w:pPr>
        <w:pStyle w:val="Heading1"/>
        <w:spacing w:before="0"/>
        <w:rPr>
          <w:rFonts w:ascii="Times New Roman" w:eastAsiaTheme="minorHAnsi" w:hAnsi="Times New Roman" w:cs="Times New Roman"/>
          <w:bCs w:val="0"/>
          <w:color w:val="auto"/>
          <w:sz w:val="24"/>
          <w:szCs w:val="24"/>
        </w:rPr>
      </w:pPr>
    </w:p>
    <w:p w14:paraId="6F8E94B5" w14:textId="77777777" w:rsidR="007B473D" w:rsidRPr="00304882" w:rsidRDefault="007B473D" w:rsidP="007B473D">
      <w:pPr>
        <w:spacing w:line="480" w:lineRule="auto"/>
        <w:outlineLvl w:val="0"/>
        <w:rPr>
          <w:rFonts w:ascii="Times New Roman" w:hAnsi="Times New Roman" w:cs="Times New Roman"/>
          <w:sz w:val="24"/>
          <w:szCs w:val="24"/>
        </w:rPr>
      </w:pPr>
      <w:bookmarkStart w:id="0" w:name="persistence"/>
      <w:r w:rsidRPr="00304882">
        <w:rPr>
          <w:rFonts w:ascii="Times New Roman" w:hAnsi="Times New Roman" w:cs="Times New Roman"/>
          <w:sz w:val="24"/>
          <w:szCs w:val="24"/>
        </w:rPr>
        <w:t xml:space="preserve">Calculating Persistence </w:t>
      </w:r>
    </w:p>
    <w:bookmarkEnd w:id="0"/>
    <w:p w14:paraId="4BEBE75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m:rPr>
            <m:sty m:val="bi"/>
          </m:rPr>
          <w:rPr>
            <w:rFonts w:ascii="Cambria Math" w:hAnsi="Cambria Math" w:cs="Times New Roman"/>
            <w:sz w:val="24"/>
            <w:szCs w:val="24"/>
          </w:rPr>
          <m:t>x∈</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341659D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4"/>
        <w:gridCol w:w="1506"/>
      </w:tblGrid>
      <w:tr w:rsidR="007B473D" w:rsidRPr="00304882" w14:paraId="2006D853" w14:textId="77777777" w:rsidTr="00153D1E">
        <w:tc>
          <w:tcPr>
            <w:tcW w:w="8028" w:type="dxa"/>
            <w:vAlign w:val="center"/>
          </w:tcPr>
          <w:p w14:paraId="58820651" w14:textId="77777777" w:rsidR="007B473D" w:rsidRPr="00304882" w:rsidRDefault="007B473D"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(1-h)2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e>
                </m:rad>
                <m:r>
                  <m:rPr>
                    <m:sty m:val="b"/>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8</m:t>
                        </m:r>
                        <m:r>
                          <m:rPr>
                            <m:sty m:val="bi"/>
                          </m:rPr>
                          <w:rPr>
                            <w:rFonts w:ascii="Cambria Math" w:hAnsi="Cambria Math" w:cs="Times New Roman"/>
                            <w:sz w:val="24"/>
                            <w:szCs w:val="24"/>
                          </w:rPr>
                          <m:t>D</m:t>
                        </m:r>
                      </m:den>
                    </m:f>
                  </m:e>
                </m:d>
                <m:d>
                  <m:dPr>
                    <m:begChr m:val="["/>
                    <m:endChr m:val="]"/>
                    <m:ctrlPr>
                      <w:rPr>
                        <w:rFonts w:ascii="Cambria Math" w:hAnsi="Cambria Math" w:cs="Times New Roman"/>
                        <w:b w:val="0"/>
                        <w:sz w:val="24"/>
                        <w:szCs w:val="24"/>
                      </w:rPr>
                    </m:ctrlPr>
                  </m:dPr>
                  <m:e>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r>
                      <m:rPr>
                        <m:sty m:val="bi"/>
                      </m:rPr>
                      <w:rPr>
                        <w:rFonts w:ascii="Cambria Math" w:hAnsi="Cambria Math" w:cs="Times New Roman"/>
                        <w:sz w:val="24"/>
                        <w:szCs w:val="24"/>
                      </w:rPr>
                      <m:t>-</m:t>
                    </m:r>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r>
                                  <m:rPr>
                                    <m:sty m:val="bi"/>
                                  </m:rPr>
                                  <w:rPr>
                                    <w:rFonts w:ascii="Cambria Math" w:hAnsi="Cambria Math" w:cs="Times New Roman"/>
                                    <w:sz w:val="24"/>
                                    <w:szCs w:val="24"/>
                                  </w:rPr>
                                  <m:t>D</m:t>
                                </m:r>
                              </m:e>
                            </m:rad>
                          </m:den>
                        </m:f>
                      </m:e>
                    </m:d>
                  </m:e>
                </m:d>
                <m:r>
                  <m:rPr>
                    <m:sty m:val="bi"/>
                  </m:rPr>
                  <w:rPr>
                    <w:rFonts w:ascii="Cambria Math" w:hAnsi="Cambria Math" w:cs="Times New Roman"/>
                    <w:sz w:val="24"/>
                    <w:szCs w:val="24"/>
                  </w:rPr>
                  <m:t>=1.</m:t>
                </m:r>
              </m:oMath>
            </m:oMathPara>
          </w:p>
        </w:tc>
        <w:tc>
          <w:tcPr>
            <w:tcW w:w="1548" w:type="dxa"/>
            <w:vAlign w:val="center"/>
          </w:tcPr>
          <w:p w14:paraId="0F393083"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(7)</w:t>
            </w:r>
          </w:p>
        </w:tc>
      </w:tr>
    </w:tbl>
    <w:p w14:paraId="41A5AD9C" w14:textId="77777777" w:rsidR="007B473D" w:rsidRPr="00304882" w:rsidRDefault="007B473D" w:rsidP="007B473D">
      <w:pPr>
        <w:spacing w:line="480" w:lineRule="auto"/>
        <w:rPr>
          <w:rFonts w:ascii="Times New Roman" w:hAnsi="Times New Roman" w:cs="Times New Roman"/>
          <w:b w:val="0"/>
          <w:sz w:val="24"/>
          <w:szCs w:val="24"/>
        </w:rPr>
      </w:pPr>
    </w:p>
    <w:p w14:paraId="0C022220"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We derive a similar expression for a sinusoidal kernel in the Appendix D. We realize that this formula is not straightforward to interpret. For both Gaussian and sinusoidal kernels, however, 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7B473D" w:rsidRPr="00304882" w14:paraId="6D900CB2" w14:textId="77777777" w:rsidTr="00153D1E">
        <w:tc>
          <w:tcPr>
            <w:tcW w:w="8028" w:type="dxa"/>
            <w:vAlign w:val="center"/>
          </w:tcPr>
          <w:p w14:paraId="48E3E10B" w14:textId="77777777" w:rsidR="007B473D" w:rsidRPr="00304882" w:rsidRDefault="007B473D"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h</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∼1-</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den>
                </m:f>
                <m:r>
                  <m:rPr>
                    <m:sty m:val="bi"/>
                  </m:rPr>
                  <w:rPr>
                    <w:rFonts w:ascii="Cambria Math" w:hAnsi="Cambria Math" w:cs="Times New Roman"/>
                    <w:sz w:val="24"/>
                    <w:szCs w:val="24"/>
                  </w:rPr>
                  <m:t>⋅p(L,</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)q(⟨d⟩,</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+3</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1548" w:type="dxa"/>
            <w:vAlign w:val="center"/>
          </w:tcPr>
          <w:p w14:paraId="693D3E68"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(8)</w:t>
            </w:r>
          </w:p>
        </w:tc>
      </w:tr>
    </w:tbl>
    <w:p w14:paraId="4A43FE9A" w14:textId="77777777" w:rsidR="007B473D" w:rsidRPr="00304882" w:rsidRDefault="007B473D" w:rsidP="007B473D">
      <w:pPr>
        <w:spacing w:line="480" w:lineRule="auto"/>
        <w:rPr>
          <w:rFonts w:ascii="Times New Roman" w:hAnsi="Times New Roman" w:cs="Times New Roman"/>
          <w:b w:val="0"/>
          <w:sz w:val="24"/>
          <w:szCs w:val="24"/>
        </w:rPr>
      </w:pPr>
    </w:p>
    <w:p w14:paraId="2D8B3030"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4FC47DE6" w14:textId="77777777" w:rsidR="007B473D" w:rsidRPr="00304882" w:rsidRDefault="007B473D" w:rsidP="007B473D">
      <w:pPr>
        <w:spacing w:line="480" w:lineRule="auto"/>
        <w:rPr>
          <w:rFonts w:ascii="Times New Roman" w:hAnsi="Times New Roman" w:cs="Times New Roman"/>
          <w:b w:val="0"/>
          <w:sz w:val="24"/>
          <w:szCs w:val="24"/>
        </w:rPr>
      </w:pPr>
      <w:bookmarkStart w:id="1" w:name="calculating-synergy"/>
    </w:p>
    <w:p w14:paraId="401EBFF0"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1"/>
    <w:p w14:paraId="76B63CC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identify interactions between climate velocity and harvest in two ways. The first and simplest way is to see if there is an interaction between the critical rate of one stressor and the magnitude of the other stressor. We identify such an interaction if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 xml:space="preserve">* </w:t>
      </w:r>
      <w:r w:rsidRPr="00304882">
        <w:rPr>
          <w:rFonts w:ascii="Times New Roman" w:hAnsi="Times New Roman" w:cs="Times New Roman"/>
          <w:b w:val="0"/>
          <w:sz w:val="24"/>
          <w:szCs w:val="24"/>
        </w:rPr>
        <w:t xml:space="preserve">depends on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or if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depends on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48471315"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use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to denote the equilibrium biomass without either stressor,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 xml:space="preserve">h </w:t>
      </w:r>
      <w:r w:rsidRPr="00304882">
        <w:rPr>
          <w:rFonts w:ascii="Times New Roman" w:hAnsi="Times New Roman" w:cs="Times New Roman"/>
          <w:b w:val="0"/>
          <w:sz w:val="24"/>
          <w:szCs w:val="24"/>
        </w:rPr>
        <w:t xml:space="preserve">the equilibrium biomass with harvesting but with climate velocity equal to 0,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the equilibrium biomass with climate velocity greater than 0 but no harvesting, and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the equilibrium biomass with both stressors. For each stressor or combination of stressors, we calculate the decline in biomass caused by stressor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gridCol w:w="1521"/>
      </w:tblGrid>
      <w:tr w:rsidR="007B473D" w:rsidRPr="00304882" w14:paraId="7C2C7179" w14:textId="77777777" w:rsidTr="00153D1E">
        <w:tc>
          <w:tcPr>
            <w:tcW w:w="8028" w:type="dxa"/>
            <w:vAlign w:val="center"/>
          </w:tcPr>
          <w:p w14:paraId="69B3F6A6" w14:textId="77777777" w:rsidR="007B473D" w:rsidRPr="00304882" w:rsidRDefault="007B473D"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oMath>
            </m:oMathPara>
          </w:p>
        </w:tc>
        <w:tc>
          <w:tcPr>
            <w:tcW w:w="1548" w:type="dxa"/>
            <w:vAlign w:val="center"/>
          </w:tcPr>
          <w:p w14:paraId="380A3F55"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(9)</w:t>
            </w:r>
          </w:p>
        </w:tc>
      </w:tr>
    </w:tbl>
    <w:p w14:paraId="500A27BE" w14:textId="77777777" w:rsidR="007B473D" w:rsidRPr="00304882" w:rsidRDefault="007B473D" w:rsidP="007B473D">
      <w:pPr>
        <w:spacing w:line="480" w:lineRule="auto"/>
        <w:rPr>
          <w:rFonts w:ascii="Times New Roman" w:hAnsi="Times New Roman" w:cs="Times New Roman"/>
          <w:b w:val="0"/>
          <w:sz w:val="24"/>
          <w:szCs w:val="24"/>
        </w:rPr>
      </w:pPr>
    </w:p>
    <w:p w14:paraId="30A3765F"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7"/>
        <w:gridCol w:w="1523"/>
      </w:tblGrid>
      <w:tr w:rsidR="007B473D" w:rsidRPr="00304882" w14:paraId="530B04A4" w14:textId="77777777" w:rsidTr="00153D1E">
        <w:tc>
          <w:tcPr>
            <w:tcW w:w="8028" w:type="dxa"/>
            <w:vAlign w:val="center"/>
          </w:tcPr>
          <w:p w14:paraId="0A00E5E5" w14:textId="77777777" w:rsidR="007B473D" w:rsidRPr="00304882" w:rsidRDefault="007B473D"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S=</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hc</m:t>
                    </m:r>
                  </m:sub>
                </m:sSub>
                <m:r>
                  <m:rPr>
                    <m:sty m:val="bi"/>
                  </m:rP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c</m:t>
                        </m:r>
                      </m:sub>
                    </m:sSub>
                  </m:e>
                </m:d>
                <m:r>
                  <m:rPr>
                    <m:sty m:val="bi"/>
                  </m:rPr>
                  <w:rPr>
                    <w:rFonts w:ascii="Cambria Math" w:hAnsi="Cambria Math" w:cs="Times New Roman"/>
                    <w:sz w:val="24"/>
                    <w:szCs w:val="24"/>
                  </w:rPr>
                  <m:t>.</m:t>
                </m:r>
              </m:oMath>
            </m:oMathPara>
          </w:p>
        </w:tc>
        <w:tc>
          <w:tcPr>
            <w:tcW w:w="1548" w:type="dxa"/>
            <w:vAlign w:val="center"/>
          </w:tcPr>
          <w:p w14:paraId="5F802B53"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(10)</w:t>
            </w:r>
          </w:p>
        </w:tc>
      </w:tr>
    </w:tbl>
    <w:p w14:paraId="68BDDA39"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positive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synergy, negative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though an alternative approach would be to use the ratio of affected to unaffected biomass as a measure of effect size (multiplicative model) or to consider the effect of the single worst stressor (simple comparative effects model) (Crain et al. 2008, Folt et al. 1999). The additive model we use here is the most conservative when quantifying negative effects, meaning that it is less likely to identify synergistic interactions (Crain et al. 2008, Folt et al. 1999). </w:t>
      </w:r>
    </w:p>
    <w:p w14:paraId="5669A3F5" w14:textId="77777777" w:rsidR="007B473D" w:rsidRPr="00304882" w:rsidRDefault="007B473D" w:rsidP="007B473D">
      <w:pPr>
        <w:spacing w:line="480" w:lineRule="auto"/>
        <w:rPr>
          <w:rFonts w:ascii="Times New Roman" w:hAnsi="Times New Roman" w:cs="Times New Roman"/>
          <w:b w:val="0"/>
          <w:sz w:val="24"/>
          <w:szCs w:val="24"/>
        </w:rPr>
      </w:pPr>
      <w:bookmarkStart w:id="2" w:name="simulations"/>
    </w:p>
    <w:p w14:paraId="2DC3D362"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2"/>
    <w:p w14:paraId="4C912739"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use simulations to implement two management strategies (threshold harvesting rules and protected areas) that make our basic integrodifference model analytically intractable. We also take advantage of the increased flexibility of simulations over mathematical analysis to use the Laplace dispersal kernel, </w:t>
      </w:r>
      <m:oMath>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r>
          <m:rPr>
            <m:sty m:val="bi"/>
          </m:rPr>
          <w:rPr>
            <w:rFonts w:ascii="Cambria Math" w:hAnsi="Cambria Math" w:cs="Times New Roman"/>
            <w:sz w:val="24"/>
            <w:szCs w:val="24"/>
          </w:rPr>
          <m:t xml:space="preserve">= </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b</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x-y</m:t>
                </m:r>
              </m:e>
            </m:d>
          </m:sup>
        </m:sSup>
        <m:r>
          <m:rPr>
            <m:sty m:val="bi"/>
          </m:rPr>
          <w:rPr>
            <w:rFonts w:ascii="Cambria Math" w:hAnsi="Cambria Math" w:cs="Times New Roman"/>
            <w:sz w:val="24"/>
            <w:szCs w:val="24"/>
          </w:rPr>
          <m:t>,</m:t>
        </m:r>
      </m:oMath>
      <w:r w:rsidRPr="00304882">
        <w:rPr>
          <w:rFonts w:ascii="Times New Roman" w:hAnsi="Times New Roman" w:cs="Times New Roman"/>
          <w:b w:val="0"/>
          <w:sz w:val="24"/>
          <w:szCs w:val="24"/>
        </w:rPr>
        <w:t xml:space="preserve"> a commonly used model of marine larval dispersal (Botsford et al. 2001) that is not amenable to the analytical methods we use above. This allows us to show that our results are not qualitatively dependent on our choice of dispersal kernel. </w:t>
      </w:r>
    </w:p>
    <w:p w14:paraId="779AA0A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Under threshold harvesting rules, harvesting pressure is no longer implemented as a proportional removal from the population. Instead, we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0211220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 addition, we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seek to protect entire ecosystems and reduce adult spillover by creating fewer, larger protected areas (Toonen et al. 2013). To mimic this scheme, we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8 times the average dispersal distance between them (Lockwood et al. 2002). In both harvest-oriented and conservation-oriented protected area networks, 1/3 of the coastline is protected. With protected areas present, we test two ways in which harvesting pressure could respond to reserves: either total harvesting is reduced to 2/3 of what it would be without reserves (i.e., harvest effort in reserves is eliminated), or harvesting is shifted to available, unprotected habitat such that total harvesting pressure remains constant (i.e., harvest effort is displaced). </w:t>
      </w:r>
    </w:p>
    <w:p w14:paraId="6653ED0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For every simulation, we seed the model with 50 individuals at a single location and iterate for 2000 generations to reach equilibrium without harvesting or climate shift (more than sufficient based on initial tests). we then add harvesting pressure, allow the population to again reach equilibrium (2000 generations), and finally add a changing climate by moving the viable patch with a certain velocity. After 6000 generations we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We find qualitatively similar results with shorter simulation times.</w:t>
      </w:r>
    </w:p>
    <w:p w14:paraId="3CB8974F" w14:textId="77777777" w:rsidR="007B473D" w:rsidRPr="00304882" w:rsidRDefault="007B473D" w:rsidP="007B473D">
      <w:pPr>
        <w:spacing w:line="480" w:lineRule="auto"/>
        <w:rPr>
          <w:rFonts w:ascii="Times New Roman" w:hAnsi="Times New Roman" w:cs="Times New Roman"/>
          <w:b w:val="0"/>
          <w:sz w:val="24"/>
          <w:szCs w:val="24"/>
        </w:rPr>
      </w:pPr>
    </w:p>
    <w:p w14:paraId="10918EEA"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3B2458FC"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We used marine protected areas with length and spacing representative of the reserves put in place by California’s Marine Life Protection Act (20 km wide, spaced 76 km apart) (Gaines et al. 2010a).  For the black rockfish example, we tested climate velocities from 0 to 200 km/decade, which was the upper limit observed globally (Burrows et al. 2011). See Appendix F and Table S1 for additional parameter details. While our results depend quantitatively on the parameters of the model, our results are qualitatively robust and we chose a representative set of parameters to analyze.</w:t>
      </w:r>
    </w:p>
    <w:p w14:paraId="7C769B4D" w14:textId="77777777" w:rsidR="007B473D" w:rsidRPr="00304882" w:rsidRDefault="007B473D" w:rsidP="007B473D">
      <w:pPr>
        <w:spacing w:line="480" w:lineRule="auto"/>
        <w:rPr>
          <w:rFonts w:ascii="Times New Roman" w:hAnsi="Times New Roman" w:cs="Times New Roman"/>
          <w:sz w:val="24"/>
          <w:szCs w:val="24"/>
        </w:rPr>
      </w:pPr>
    </w:p>
    <w:p w14:paraId="6D30DE6B"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06D19C0C" w14:textId="77777777" w:rsidR="007B473D" w:rsidRPr="00304882" w:rsidRDefault="007B473D" w:rsidP="007B473D">
      <w:pPr>
        <w:spacing w:line="480" w:lineRule="auto"/>
        <w:outlineLvl w:val="0"/>
        <w:rPr>
          <w:rFonts w:ascii="Times New Roman" w:hAnsi="Times New Roman" w:cs="Times New Roman"/>
          <w:sz w:val="24"/>
          <w:szCs w:val="24"/>
        </w:rPr>
      </w:pPr>
      <w:bookmarkStart w:id="3" w:name="interactions-between-stressors"/>
      <w:r w:rsidRPr="00304882">
        <w:rPr>
          <w:rFonts w:ascii="Times New Roman" w:hAnsi="Times New Roman" w:cs="Times New Roman"/>
          <w:sz w:val="24"/>
          <w:szCs w:val="24"/>
        </w:rPr>
        <w:t>Persistence with Harvesting and Climate Velocity</w:t>
      </w:r>
    </w:p>
    <w:bookmarkEnd w:id="3"/>
    <w:p w14:paraId="325C1E8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 begin by examining the critical rates of harvesting and climate velocity, i.e., those rates sufficient to drive the population extinct. As one might expect, we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near zero) may no longer be sustainable if the environment begins to change rapidly (c &gt;&gt; zero). We also found this negative relationship when we parameterized the model for black rockfish (Appendix G, Figure S2). </w:t>
      </w:r>
    </w:p>
    <w:p w14:paraId="130AD970" w14:textId="77777777" w:rsidR="007B473D" w:rsidRPr="00304882" w:rsidRDefault="007B473D" w:rsidP="007B473D">
      <w:pPr>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2B64B5A" wp14:editId="66759682">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2244555D" w14:textId="77777777" w:rsidR="007B473D" w:rsidRPr="00852580" w:rsidRDefault="007B473D" w:rsidP="007B473D">
      <w:pPr>
        <w:rPr>
          <w:rFonts w:ascii="Times New Roman" w:hAnsi="Times New Roman" w:cs="Times New Roman"/>
          <w:b w:val="0"/>
          <w:sz w:val="24"/>
          <w:szCs w:val="24"/>
        </w:rPr>
      </w:pPr>
      <w:r w:rsidRPr="00852580">
        <w:rPr>
          <w:rFonts w:ascii="Times New Roman" w:hAnsi="Times New Roman" w:cs="Times New Roman"/>
          <w:sz w:val="24"/>
          <w:szCs w:val="24"/>
        </w:rPr>
        <w:t>Figure 1.</w:t>
      </w:r>
      <w:r w:rsidRPr="00852580">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m:rPr>
            <m:sty m:val="bi"/>
          </m:rPr>
          <w:rPr>
            <w:rFonts w:ascii="Cambria Math" w:hAnsi="Cambria Math" w:cs="Times New Roman"/>
            <w:sz w:val="24"/>
            <w:szCs w:val="24"/>
          </w:rPr>
          <m:t>L=1</m:t>
        </m:r>
      </m:oMath>
      <w:r w:rsidRPr="00852580">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852580">
        <w:rPr>
          <w:rFonts w:ascii="Times New Roman" w:hAnsi="Times New Roman" w:cs="Times New Roman"/>
          <w:b w:val="0"/>
          <w:sz w:val="24"/>
          <w:szCs w:val="24"/>
        </w:rPr>
        <w:t xml:space="preserve">. </w:t>
      </w:r>
    </w:p>
    <w:p w14:paraId="328B82B0" w14:textId="77777777" w:rsidR="007B473D" w:rsidRDefault="007B473D" w:rsidP="007B473D">
      <w:pPr>
        <w:spacing w:line="480" w:lineRule="auto"/>
        <w:ind w:firstLine="720"/>
        <w:rPr>
          <w:rFonts w:ascii="Times New Roman" w:hAnsi="Times New Roman" w:cs="Times New Roman"/>
          <w:b w:val="0"/>
          <w:sz w:val="24"/>
          <w:szCs w:val="24"/>
        </w:rPr>
      </w:pPr>
    </w:p>
    <w:p w14:paraId="2D2172B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 also examine the sensitivity of critical rates to growth and dispersal. In our model, it is always the case that increasing the intrinsic growth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all else being equal, will increase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critical harvesting rate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773B2CC6" w14:textId="77777777" w:rsidR="007B473D" w:rsidRPr="00304882" w:rsidRDefault="007B473D" w:rsidP="007B473D">
      <w:pPr>
        <w:spacing w:line="480" w:lineRule="auto"/>
        <w:rPr>
          <w:rFonts w:ascii="Times New Roman" w:hAnsi="Times New Roman" w:cs="Times New Roman"/>
          <w:caps/>
          <w:sz w:val="24"/>
          <w:szCs w:val="24"/>
        </w:rPr>
      </w:pPr>
    </w:p>
    <w:p w14:paraId="343194A7"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D2093B8"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We found the same results when we parameterized the model for black rockfish (Figure S2).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15CFFDDF" w14:textId="77777777" w:rsidR="007B473D" w:rsidRPr="00304882" w:rsidRDefault="007B473D" w:rsidP="007B473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81BD8C3" wp14:editId="6F577B04">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674B0995" w14:textId="77777777" w:rsidR="007B473D" w:rsidRPr="00304882" w:rsidRDefault="007B473D" w:rsidP="007B473D">
      <w:pPr>
        <w:rPr>
          <w:rFonts w:ascii="Times New Roman" w:hAnsi="Times New Roman" w:cs="Times New Roman"/>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The excess loss, on the order of </w:t>
      </w:r>
      <m:oMath>
        <m:r>
          <m:rPr>
            <m:sty m:val="bi"/>
          </m:rPr>
          <w:rPr>
            <w:rFonts w:ascii="Cambria Math" w:hAnsi="Cambria Math" w:cs="Times New Roman"/>
            <w:sz w:val="24"/>
            <w:szCs w:val="24"/>
          </w:rPr>
          <m:t>0.001</m:t>
        </m:r>
      </m:oMath>
      <w:r w:rsidRPr="00304882">
        <w:rPr>
          <w:rFonts w:ascii="Times New Roman" w:hAnsi="Times New Roman" w:cs="Times New Roman"/>
          <w:b w:val="0"/>
          <w:sz w:val="24"/>
          <w:szCs w:val="24"/>
        </w:rPr>
        <w:t xml:space="preserve">, is small in comparison to the total biomass, which can be as large as </w:t>
      </w:r>
      <m:oMath>
        <m:r>
          <m:rPr>
            <m:sty m:val="bi"/>
          </m:rPr>
          <w:rPr>
            <w:rFonts w:ascii="Cambria Math" w:hAnsi="Cambria Math" w:cs="Times New Roman"/>
            <w:sz w:val="24"/>
            <w:szCs w:val="24"/>
          </w:rPr>
          <m:t>20</m:t>
        </m:r>
      </m:oMath>
      <w:r w:rsidRPr="00304882">
        <w:rPr>
          <w:rFonts w:ascii="Times New Roman" w:hAnsi="Times New Roman" w:cs="Times New Roman"/>
          <w:b w:val="0"/>
          <w:sz w:val="24"/>
          <w:szCs w:val="24"/>
        </w:rPr>
        <w:t xml:space="preserve">. These results are from an approximated Gaussian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=10</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⟨d⟩=0.5</m:t>
        </m:r>
      </m:oMath>
      <w:r w:rsidRPr="00304882">
        <w:rPr>
          <w:rFonts w:ascii="Times New Roman" w:hAnsi="Times New Roman" w:cs="Times New Roman"/>
          <w:b w:val="0"/>
          <w:sz w:val="24"/>
          <w:szCs w:val="24"/>
        </w:rPr>
        <w:t>.</w:t>
      </w:r>
    </w:p>
    <w:p w14:paraId="44BB9476" w14:textId="77777777" w:rsidR="007B473D" w:rsidRPr="00304882" w:rsidRDefault="007B473D" w:rsidP="007B473D">
      <w:pPr>
        <w:ind w:firstLine="720"/>
        <w:rPr>
          <w:rFonts w:ascii="Times New Roman" w:hAnsi="Times New Roman" w:cs="Times New Roman"/>
          <w:b w:val="0"/>
          <w:sz w:val="24"/>
          <w:szCs w:val="24"/>
        </w:rPr>
      </w:pPr>
    </w:p>
    <w:p w14:paraId="6B3B4BF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When we compare the cumulative impacts of the stressors to the sum of each stressor individually, we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We note that results are robust to changes from a Gaussian to a sinusoidal dispersal kernel.</w:t>
      </w:r>
    </w:p>
    <w:p w14:paraId="5CDDCEB8" w14:textId="77777777" w:rsidR="007B473D" w:rsidRPr="00304882" w:rsidRDefault="007B473D" w:rsidP="007B473D">
      <w:pPr>
        <w:spacing w:line="480" w:lineRule="auto"/>
        <w:rPr>
          <w:rFonts w:ascii="Times New Roman" w:hAnsi="Times New Roman" w:cs="Times New Roman"/>
          <w:caps/>
          <w:sz w:val="24"/>
          <w:szCs w:val="24"/>
        </w:rPr>
      </w:pPr>
      <w:bookmarkStart w:id="4" w:name="management-strategies"/>
    </w:p>
    <w:p w14:paraId="44504515"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4"/>
    <w:p w14:paraId="5677011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0,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E7257C7" w14:textId="77777777" w:rsidR="007B473D" w:rsidRPr="00304882" w:rsidRDefault="007B473D" w:rsidP="007B473D">
      <w:pPr>
        <w:rPr>
          <w:rFonts w:ascii="Times New Roman" w:hAnsi="Times New Roman" w:cs="Times New Roman"/>
          <w:b w:val="0"/>
          <w:sz w:val="24"/>
          <w:szCs w:val="24"/>
        </w:rPr>
      </w:pPr>
    </w:p>
    <w:p w14:paraId="739E4781" w14:textId="77777777" w:rsidR="007B473D" w:rsidRPr="00304882" w:rsidRDefault="007B473D" w:rsidP="007B473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0A1741EA" wp14:editId="3948726B">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1A2A1461" w14:textId="77777777" w:rsidR="007B473D" w:rsidRPr="00304882"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parameters </w:t>
      </w:r>
      <m:oMath>
        <m:r>
          <m:rPr>
            <m:sty m:val="bi"/>
          </m:rPr>
          <w:rPr>
            <w:rFonts w:ascii="Cambria Math" w:hAnsi="Cambria Math" w:cs="Times New Roman"/>
            <w:sz w:val="24"/>
            <w:szCs w:val="24"/>
          </w:rPr>
          <m:t>L=1</m:t>
        </m:r>
      </m:oMath>
      <w:r w:rsidRPr="00304882">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=5</m:t>
        </m:r>
      </m:oMath>
      <w:r w:rsidRPr="00304882">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304882">
        <w:rPr>
          <w:rFonts w:ascii="Times New Roman" w:hAnsi="Times New Roman" w:cs="Times New Roman"/>
          <w:b w:val="0"/>
          <w:sz w:val="24"/>
          <w:szCs w:val="24"/>
        </w:rPr>
        <w:t xml:space="preserve">, and </w:t>
      </w:r>
      <m:oMath>
        <m:r>
          <m:rPr>
            <m:sty m:val="bi"/>
          </m:rPr>
          <w:rPr>
            <w:rFonts w:ascii="Cambria Math" w:hAnsi="Cambria Math" w:cs="Times New Roman"/>
            <w:sz w:val="24"/>
            <w:szCs w:val="24"/>
          </w:rPr>
          <m:t>⟨d⟩=2</m:t>
        </m:r>
      </m:oMath>
    </w:p>
    <w:p w14:paraId="5B5C9219" w14:textId="77777777" w:rsidR="007B473D" w:rsidRPr="00304882" w:rsidRDefault="007B473D" w:rsidP="007B473D">
      <w:pPr>
        <w:spacing w:line="480" w:lineRule="auto"/>
        <w:ind w:firstLine="720"/>
        <w:rPr>
          <w:rFonts w:ascii="Times New Roman" w:hAnsi="Times New Roman" w:cs="Times New Roman"/>
          <w:b w:val="0"/>
          <w:sz w:val="24"/>
          <w:szCs w:val="24"/>
        </w:rPr>
      </w:pPr>
    </w:p>
    <w:p w14:paraId="095DA02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S1). </w:t>
      </w:r>
    </w:p>
    <w:p w14:paraId="67D5AE3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F and Figure S4 for details).</w:t>
      </w:r>
    </w:p>
    <w:p w14:paraId="0B886638" w14:textId="77777777" w:rsidR="007B473D" w:rsidRPr="00304882" w:rsidRDefault="007B473D" w:rsidP="007B473D">
      <w:pPr>
        <w:spacing w:line="480" w:lineRule="auto"/>
        <w:rPr>
          <w:rFonts w:ascii="Times New Roman" w:hAnsi="Times New Roman" w:cs="Times New Roman"/>
          <w:b w:val="0"/>
          <w:sz w:val="24"/>
          <w:szCs w:val="24"/>
        </w:rPr>
      </w:pPr>
    </w:p>
    <w:p w14:paraId="0AC632B6"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709424B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We then find that climate velocity and harvesting interact essentially additively in their effects on biomass for most combinations of stressor levels, with weak synergy only appearing close to population extinction. </w:t>
      </w:r>
    </w:p>
    <w:p w14:paraId="7E516DF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 quickly in response to warming (Angert et al. 2011, Perry et al. 2005, Pinsky et al. 2013). </w:t>
      </w:r>
    </w:p>
    <w:p w14:paraId="14F3EBA8"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CA4408E"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744D6E1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 partial explanation for the differences between our model results and the previous evidence for synergy may be that we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59852E6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65526C0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6081CDF"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While we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(1-h)R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20484AF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106FAE4F"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277ECD5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we contribute to this body of work by showing that small gaps between protected areas may help species keep up with climate velocities in the face of harvest and that considering a shifting climate is important for making recommendations about MPA spacing.</w:t>
      </w:r>
    </w:p>
    <w:p w14:paraId="4699394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populations or of harvesting dynamics, however. For example, we do not include the potential for negative per capita growth at low densities, often called Allee or depensation effects. Allee effects can make it more difficult for a population to invade a new environment (Hastings et al. 2005, Kot et al. 1996, Lewis et al. 1993, Veit et al. 1996). We would also expect that populations with Allee effects would be more sensitive to the combined effects of harvest and climate velocity than our model initially suggests. We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7F3675F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6758482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40D55F6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Using a simple, mechanistic model like the one we present here helps to build intuition about the conditions under which species can survive the cumulative impacts of climate and harvesting. This work highlights the importance of considering stressors in combination, as outcomes deviate from what we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protected areas. Our results offer encouraging evidence that management practices can help protect marine populations from the cumulative impacts of harvesting and climate change, particularly if the location of harvesting can be controlled.</w:t>
      </w:r>
    </w:p>
    <w:p w14:paraId="54B8EA33" w14:textId="77777777" w:rsidR="007B473D" w:rsidRPr="00304882" w:rsidRDefault="007B473D" w:rsidP="007B473D">
      <w:pPr>
        <w:spacing w:line="480" w:lineRule="auto"/>
        <w:rPr>
          <w:rFonts w:ascii="Times New Roman" w:hAnsi="Times New Roman" w:cs="Times New Roman"/>
          <w:b w:val="0"/>
          <w:sz w:val="24"/>
          <w:szCs w:val="24"/>
        </w:rPr>
      </w:pPr>
    </w:p>
    <w:p w14:paraId="54FD77D3" w14:textId="77777777" w:rsidR="007B473D" w:rsidRPr="00B131AF" w:rsidRDefault="007B473D" w:rsidP="007B473D">
      <w:pPr>
        <w:spacing w:line="480" w:lineRule="auto"/>
        <w:outlineLvl w:val="0"/>
        <w:rPr>
          <w:rFonts w:ascii="Times New Roman" w:hAnsi="Times New Roman" w:cs="Times New Roman"/>
          <w:sz w:val="28"/>
          <w:szCs w:val="24"/>
        </w:rPr>
      </w:pPr>
      <w:bookmarkStart w:id="5" w:name="acknowledgements"/>
      <w:r w:rsidRPr="00B131AF">
        <w:rPr>
          <w:rFonts w:ascii="Times New Roman" w:hAnsi="Times New Roman" w:cs="Times New Roman"/>
          <w:sz w:val="28"/>
          <w:szCs w:val="24"/>
        </w:rPr>
        <w:t>Acknowledgements</w:t>
      </w:r>
    </w:p>
    <w:bookmarkEnd w:id="5"/>
    <w:p w14:paraId="1AEAB69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Collaborators and co-authors on this manuscript include Eleanor Brush and Malin Pinsky. We would like to thank Catherine Offord and Will Scott for discussions on this project, and James Watson, Emily Klein and Simon Levin for comments on an earlier draft. EF was supported by the National Science Foundation (GRFP, GEO-1211972) and GreenMar (Consortium Agreement GreeMar-AGMT dtd 05-05-2014, Prime Nordforsk Project Number: 61582). </w:t>
      </w:r>
    </w:p>
    <w:p w14:paraId="396A9525" w14:textId="77777777" w:rsidR="007B473D" w:rsidRPr="00304882" w:rsidRDefault="007B473D" w:rsidP="007B473D">
      <w:pPr>
        <w:spacing w:line="480" w:lineRule="auto"/>
        <w:rPr>
          <w:rFonts w:ascii="Times New Roman" w:hAnsi="Times New Roman" w:cs="Times New Roman"/>
          <w:b w:val="0"/>
          <w:sz w:val="24"/>
          <w:szCs w:val="24"/>
        </w:rPr>
      </w:pPr>
    </w:p>
    <w:p w14:paraId="48E87652" w14:textId="77777777" w:rsidR="007B473D" w:rsidRPr="00304882" w:rsidRDefault="007B473D" w:rsidP="007B473D">
      <w:pPr>
        <w:pStyle w:val="Heading1"/>
        <w:spacing w:before="0"/>
        <w:rPr>
          <w:rFonts w:ascii="Times New Roman" w:hAnsi="Times New Roman" w:cs="Times New Roman"/>
          <w:color w:val="auto"/>
          <w:sz w:val="24"/>
          <w:szCs w:val="24"/>
        </w:rPr>
      </w:pPr>
    </w:p>
    <w:p w14:paraId="19100561" w14:textId="77777777" w:rsidR="007B473D" w:rsidRPr="00304882" w:rsidRDefault="007B473D" w:rsidP="007B473D">
      <w:pPr>
        <w:rPr>
          <w:rFonts w:ascii="Times New Roman" w:hAnsi="Times New Roman" w:cs="Times New Roman"/>
          <w:sz w:val="24"/>
          <w:szCs w:val="24"/>
        </w:rPr>
      </w:pPr>
      <w:r w:rsidRPr="00304882">
        <w:rPr>
          <w:rFonts w:ascii="Times New Roman" w:hAnsi="Times New Roman" w:cs="Times New Roman"/>
          <w:sz w:val="24"/>
          <w:szCs w:val="24"/>
        </w:rPr>
        <w:br w:type="page"/>
      </w:r>
    </w:p>
    <w:p w14:paraId="16AB08B2" w14:textId="77777777" w:rsidR="007B473D" w:rsidRPr="00B131AF" w:rsidRDefault="007B473D" w:rsidP="007B473D">
      <w:pPr>
        <w:spacing w:line="480" w:lineRule="auto"/>
        <w:rPr>
          <w:rFonts w:ascii="Times New Roman" w:hAnsi="Times New Roman" w:cs="Times New Roman"/>
          <w:sz w:val="28"/>
          <w:szCs w:val="24"/>
        </w:rPr>
      </w:pPr>
      <w:r w:rsidRPr="00B131AF">
        <w:rPr>
          <w:rFonts w:ascii="Times New Roman" w:hAnsi="Times New Roman" w:cs="Times New Roman"/>
          <w:sz w:val="28"/>
          <w:szCs w:val="24"/>
        </w:rPr>
        <w:t>Literature Cited</w:t>
      </w:r>
    </w:p>
    <w:p w14:paraId="3A795FD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D5DB5E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6F177A9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72C6C46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888B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1B50C4D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049C647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7EC611F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0FAB7B6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40A92BD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35042E7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7C76CCF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74A1FBB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054383F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0A2A496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134F213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5DB99C7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4B51DA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233FA35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5B6A8E0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Fordham, D. A. A. et al. 2013. Population dynamics can be more important than physiological limits for determining range shifts under climate change. Global Change Biology 19: 3224-3237.</w:t>
      </w:r>
    </w:p>
    <w:p w14:paraId="21D8B18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11FB7A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0" w:history="1">
        <w:r w:rsidRPr="00304882">
          <w:rPr>
            <w:rStyle w:val="Hyperlink"/>
            <w:rFonts w:ascii="Times New Roman" w:hAnsi="Times New Roman" w:cs="Times New Roman"/>
            <w:b w:val="0"/>
            <w:sz w:val="24"/>
            <w:szCs w:val="24"/>
          </w:rPr>
          <w:t>http://www.fishbase.org/summary/Sebastes-melanops.html</w:t>
        </w:r>
      </w:hyperlink>
    </w:p>
    <w:p w14:paraId="08D638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1D49DE2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35DB6D2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DF86BB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7E48CB1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49A4A82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4CD4600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W. Thuiller. 2005. Predicting species distribution: offering more than simple habitat models. Ecology Letters 8: 993–1009.</w:t>
      </w:r>
    </w:p>
    <w:p w14:paraId="0A7591D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5B67B02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33DDAEF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5A8E420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E87C98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A4B28B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1065EB2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30FB9FA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4029552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0CB4F14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1498A2B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3EA6CDE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035C9B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4A88778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705E4E2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6CE945B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4C259BE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59DB064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428D647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4554987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Ling, S. D., C. R. Johnson, S. D. Frusher, and K. R. Ridgway. 2009. Overfishing reduces resilience of kelp beds to climate-driven catastrophic phase shift. Proceedings of the National Academy of Sciences 106: 22341–22345.</w:t>
      </w:r>
    </w:p>
    <w:p w14:paraId="596A595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5FF209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63760F44"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4334942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5325281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5380A8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09DFE48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6D4FCB9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2943306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Neubert, M. G. 2003. Marine reserves and optimal harvesting. Ecology Letters 6: 843-849.</w:t>
      </w:r>
    </w:p>
    <w:p w14:paraId="11A5E97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24FA5D9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33E517C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76CE611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6670B9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0D91075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0FD312A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2F7F9B8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D7DBA5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6B61AB6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Schindler, D.E., R. Hilborn, B. Chasco, C. P. Boatright, T. P. Quinn, L. A. Rogers, M. S. Webster. 2010. Population diversity and the portfolio effect in an exploited species. Nature 465: 609–12.</w:t>
      </w:r>
    </w:p>
    <w:p w14:paraId="1CFAC4C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5AC44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4429B3E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0EE7C7B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6CE66C2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5ED12E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19F96AF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089225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77F7BF5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76756FD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Veit, R. R., and M. A. Lewis. 1996. Dispersal, population growth, and the Allee effect: dynamics of the house finch invasion of eastern North America. American Naturalist 148: 255-274.</w:t>
      </w:r>
    </w:p>
    <w:p w14:paraId="125033C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29DFBE8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79C007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06CB293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3AF8846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6AFC85C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74A5617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0798C60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0AF101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5AE5F06B"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42452AD6" w14:textId="77777777" w:rsidR="007B473D" w:rsidRPr="00304882" w:rsidRDefault="007B473D" w:rsidP="007B473D">
      <w:pPr>
        <w:spacing w:line="480" w:lineRule="auto"/>
        <w:ind w:left="720" w:hanging="720"/>
        <w:rPr>
          <w:rFonts w:ascii="Times New Roman" w:hAnsi="Times New Roman" w:cs="Times New Roman"/>
          <w:b w:val="0"/>
          <w:sz w:val="24"/>
          <w:szCs w:val="24"/>
        </w:rPr>
      </w:pPr>
    </w:p>
    <w:p w14:paraId="72893825" w14:textId="77777777" w:rsidR="007B473D" w:rsidRPr="00B131AF" w:rsidRDefault="007B473D" w:rsidP="007B473D">
      <w:pPr>
        <w:spacing w:line="480" w:lineRule="auto"/>
        <w:rPr>
          <w:rFonts w:ascii="Times New Roman" w:hAnsi="Times New Roman" w:cs="Times New Roman"/>
          <w:sz w:val="28"/>
          <w:szCs w:val="24"/>
        </w:rPr>
      </w:pPr>
      <w:r>
        <w:rPr>
          <w:rFonts w:ascii="Times New Roman" w:hAnsi="Times New Roman" w:cs="Times New Roman"/>
          <w:sz w:val="28"/>
          <w:szCs w:val="24"/>
        </w:rPr>
        <w:t>Supplementary Information</w:t>
      </w:r>
    </w:p>
    <w:p w14:paraId="153BCC92"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are provided for assessing the persistence of a population with an integrodifference model and the effects of the harvesting function on population persistence is discussed.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 is provided.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C and D, expressions for the critical harvesting rate and rate of environmental shift for Gaussian and sinuosoidal dispersal kernels are derived.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E, approximate expressions for these critical rates are derived.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F I provide details on differences between small and large MPA simulations.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in the California Current and demonstrate that results for parameters are qualitatively similar to results presented in the main text.</w:t>
      </w:r>
    </w:p>
    <w:p w14:paraId="3223AA86"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6" w:name="determining-stability-stab"/>
    </w:p>
    <w:p w14:paraId="1D5193F9"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6"/>
    <w:p w14:paraId="5DA68143"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304882">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304882">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7B473D" w:rsidRPr="00304882" w14:paraId="5BCA66B1" w14:textId="77777777" w:rsidTr="00153D1E">
        <w:trPr>
          <w:trHeight w:val="242"/>
        </w:trPr>
        <w:tc>
          <w:tcPr>
            <w:tcW w:w="8545" w:type="dxa"/>
            <w:vAlign w:val="center"/>
          </w:tcPr>
          <w:p w14:paraId="57B9BDF5"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0BB938F3"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w:t>
            </w:r>
          </w:p>
        </w:tc>
      </w:tr>
    </w:tbl>
    <w:p w14:paraId="7ED278C7"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7B473D" w:rsidRPr="00304882" w14:paraId="0255FF2D" w14:textId="77777777" w:rsidTr="00153D1E">
        <w:trPr>
          <w:trHeight w:val="242"/>
        </w:trPr>
        <w:tc>
          <w:tcPr>
            <w:tcW w:w="8640" w:type="dxa"/>
            <w:vAlign w:val="center"/>
          </w:tcPr>
          <w:p w14:paraId="6B705A62"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5048579D"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(S.2)</w:t>
            </w:r>
          </w:p>
        </w:tc>
      </w:tr>
    </w:tbl>
    <w:p w14:paraId="382B0C5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evaluating persistence, the methods of Zhou and Kot (2011) are applied to the new model, Equation 2. A traveling pulse is a solution such that population size relative to location within the patch (rather than absolute position) is constant over time, i.e.</w:t>
      </w:r>
    </w:p>
    <w:p w14:paraId="6685E2F0"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396006E7"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304882">
        <w:rPr>
          <w:rFonts w:ascii="Times New Roman" w:hAnsi="Times New Roman" w:cs="Times New Roman"/>
          <w:b w:val="0"/>
          <w:color w:val="000000" w:themeColor="text1"/>
          <w:sz w:val="24"/>
          <w:szCs w:val="24"/>
        </w:rPr>
        <w:t xml:space="preserve"> gives position relative to the patch.</w:t>
      </w:r>
    </w:p>
    <w:p w14:paraId="33F58D1B"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w:t>
      </w:r>
    </w:p>
    <w:p w14:paraId="6E331FB2"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A53D62B"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3D4BF5AE"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261CE7AF"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3DF0E563"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5D9CE55F"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7B473D" w:rsidRPr="00304882" w14:paraId="10EE0A64" w14:textId="77777777" w:rsidTr="00153D1E">
        <w:trPr>
          <w:trHeight w:val="242"/>
        </w:trPr>
        <w:tc>
          <w:tcPr>
            <w:tcW w:w="8620" w:type="dxa"/>
            <w:vAlign w:val="center"/>
          </w:tcPr>
          <w:p w14:paraId="6718689E" w14:textId="77777777" w:rsidR="007B473D" w:rsidRPr="00304882" w:rsidRDefault="007B473D" w:rsidP="00153D1E">
            <w:pPr>
              <w:spacing w:line="480" w:lineRule="auto"/>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2E725FF3"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p>
        </w:tc>
        <w:tc>
          <w:tcPr>
            <w:tcW w:w="730" w:type="dxa"/>
            <w:vAlign w:val="center"/>
          </w:tcPr>
          <w:p w14:paraId="74D7ABFD"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(S.3)</w:t>
            </w:r>
          </w:p>
        </w:tc>
      </w:tr>
    </w:tbl>
    <w:p w14:paraId="17114D0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long as </w:t>
      </w:r>
      <m:oMath>
        <m:r>
          <m:rPr>
            <m:sty m:val="bi"/>
          </m:rPr>
          <w:rPr>
            <w:rFonts w:ascii="Cambria Math" w:hAnsi="Cambria Math" w:cs="Times New Roman"/>
            <w:color w:val="000000" w:themeColor="text1"/>
            <w:sz w:val="24"/>
            <w:szCs w:val="24"/>
          </w:rPr>
          <m:t>f(0)=0</m:t>
        </m:r>
      </m:oMath>
      <w:r w:rsidRPr="00304882">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304882">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304882">
        <w:rPr>
          <w:rFonts w:ascii="Times New Roman" w:hAnsi="Times New Roman" w:cs="Times New Roman"/>
          <w:b w:val="0"/>
          <w:color w:val="000000" w:themeColor="text1"/>
          <w:sz w:val="24"/>
          <w:szCs w:val="24"/>
        </w:rPr>
        <w:t xml:space="preserve">, i.e., there is a trivial traveling pulse with no adults in it. If the trivial traveling pulse is unstable, even very small populations will persist or grow and avoid crashing back to the trivial pulse. To evaluate the stability of a traveling pulse, a small perturbation is introduced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304882">
        <w:rPr>
          <w:rFonts w:ascii="Times New Roman" w:hAnsi="Times New Roman" w:cs="Times New Roman"/>
          <w:b w:val="0"/>
          <w:color w:val="000000" w:themeColor="text1"/>
          <w:sz w:val="24"/>
          <w:szCs w:val="24"/>
        </w:rPr>
        <w:t xml:space="preserve"> to see if this perturbation grows or shrinks over time:</w:t>
      </w:r>
    </w:p>
    <w:p w14:paraId="0DC425C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38EA649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1322B7A6"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35EC224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Pr="00304882">
        <w:rPr>
          <w:rFonts w:ascii="Times New Roman" w:hAnsi="Times New Roman" w:cs="Times New Roman"/>
          <w:b w:val="0"/>
          <w:color w:val="000000" w:themeColor="text1"/>
          <w:sz w:val="24"/>
          <w:szCs w:val="24"/>
        </w:rPr>
        <w:t xml:space="preserve"> using (3)</w:t>
      </w:r>
    </w:p>
    <w:p w14:paraId="3EEB3EB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61D15B7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7AF3A3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585993E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7F8C77D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4ADE21EF"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46C8BBE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by linearizing around the traveling pulse</w:t>
      </w:r>
    </w:p>
    <w:p w14:paraId="1DDD138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454261D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7B473D" w:rsidRPr="00304882" w14:paraId="3BA69621" w14:textId="77777777" w:rsidTr="00153D1E">
        <w:tc>
          <w:tcPr>
            <w:tcW w:w="8681" w:type="dxa"/>
            <w:vAlign w:val="center"/>
          </w:tcPr>
          <w:p w14:paraId="1EAFE8AB"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5D7DBC1D"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(S.4)</w:t>
            </w:r>
          </w:p>
        </w:tc>
      </w:tr>
    </w:tbl>
    <w:p w14:paraId="00DA318E"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4DABC597"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w:r w:rsidRPr="00304882">
        <w:rPr>
          <w:rFonts w:ascii="Times New Roman" w:hAnsi="Times New Roman" w:cs="Times New Roman"/>
          <w:b w:val="0"/>
          <w:i/>
          <w:color w:val="000000" w:themeColor="text1"/>
          <w:sz w:val="24"/>
          <w:szCs w:val="24"/>
        </w:rPr>
        <w:t>n</w:t>
      </w:r>
      <w:r w:rsidRPr="00304882">
        <w:rPr>
          <w:rFonts w:ascii="Times New Roman" w:hAnsi="Times New Roman" w:cs="Times New Roman"/>
          <w:b w:val="0"/>
          <w:i/>
          <w:color w:val="000000" w:themeColor="text1"/>
          <w:sz w:val="24"/>
          <w:szCs w:val="24"/>
          <w:vertAlign w:val="superscript"/>
        </w:rPr>
        <w:t>*</w:t>
      </w:r>
      <w:r w:rsidRPr="00304882">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304882">
        <w:rPr>
          <w:rFonts w:ascii="Times New Roman" w:hAnsi="Times New Roman" w:cs="Times New Roman"/>
          <w:b w:val="0"/>
          <w:i/>
          <w:color w:val="000000" w:themeColor="text1"/>
          <w:sz w:val="24"/>
          <w:szCs w:val="24"/>
        </w:rPr>
        <w:t>)=0</w:t>
      </w:r>
      <w:r w:rsidRPr="00304882">
        <w:rPr>
          <w:rFonts w:ascii="Times New Roman" w:hAnsi="Times New Roman" w:cs="Times New Roman"/>
          <w:b w:val="0"/>
          <w:color w:val="000000" w:themeColor="text1"/>
          <w:sz w:val="24"/>
          <w:szCs w:val="24"/>
        </w:rPr>
        <w:t xml:space="preserve"> and </w:t>
      </w:r>
      <w:r w:rsidRPr="00304882">
        <w:rPr>
          <w:rFonts w:ascii="Times New Roman" w:hAnsi="Times New Roman" w:cs="Times New Roman"/>
          <w:b w:val="0"/>
          <w:i/>
          <w:color w:val="000000" w:themeColor="text1"/>
          <w:sz w:val="24"/>
          <w:szCs w:val="24"/>
        </w:rPr>
        <w:t>f(0) = 0</w:t>
      </w:r>
      <w:r w:rsidRPr="00304882">
        <w:rPr>
          <w:rFonts w:ascii="Times New Roman" w:hAnsi="Times New Roman" w:cs="Times New Roman"/>
          <w:b w:val="0"/>
          <w:color w:val="000000" w:themeColor="text1"/>
          <w:sz w:val="24"/>
          <w:szCs w:val="24"/>
        </w:rPr>
        <w:t xml:space="preserve">. </w:t>
      </w:r>
    </w:p>
    <w:p w14:paraId="51C803C1"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Pr="00304882">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Pr="00304882">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Pr="00304882">
        <w:rPr>
          <w:rFonts w:ascii="Times New Roman" w:hAnsi="Times New Roman" w:cs="Times New Roman"/>
          <w:b w:val="0"/>
          <w:color w:val="000000" w:themeColor="text1"/>
          <w:sz w:val="24"/>
          <w:szCs w:val="24"/>
        </w:rPr>
        <w:t xml:space="preserve">. Using Equation 4, we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w:t>
      </w:r>
    </w:p>
    <w:p w14:paraId="0144D68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48E6196F"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Define the integral operator </w:t>
      </w:r>
    </w:p>
    <w:p w14:paraId="3E6A99D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1A9D466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7B473D" w:rsidRPr="00304882" w14:paraId="197A3DD1" w14:textId="77777777" w:rsidTr="00153D1E">
        <w:trPr>
          <w:trHeight w:val="278"/>
        </w:trPr>
        <w:tc>
          <w:tcPr>
            <w:tcW w:w="8660" w:type="dxa"/>
            <w:vAlign w:val="center"/>
          </w:tcPr>
          <w:p w14:paraId="1EA25062"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53F28236"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(S.5)</w:t>
            </w:r>
          </w:p>
        </w:tc>
      </w:tr>
    </w:tbl>
    <w:p w14:paraId="01A2397F"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Pr="00304882">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Pr="00304882">
        <w:rPr>
          <w:rFonts w:ascii="Times New Roman" w:hAnsi="Times New Roman" w:cs="Times New Roman"/>
          <w:b w:val="0"/>
          <w:color w:val="000000" w:themeColor="text1"/>
          <w:sz w:val="24"/>
          <w:szCs w:val="24"/>
        </w:rPr>
        <w:t>.</w:t>
      </w:r>
    </w:p>
    <w:p w14:paraId="478463F3"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304882">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304882">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304882">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304882">
        <w:rPr>
          <w:rFonts w:ascii="Times New Roman" w:hAnsi="Times New Roman" w:cs="Times New Roman"/>
          <w:b w:val="0"/>
          <w:color w:val="000000" w:themeColor="text1"/>
          <w:sz w:val="24"/>
          <w:szCs w:val="24"/>
        </w:rPr>
        <w:t xml:space="preserve">. In this paper, only a proportional harvesting function is considered, i.e. the amount of adults harvested obeyed </w:t>
      </w:r>
      <m:oMath>
        <m:r>
          <m:rPr>
            <m:sty m:val="bi"/>
          </m:rPr>
          <w:rPr>
            <w:rFonts w:ascii="Cambria Math" w:hAnsi="Cambria Math" w:cs="Times New Roman"/>
            <w:color w:val="000000" w:themeColor="text1"/>
            <w:sz w:val="24"/>
            <w:szCs w:val="24"/>
          </w:rPr>
          <m:t>g(n)=(1-h)n</m:t>
        </m:r>
      </m:oMath>
      <w:r w:rsidRPr="00304882">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gʹ(0)=1-h</m:t>
        </m:r>
      </m:oMath>
      <w:r w:rsidRPr="00304882">
        <w:rPr>
          <w:rFonts w:ascii="Times New Roman" w:hAnsi="Times New Roman" w:cs="Times New Roman"/>
          <w:b w:val="0"/>
          <w:color w:val="000000" w:themeColor="text1"/>
          <w:sz w:val="24"/>
          <w:szCs w:val="24"/>
        </w:rPr>
        <w:t xml:space="preserve">. For the recruitment function we considered, </w:t>
      </w:r>
      <m:oMath>
        <m:r>
          <m:rPr>
            <m:sty m:val="bi"/>
          </m:rPr>
          <w:rPr>
            <w:rFonts w:ascii="Cambria Math" w:hAnsi="Cambria Math" w:cs="Times New Roman"/>
            <w:color w:val="000000" w:themeColor="text1"/>
            <w:sz w:val="24"/>
            <w:szCs w:val="24"/>
          </w:rPr>
          <m:t>fʹ(0)=1</m:t>
        </m:r>
      </m:oMath>
      <w:r w:rsidRPr="00304882">
        <w:rPr>
          <w:rFonts w:ascii="Times New Roman" w:hAnsi="Times New Roman" w:cs="Times New Roman"/>
          <w:b w:val="0"/>
          <w:color w:val="000000" w:themeColor="text1"/>
          <w:sz w:val="24"/>
          <w:szCs w:val="24"/>
        </w:rPr>
        <w:t>.</w:t>
      </w:r>
    </w:p>
    <w:p w14:paraId="3CFB3E91"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7" w:name="separable-dispersal-kernels-sep"/>
    </w:p>
    <w:p w14:paraId="0D9C0517"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7"/>
    <w:p w14:paraId="357BF09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t xml:space="preserve">It is not immediately obvious that the operator </w:t>
      </w:r>
      <m:oMath>
        <m:r>
          <m:rPr>
            <m:sty m:val="bi"/>
          </m:rPr>
          <w:rPr>
            <w:rFonts w:ascii="Cambria Math" w:hAnsi="Cambria Math" w:cs="Times New Roman"/>
            <w:color w:val="000000" w:themeColor="text1"/>
            <w:sz w:val="24"/>
            <w:szCs w:val="24"/>
          </w:rPr>
          <m:t>ψ</m:t>
        </m:r>
      </m:oMath>
      <w:r w:rsidRPr="0030488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30488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304882">
        <w:rPr>
          <w:rFonts w:ascii="Times New Roman" w:hAnsi="Times New Roman" w:cs="Times New Roman"/>
          <w:b w:val="0"/>
          <w:color w:val="000000" w:themeColor="text1"/>
          <w:sz w:val="24"/>
          <w:szCs w:val="24"/>
        </w:rPr>
        <w:t>. In that case, Equation 5 becomes</w:t>
      </w:r>
    </w:p>
    <w:p w14:paraId="6ECA85C8"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6A7B462F"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16407515" w14:textId="77777777" w:rsidR="007B473D" w:rsidRPr="00304882" w:rsidRDefault="007B473D" w:rsidP="007B473D">
      <w:pPr>
        <w:spacing w:line="480" w:lineRule="auto"/>
        <w:rPr>
          <w:rFonts w:ascii="Times New Roman" w:hAnsi="Times New Roman" w:cs="Times New Roman"/>
          <w:b w:val="0"/>
          <w:i/>
          <w:color w:val="000000" w:themeColor="text1"/>
          <w:sz w:val="24"/>
          <w:szCs w:val="24"/>
        </w:rPr>
      </w:pPr>
      <w:r w:rsidRPr="00304882">
        <w:rPr>
          <w:rFonts w:ascii="Times New Roman" w:hAnsi="Times New Roman" w:cs="Times New Roman"/>
          <w:b w:val="0"/>
          <w:color w:val="000000" w:themeColor="text1"/>
          <w:sz w:val="24"/>
          <w:szCs w:val="24"/>
        </w:rPr>
        <w:t xml:space="preserve">for any </w:t>
      </w:r>
      <w:r w:rsidRPr="00304882">
        <w:rPr>
          <w:rFonts w:ascii="Times New Roman" w:hAnsi="Times New Roman" w:cs="Times New Roman"/>
          <w:b w:val="0"/>
          <w:i/>
          <w:color w:val="000000" w:themeColor="text1"/>
          <w:sz w:val="24"/>
          <w:szCs w:val="24"/>
        </w:rPr>
        <w:t>k</w:t>
      </w:r>
    </w:p>
    <w:p w14:paraId="41D871B5" w14:textId="77777777" w:rsidR="007B473D" w:rsidRPr="00304882" w:rsidRDefault="007B473D" w:rsidP="007B473D">
      <w:pPr>
        <w:spacing w:line="480" w:lineRule="auto"/>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7B473D" w:rsidRPr="00304882" w14:paraId="3CF3C600" w14:textId="77777777" w:rsidTr="00153D1E">
        <w:tc>
          <w:tcPr>
            <w:tcW w:w="8905" w:type="dxa"/>
            <w:vAlign w:val="center"/>
          </w:tcPr>
          <w:p w14:paraId="278F06BF"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350286A2"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(S.6)</w:t>
            </w:r>
          </w:p>
        </w:tc>
      </w:tr>
    </w:tbl>
    <w:p w14:paraId="6EFFBCF9"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64018787"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where</w:t>
      </w:r>
    </w:p>
    <w:p w14:paraId="29B9359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414A8D4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Finding the eigenvalues of Equation 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304882">
        <w:rPr>
          <w:rFonts w:ascii="Times New Roman" w:hAnsi="Times New Roman" w:cs="Times New Roman"/>
          <w:b w:val="0"/>
          <w:color w:val="000000" w:themeColor="text1"/>
          <w:sz w:val="24"/>
          <w:szCs w:val="24"/>
        </w:rPr>
        <w:t>.</w:t>
      </w:r>
    </w:p>
    <w:p w14:paraId="641A639C"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To find the equilibrium biomass, we rewrite Equation 3 using the separable kernel as in (Latore et al.1998):</w:t>
      </w:r>
    </w:p>
    <w:p w14:paraId="636C45D1"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4BBF3D37"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304882">
        <w:rPr>
          <w:rFonts w:ascii="Times New Roman" w:hAnsi="Times New Roman" w:cs="Times New Roman"/>
          <w:b w:val="0"/>
          <w:color w:val="000000" w:themeColor="text1"/>
          <w:sz w:val="24"/>
          <w:szCs w:val="24"/>
        </w:rPr>
        <w:t xml:space="preserve"> then </w:t>
      </w:r>
    </w:p>
    <w:p w14:paraId="029C3C1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3EBA721C"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7B473D" w:rsidRPr="00304882" w14:paraId="35173032" w14:textId="77777777" w:rsidTr="00153D1E">
        <w:tc>
          <w:tcPr>
            <w:tcW w:w="8635" w:type="dxa"/>
            <w:vAlign w:val="center"/>
          </w:tcPr>
          <w:p w14:paraId="11B86CA6"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6B2CE9EE"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(S.7)</w:t>
            </w:r>
          </w:p>
        </w:tc>
      </w:tr>
    </w:tbl>
    <w:p w14:paraId="55A0B4D2"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Equation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numerically and then we can 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Pr="00304882">
        <w:rPr>
          <w:rFonts w:ascii="Times New Roman" w:hAnsi="Times New Roman" w:cs="Times New Roman"/>
          <w:b w:val="0"/>
          <w:color w:val="000000" w:themeColor="text1"/>
          <w:sz w:val="24"/>
          <w:szCs w:val="24"/>
        </w:rPr>
        <w:t xml:space="preserve"> over space.</w:t>
      </w:r>
    </w:p>
    <w:p w14:paraId="1145C12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3C0F6EA6"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bookmarkStart w:id="8" w:name="gaussian-dispersal-kernel-gausapp"/>
      <w:r w:rsidRPr="00304882">
        <w:rPr>
          <w:rFonts w:ascii="Times New Roman" w:hAnsi="Times New Roman" w:cs="Times New Roman"/>
          <w:color w:val="000000" w:themeColor="text1"/>
          <w:sz w:val="24"/>
          <w:szCs w:val="24"/>
        </w:rPr>
        <w:t>C: Gaussian dispersal kernel</w:t>
      </w:r>
    </w:p>
    <w:bookmarkEnd w:id="8"/>
    <w:p w14:paraId="3714B7B6"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Gaussian dispersal kernel is given by </w:t>
      </w:r>
    </w:p>
    <w:p w14:paraId="30D8A00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den>
              </m:f>
            </m:sup>
          </m:sSup>
          <m:r>
            <m:rPr>
              <m:sty m:val="bi"/>
            </m:rPr>
            <w:rPr>
              <w:rFonts w:ascii="Cambria Math" w:hAnsi="Cambria Math" w:cs="Times New Roman"/>
              <w:color w:val="000000" w:themeColor="text1"/>
              <w:sz w:val="24"/>
              <w:szCs w:val="24"/>
            </w:rPr>
            <m:t>,</m:t>
          </m:r>
        </m:oMath>
      </m:oMathPara>
    </w:p>
    <w:p w14:paraId="0180F1E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30488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sup>
            <m:r>
              <m:rPr>
                <m:sty m:val="bi"/>
              </m:rPr>
              <w:rPr>
                <w:rFonts w:ascii="Cambria Math" w:hAnsi="Cambria Math" w:cs="Times New Roman"/>
                <w:color w:val="000000" w:themeColor="text1"/>
                <w:sz w:val="24"/>
                <w:szCs w:val="24"/>
              </w:rPr>
              <m:t>n</m:t>
            </m:r>
          </m:sup>
        </m:sSup>
      </m:oMath>
      <w:r w:rsidRPr="00304882">
        <w:rPr>
          <w:rFonts w:ascii="Times New Roman" w:hAnsi="Times New Roman" w:cs="Times New Roman"/>
          <w:b w:val="0"/>
          <w:color w:val="000000" w:themeColor="text1"/>
          <w:sz w:val="24"/>
          <w:szCs w:val="24"/>
        </w:rPr>
        <w:t xml:space="preserve"> (Latore et al. 1998).</w:t>
      </w:r>
    </w:p>
    <w:p w14:paraId="4ACC38C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Pr="00304882">
        <w:rPr>
          <w:rFonts w:ascii="Times New Roman" w:hAnsi="Times New Roman" w:cs="Times New Roman"/>
          <w:b w:val="0"/>
          <w:color w:val="000000" w:themeColor="text1"/>
          <w:sz w:val="24"/>
          <w:szCs w:val="24"/>
        </w:rPr>
        <w:t xml:space="preserve"> 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30488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304882">
        <w:rPr>
          <w:rFonts w:ascii="Times New Roman" w:hAnsi="Times New Roman" w:cs="Times New Roman"/>
          <w:b w:val="0"/>
          <w:color w:val="000000" w:themeColor="text1"/>
          <w:sz w:val="24"/>
          <w:szCs w:val="24"/>
        </w:rPr>
        <w:t xml:space="preserve"> are ignored so that Equation ([problem]) becomes</w:t>
      </w:r>
    </w:p>
    <w:p w14:paraId="17ABF82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e>
            </m:mr>
          </m:m>
        </m:oMath>
      </m:oMathPara>
    </w:p>
    <w:p w14:paraId="3B5CA446"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30488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30488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304882">
        <w:rPr>
          <w:rFonts w:ascii="Times New Roman" w:hAnsi="Times New Roman" w:cs="Times New Roman"/>
          <w:b w:val="0"/>
          <w:color w:val="000000" w:themeColor="text1"/>
          <w:sz w:val="24"/>
          <w:szCs w:val="24"/>
        </w:rPr>
        <w:t>.</w:t>
      </w:r>
    </w:p>
    <w:p w14:paraId="6C16E7A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45C28DF2"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bookmarkStart w:id="9" w:name="sinusoidal-dispersal-kernel-sinapp"/>
      <w:r w:rsidRPr="00304882">
        <w:rPr>
          <w:rFonts w:ascii="Times New Roman" w:hAnsi="Times New Roman" w:cs="Times New Roman"/>
          <w:color w:val="000000" w:themeColor="text1"/>
          <w:sz w:val="24"/>
          <w:szCs w:val="24"/>
        </w:rPr>
        <w:t>D: Sinusoidal dispersal kernel</w:t>
      </w:r>
    </w:p>
    <w:bookmarkEnd w:id="9"/>
    <w:p w14:paraId="53CC5C72"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The sinusoidal dispersal kernel is given by </w:t>
      </w:r>
    </w:p>
    <w:p w14:paraId="620371F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e>
              </m:eqArr>
            </m:e>
          </m:d>
          <m:r>
            <m:rPr>
              <m:sty m:val="bi"/>
            </m:rPr>
            <w:rPr>
              <w:rFonts w:ascii="Cambria Math" w:hAnsi="Cambria Math" w:cs="Times New Roman"/>
              <w:color w:val="000000" w:themeColor="text1"/>
              <w:sz w:val="24"/>
              <w:szCs w:val="24"/>
            </w:rPr>
            <m:t>﻿</m:t>
          </m:r>
        </m:oMath>
      </m:oMathPara>
    </w:p>
    <w:p w14:paraId="3937971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w</m:t>
            </m:r>
          </m:den>
        </m:f>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24AC84C8"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30488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30488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30488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304882">
        <w:rPr>
          <w:rFonts w:ascii="Times New Roman" w:hAnsi="Times New Roman" w:cs="Times New Roman"/>
          <w:b w:val="0"/>
          <w:color w:val="000000" w:themeColor="text1"/>
          <w:sz w:val="24"/>
          <w:szCs w:val="24"/>
        </w:rPr>
        <w:t xml:space="preserve"> and (6)reduces to </w:t>
      </w:r>
    </w:p>
    <w:p w14:paraId="096EB950"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77C7DE91"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If we solve for </w:t>
      </w:r>
      <m:oMath>
        <m:r>
          <m:rPr>
            <m:sty m:val="bi"/>
          </m:rPr>
          <w:rPr>
            <w:rFonts w:ascii="Cambria Math" w:hAnsi="Cambria Math" w:cs="Times New Roman"/>
            <w:color w:val="000000" w:themeColor="text1"/>
            <w:sz w:val="24"/>
            <w:szCs w:val="24"/>
          </w:rPr>
          <m:t>λ</m:t>
        </m:r>
      </m:oMath>
      <w:r w:rsidRPr="00304882">
        <w:rPr>
          <w:rFonts w:ascii="Times New Roman" w:hAnsi="Times New Roman" w:cs="Times New Roman"/>
          <w:b w:val="0"/>
          <w:color w:val="000000" w:themeColor="text1"/>
          <w:sz w:val="24"/>
          <w:szCs w:val="24"/>
        </w:rPr>
        <w:t>, we find</w:t>
      </w:r>
    </w:p>
    <w:p w14:paraId="49B25CD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5AA03078"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at which the population will be driven extinct: </w:t>
      </w:r>
    </w:p>
    <w:p w14:paraId="4E70444F"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(1-h)wL</m:t>
                  </m:r>
                </m:den>
              </m:f>
            </m:e>
          </m:d>
          <m:r>
            <m:rPr>
              <m:sty m:val="bi"/>
            </m:rPr>
            <w:rPr>
              <w:rFonts w:ascii="Cambria Math" w:hAnsi="Cambria Math" w:cs="Times New Roman"/>
              <w:color w:val="000000" w:themeColor="text1"/>
              <w:sz w:val="24"/>
              <w:szCs w:val="24"/>
            </w:rPr>
            <m:t>.</m:t>
          </m:r>
        </m:oMath>
      </m:oMathPara>
    </w:p>
    <w:p w14:paraId="43F966F0"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can also be solved for, at which the population will be driven extinct: </w:t>
      </w:r>
    </w:p>
    <w:p w14:paraId="51EECFAA"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51A19BBA"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10" w:name="approximate-critical-harvesting-proporti"/>
    </w:p>
    <w:p w14:paraId="3FE008C9"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0"/>
    </w:p>
    <w:p w14:paraId="10BDD52C" w14:textId="77777777" w:rsidR="007B473D" w:rsidRPr="00304882" w:rsidRDefault="007B473D" w:rsidP="007B473D">
      <w:pPr>
        <w:pStyle w:val="Heading2"/>
        <w:spacing w:before="0"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following Taylor series is used to make approximations of the critical harvesting proportions under the two dispersal kernels:</w:t>
      </w:r>
    </w:p>
    <w:p w14:paraId="5DA7BDC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0727FEA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For the Gaussian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7B473D" w:rsidRPr="00304882" w14:paraId="617DEB45" w14:textId="77777777" w:rsidTr="00153D1E">
        <w:tc>
          <w:tcPr>
            <w:tcW w:w="8545" w:type="dxa"/>
            <w:vAlign w:val="center"/>
          </w:tcPr>
          <w:p w14:paraId="2461A044"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e>
                        </m:d>
                      </m:e>
                    </m:d>
                  </m:den>
                </m:f>
              </m:oMath>
            </m:oMathPara>
          </w:p>
        </w:tc>
        <w:tc>
          <w:tcPr>
            <w:tcW w:w="805" w:type="dxa"/>
            <w:vAlign w:val="center"/>
          </w:tcPr>
          <w:p w14:paraId="504E28BE"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(S.8)</w:t>
            </w:r>
          </w:p>
        </w:tc>
      </w:tr>
    </w:tbl>
    <w:p w14:paraId="36B7A5A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exponential kernel,</w:t>
      </w:r>
    </w:p>
    <w:p w14:paraId="3E5A237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π</m:t>
                        </m:r>
                      </m:e>
                    </m:rad>
                  </m:num>
                  <m:den>
                    <m:r>
                      <m:rPr>
                        <m:sty m:val="bi"/>
                      </m:rPr>
                      <w:rPr>
                        <w:rFonts w:ascii="Cambria Math" w:hAnsi="Cambria Math" w:cs="Times New Roman"/>
                        <w:color w:val="000000" w:themeColor="text1"/>
                        <w:sz w:val="24"/>
                        <w:szCs w:val="24"/>
                      </w:rPr>
                      <m:t>8</m:t>
                    </m:r>
                    <m:r>
                      <m:rPr>
                        <m:sty m:val="bi"/>
                      </m:rPr>
                      <w:rPr>
                        <w:rFonts w:ascii="Cambria Math" w:hAnsi="Cambria Math" w:cs="Times New Roman"/>
                        <w:color w:val="000000" w:themeColor="text1"/>
                        <w:sz w:val="24"/>
                        <w:szCs w:val="24"/>
                      </w:rPr>
                      <m:t>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230EC65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For the sinusoidal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7B473D" w:rsidRPr="00304882" w14:paraId="39B642B2" w14:textId="77777777" w:rsidTr="00153D1E">
        <w:trPr>
          <w:trHeight w:val="1115"/>
        </w:trPr>
        <w:tc>
          <w:tcPr>
            <w:tcW w:w="8660" w:type="dxa"/>
            <w:vAlign w:val="center"/>
          </w:tcPr>
          <w:p w14:paraId="08DB25F0"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5A4B1C1D"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p>
        </w:tc>
        <w:tc>
          <w:tcPr>
            <w:tcW w:w="690" w:type="dxa"/>
            <w:vAlign w:val="center"/>
          </w:tcPr>
          <w:p w14:paraId="0E8259A8"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(S.9)</w:t>
            </w:r>
          </w:p>
        </w:tc>
      </w:tr>
    </w:tbl>
    <w:p w14:paraId="20297724"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30488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304882">
        <w:rPr>
          <w:rFonts w:ascii="Times New Roman" w:hAnsi="Times New Roman" w:cs="Times New Roman"/>
          <w:b w:val="0"/>
          <w:color w:val="000000" w:themeColor="text1"/>
          <w:sz w:val="24"/>
          <w:szCs w:val="24"/>
        </w:rPr>
        <w:t xml:space="preserve"> is the variance of the sinusoidal kernel,</w:t>
      </w:r>
    </w:p>
    <w:p w14:paraId="71CC56B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m:t>
                    </m:r>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m:t>
                    </m:r>
                    <m:r>
                      <m:rPr>
                        <m:sty m:val="bi"/>
                      </m:rPr>
                      <w:rPr>
                        <w:rFonts w:ascii="Cambria Math" w:hAnsi="Cambria Math" w:cs="Times New Roman"/>
                        <w:color w:val="000000" w:themeColor="text1"/>
                        <w:sz w:val="24"/>
                        <w:szCs w:val="24"/>
                      </w:rPr>
                      <m:t>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4726FAD3"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7B473D" w:rsidRPr="00304882" w14:paraId="5CE5FD20" w14:textId="77777777" w:rsidTr="00153D1E">
        <w:tc>
          <w:tcPr>
            <w:tcW w:w="8691" w:type="dxa"/>
            <w:vAlign w:val="center"/>
          </w:tcPr>
          <w:p w14:paraId="3D715CC6"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4100F5E4" w14:textId="77777777" w:rsidR="007B473D" w:rsidRPr="00304882" w:rsidRDefault="007B473D" w:rsidP="00153D1E">
            <w:pPr>
              <w:spacing w:line="480" w:lineRule="auto"/>
              <w:jc w:val="center"/>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(S.10)</w:t>
            </w:r>
          </w:p>
        </w:tc>
      </w:tr>
    </w:tbl>
    <w:p w14:paraId="7E2C9188"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30488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304882">
        <w:rPr>
          <w:rFonts w:ascii="Times New Roman" w:hAnsi="Times New Roman" w:cs="Times New Roman"/>
          <w:b w:val="0"/>
          <w:color w:val="000000" w:themeColor="text1"/>
          <w:sz w:val="24"/>
          <w:szCs w:val="24"/>
        </w:rPr>
        <w:t>.</w:t>
      </w:r>
    </w:p>
    <w:p w14:paraId="0ED8179A"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11" w:name="protected-area-fluctuations-mpa"/>
      <w:bookmarkStart w:id="12" w:name="california-current-black-rockfish-parame"/>
    </w:p>
    <w:p w14:paraId="130E38E7"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1"/>
    <w:p w14:paraId="23A9B41C"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S1). </w:t>
      </w:r>
    </w:p>
    <w:p w14:paraId="406F66DF"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B5A467E" wp14:editId="414F1E86">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0CCA448B" w14:textId="77777777" w:rsidR="007B473D" w:rsidRPr="00304882" w:rsidRDefault="007B473D" w:rsidP="007B473D">
      <w:pPr>
        <w:spacing w:line="480" w:lineRule="auto"/>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fluctuate more in reserves that are larger and spaced farther apart than simulations in which the reserves that are smaller and more closely spaced regardless of how effort is reallocated. </w:t>
      </w:r>
    </w:p>
    <w:p w14:paraId="46B43F91"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0BF78AE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32995321" w14:textId="77777777" w:rsidR="007B473D" w:rsidRPr="00304882" w:rsidRDefault="007B473D" w:rsidP="007B473D">
      <w:pPr>
        <w:spacing w:line="480" w:lineRule="auto"/>
        <w:rPr>
          <w:rFonts w:ascii="Times New Roman" w:hAnsi="Times New Roman" w:cs="Times New Roman"/>
          <w:sz w:val="24"/>
          <w:szCs w:val="24"/>
        </w:rPr>
      </w:pPr>
    </w:p>
    <w:p w14:paraId="3F16F932"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2"/>
    <w:p w14:paraId="6F62D5B1"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in the California Current, with MPAs of spacing and width qualitatively similar to those in the Marine Life Projection Act (MLPA), and with a maximum climate velocity equal to that observed empirically. The parameters and references are provided in Table S1.</w:t>
      </w:r>
    </w:p>
    <w:p w14:paraId="3DACE209" w14:textId="77777777" w:rsidR="007B473D" w:rsidRPr="00304882" w:rsidRDefault="007B473D" w:rsidP="007B473D">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7B473D" w:rsidRPr="00304882" w14:paraId="76FD6C7B" w14:textId="77777777" w:rsidTr="00153D1E">
        <w:tc>
          <w:tcPr>
            <w:tcW w:w="2378" w:type="dxa"/>
            <w:tcBorders>
              <w:bottom w:val="single" w:sz="4" w:space="0" w:color="auto"/>
            </w:tcBorders>
          </w:tcPr>
          <w:p w14:paraId="2C683B21"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35B11BE2"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66877E19"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Source</w:t>
            </w:r>
          </w:p>
        </w:tc>
      </w:tr>
      <w:tr w:rsidR="007B473D" w:rsidRPr="00304882" w14:paraId="47E150EB" w14:textId="77777777" w:rsidTr="00153D1E">
        <w:tc>
          <w:tcPr>
            <w:tcW w:w="2378" w:type="dxa"/>
            <w:vAlign w:val="center"/>
          </w:tcPr>
          <w:p w14:paraId="73379DFF"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37B52E7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CC40ADB"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7B473D" w:rsidRPr="00304882" w14:paraId="1CB01351" w14:textId="77777777" w:rsidTr="00153D1E">
        <w:tc>
          <w:tcPr>
            <w:tcW w:w="2378" w:type="dxa"/>
            <w:vAlign w:val="center"/>
          </w:tcPr>
          <w:p w14:paraId="29EA2DA6"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17E610D3"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7020281F"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7B473D" w:rsidRPr="00304882" w14:paraId="7E275279" w14:textId="77777777" w:rsidTr="00153D1E">
        <w:trPr>
          <w:trHeight w:val="270"/>
        </w:trPr>
        <w:tc>
          <w:tcPr>
            <w:tcW w:w="2378" w:type="dxa"/>
            <w:vAlign w:val="center"/>
          </w:tcPr>
          <w:p w14:paraId="29E1CD30" w14:textId="77777777" w:rsidR="007B473D" w:rsidRPr="00304882" w:rsidRDefault="007B473D" w:rsidP="00153D1E">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56897E3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73BB93F0" w14:textId="77777777" w:rsidR="007B473D" w:rsidRPr="00304882" w:rsidRDefault="007B473D" w:rsidP="00153D1E">
            <w:pPr>
              <w:rPr>
                <w:rFonts w:ascii="Times New Roman" w:hAnsi="Times New Roman" w:cs="Times New Roman"/>
                <w:b w:val="0"/>
                <w:sz w:val="24"/>
                <w:szCs w:val="24"/>
              </w:rPr>
            </w:pPr>
          </w:p>
        </w:tc>
      </w:tr>
      <w:tr w:rsidR="007B473D" w:rsidRPr="00304882" w14:paraId="24534090" w14:textId="77777777" w:rsidTr="00153D1E">
        <w:tc>
          <w:tcPr>
            <w:tcW w:w="2378" w:type="dxa"/>
            <w:vAlign w:val="center"/>
          </w:tcPr>
          <w:p w14:paraId="4593E890" w14:textId="77777777" w:rsidR="007B473D" w:rsidRPr="00304882" w:rsidRDefault="007B473D" w:rsidP="00153D1E">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64DB8D9"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7EB9432E"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7B473D" w:rsidRPr="00304882" w14:paraId="45E3D7D1" w14:textId="77777777" w:rsidTr="00153D1E">
        <w:tc>
          <w:tcPr>
            <w:tcW w:w="2378" w:type="dxa"/>
            <w:vAlign w:val="center"/>
          </w:tcPr>
          <w:p w14:paraId="28E089BD" w14:textId="77777777" w:rsidR="007B473D" w:rsidRPr="00304882" w:rsidRDefault="007B473D" w:rsidP="00153D1E">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4910DEB1"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273C0DA2"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7B473D" w:rsidRPr="00304882" w14:paraId="5CDA36FA" w14:textId="77777777" w:rsidTr="00153D1E">
        <w:tc>
          <w:tcPr>
            <w:tcW w:w="2378" w:type="dxa"/>
            <w:vAlign w:val="center"/>
          </w:tcPr>
          <w:p w14:paraId="50DB5034"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8A0CE9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1C21EEFE"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7B473D" w:rsidRPr="00304882" w14:paraId="5E7A93CB" w14:textId="77777777" w:rsidTr="00153D1E">
        <w:tc>
          <w:tcPr>
            <w:tcW w:w="2378" w:type="dxa"/>
            <w:vAlign w:val="center"/>
          </w:tcPr>
          <w:p w14:paraId="3A7BF135"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3FE156AB"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42C6C4D9"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7B473D" w:rsidRPr="00304882" w14:paraId="4255DFA8" w14:textId="77777777" w:rsidTr="00153D1E">
        <w:trPr>
          <w:trHeight w:val="77"/>
        </w:trPr>
        <w:tc>
          <w:tcPr>
            <w:tcW w:w="2378" w:type="dxa"/>
            <w:vAlign w:val="center"/>
          </w:tcPr>
          <w:p w14:paraId="1F84C038"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42CEE648"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16652C01"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7371F9D5"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p>
    <w:p w14:paraId="768A5D5B"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S2) and an essentially additive interaction between the effects of the two stressors on biomass (Figure S3). Additionally, our black rockfish parameterization has the same counterintuitive result that MPAs from which effort is displaced (rather than eliminated) can be worse than no MPA at all (compare Figure S4A and S4D).</w:t>
      </w:r>
    </w:p>
    <w:p w14:paraId="352C6B5D"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1352D0DA" wp14:editId="6B22EA53">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41F99A4" w14:textId="77777777" w:rsidR="007B473D" w:rsidRPr="00304882"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4B55EDA9" w14:textId="77777777" w:rsidR="007B473D" w:rsidRPr="00304882" w:rsidRDefault="007B473D" w:rsidP="007B473D">
      <w:pPr>
        <w:spacing w:line="480" w:lineRule="auto"/>
        <w:rPr>
          <w:rFonts w:ascii="Times New Roman" w:hAnsi="Times New Roman" w:cs="Times New Roman"/>
          <w:b w:val="0"/>
          <w:sz w:val="24"/>
          <w:szCs w:val="24"/>
        </w:rPr>
      </w:pPr>
    </w:p>
    <w:p w14:paraId="3A8B585E"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358455A8" wp14:editId="30D6F04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0EC9DE2D" w14:textId="77777777" w:rsidR="007B473D" w:rsidRPr="00304882" w:rsidRDefault="007B473D" w:rsidP="007B473D">
      <w:pPr>
        <w:rPr>
          <w:rFonts w:ascii="Times New Roman" w:hAnsi="Times New Roman" w:cs="Times New Roman"/>
          <w:sz w:val="24"/>
          <w:szCs w:val="24"/>
        </w:rPr>
      </w:pPr>
      <w:r w:rsidRPr="00304882">
        <w:rPr>
          <w:rFonts w:ascii="Times New Roman" w:hAnsi="Times New Roman" w:cs="Times New Roman"/>
          <w:sz w:val="24"/>
          <w:szCs w:val="24"/>
        </w:rPr>
        <w:t xml:space="preserve">Figure S3.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715D1785" w14:textId="77777777" w:rsidR="007B473D" w:rsidRPr="00304882" w:rsidRDefault="007B473D" w:rsidP="007B473D">
      <w:pPr>
        <w:spacing w:line="480" w:lineRule="auto"/>
        <w:rPr>
          <w:rFonts w:ascii="Times New Roman" w:hAnsi="Times New Roman" w:cs="Times New Roman"/>
          <w:sz w:val="24"/>
          <w:szCs w:val="24"/>
        </w:rPr>
      </w:pPr>
    </w:p>
    <w:p w14:paraId="1B5C4BD8" w14:textId="77777777" w:rsidR="007B473D" w:rsidRPr="00304882" w:rsidRDefault="007B473D" w:rsidP="007B473D">
      <w:pPr>
        <w:spacing w:line="480" w:lineRule="auto"/>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0CC1933" wp14:editId="70EF91B7">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3ED66121" w14:textId="77777777" w:rsidR="007B473D" w:rsidRPr="00304882"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 xml:space="preserve">Figure S4.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S2A).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p w14:paraId="415909A7" w14:textId="77777777" w:rsidR="007B473D" w:rsidRPr="00304882" w:rsidRDefault="007B473D" w:rsidP="007B473D">
      <w:pPr>
        <w:rPr>
          <w:rFonts w:ascii="Times New Roman" w:hAnsi="Times New Roman" w:cs="Times New Roman"/>
          <w:sz w:val="24"/>
          <w:szCs w:val="24"/>
        </w:rPr>
      </w:pPr>
    </w:p>
    <w:p w14:paraId="0FD41D45" w14:textId="77777777" w:rsidR="007B473D" w:rsidRPr="00304882"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br w:type="page"/>
      </w:r>
    </w:p>
    <w:p w14:paraId="57738C20" w14:textId="77777777" w:rsidR="000056A3" w:rsidRDefault="000056A3">
      <w:bookmarkStart w:id="13" w:name="_GoBack"/>
      <w:bookmarkEnd w:id="13"/>
    </w:p>
    <w:sectPr w:rsidR="000056A3" w:rsidSect="00995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231F2" w14:textId="77777777" w:rsidR="00383F26" w:rsidRDefault="00383F26" w:rsidP="007B473D">
      <w:r>
        <w:separator/>
      </w:r>
    </w:p>
  </w:endnote>
  <w:endnote w:type="continuationSeparator" w:id="0">
    <w:p w14:paraId="6978B7B2" w14:textId="77777777" w:rsidR="00383F26" w:rsidRDefault="00383F26" w:rsidP="007B4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4BE61" w14:textId="77777777" w:rsidR="00383F26" w:rsidRDefault="00383F26" w:rsidP="007B473D">
      <w:r>
        <w:separator/>
      </w:r>
    </w:p>
  </w:footnote>
  <w:footnote w:type="continuationSeparator" w:id="0">
    <w:p w14:paraId="40D89BD0" w14:textId="77777777" w:rsidR="00383F26" w:rsidRDefault="00383F26" w:rsidP="007B473D">
      <w:r>
        <w:continuationSeparator/>
      </w:r>
    </w:p>
  </w:footnote>
  <w:footnote w:id="1">
    <w:p w14:paraId="6B2F5041" w14:textId="77777777" w:rsidR="007B473D" w:rsidRPr="003A3606" w:rsidRDefault="007B473D" w:rsidP="007B473D">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73D"/>
    <w:rsid w:val="000056A3"/>
    <w:rsid w:val="00383F26"/>
    <w:rsid w:val="007B473D"/>
    <w:rsid w:val="00995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D04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73D"/>
    <w:rPr>
      <w:rFonts w:eastAsiaTheme="minorEastAsia"/>
      <w:b/>
      <w:bCs/>
      <w:sz w:val="22"/>
      <w:szCs w:val="22"/>
    </w:rPr>
  </w:style>
  <w:style w:type="paragraph" w:styleId="Heading1">
    <w:name w:val="heading 1"/>
    <w:basedOn w:val="Normal"/>
    <w:next w:val="Normal"/>
    <w:link w:val="Heading1Char"/>
    <w:qFormat/>
    <w:rsid w:val="007B473D"/>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7B47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B473D"/>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7B473D"/>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7B473D"/>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7B473D"/>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73D"/>
    <w:rPr>
      <w:rFonts w:asciiTheme="majorHAnsi" w:eastAsiaTheme="majorEastAsia" w:hAnsiTheme="majorHAnsi" w:cstheme="majorBidi"/>
      <w:b/>
      <w:bCs/>
      <w:color w:val="2C6EAB" w:themeColor="accent1" w:themeShade="B5"/>
      <w:sz w:val="36"/>
      <w:szCs w:val="36"/>
    </w:rPr>
  </w:style>
  <w:style w:type="character" w:customStyle="1" w:styleId="Heading2Char">
    <w:name w:val="Heading 2 Char"/>
    <w:basedOn w:val="DefaultParagraphFont"/>
    <w:link w:val="Heading2"/>
    <w:rsid w:val="007B473D"/>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rsid w:val="007B473D"/>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rsid w:val="007B473D"/>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rsid w:val="007B473D"/>
    <w:rPr>
      <w:rFonts w:asciiTheme="majorHAnsi" w:eastAsiaTheme="majorEastAsia" w:hAnsiTheme="majorHAnsi" w:cstheme="majorBidi"/>
      <w:i/>
      <w:iCs/>
      <w:color w:val="5B9BD5" w:themeColor="accent1"/>
    </w:rPr>
  </w:style>
  <w:style w:type="character" w:customStyle="1" w:styleId="Heading6Char">
    <w:name w:val="Heading 6 Char"/>
    <w:basedOn w:val="DefaultParagraphFont"/>
    <w:link w:val="Heading6"/>
    <w:rsid w:val="007B473D"/>
    <w:rPr>
      <w:rFonts w:ascii="Calibri" w:eastAsia="Calibri" w:hAnsi="Calibri" w:cs="Calibri"/>
      <w:b/>
      <w:color w:val="000000"/>
      <w:sz w:val="20"/>
      <w:szCs w:val="20"/>
    </w:rPr>
  </w:style>
  <w:style w:type="paragraph" w:styleId="Title">
    <w:name w:val="Title"/>
    <w:basedOn w:val="Normal"/>
    <w:next w:val="Normal"/>
    <w:link w:val="TitleChar"/>
    <w:qFormat/>
    <w:rsid w:val="007B473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B473D"/>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7B47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B473D"/>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473D"/>
    <w:rPr>
      <w:rFonts w:ascii="Times New Roman" w:eastAsiaTheme="minorEastAsia" w:hAnsi="Times New Roman" w:cs="Times New Roman"/>
      <w:b/>
      <w:bCs/>
    </w:rPr>
  </w:style>
  <w:style w:type="paragraph" w:styleId="Caption">
    <w:name w:val="caption"/>
    <w:basedOn w:val="Normal"/>
    <w:next w:val="Normal"/>
    <w:rsid w:val="007B473D"/>
    <w:pPr>
      <w:spacing w:after="200"/>
    </w:pPr>
    <w:rPr>
      <w:rFonts w:eastAsiaTheme="minorHAnsi"/>
      <w:color w:val="5B9BD5" w:themeColor="accent1"/>
      <w:sz w:val="18"/>
      <w:szCs w:val="18"/>
    </w:rPr>
  </w:style>
  <w:style w:type="paragraph" w:customStyle="1" w:styleId="Authors">
    <w:name w:val="Authors"/>
    <w:next w:val="Normal"/>
    <w:qFormat/>
    <w:rsid w:val="007B473D"/>
    <w:pPr>
      <w:keepNext/>
      <w:keepLines/>
      <w:spacing w:after="200"/>
      <w:jc w:val="center"/>
    </w:pPr>
  </w:style>
  <w:style w:type="paragraph" w:styleId="Date">
    <w:name w:val="Date"/>
    <w:next w:val="Normal"/>
    <w:link w:val="DateChar"/>
    <w:qFormat/>
    <w:rsid w:val="007B473D"/>
    <w:pPr>
      <w:keepNext/>
      <w:keepLines/>
      <w:spacing w:after="200"/>
      <w:jc w:val="center"/>
    </w:pPr>
  </w:style>
  <w:style w:type="character" w:customStyle="1" w:styleId="DateChar">
    <w:name w:val="Date Char"/>
    <w:basedOn w:val="DefaultParagraphFont"/>
    <w:link w:val="Date"/>
    <w:rsid w:val="007B473D"/>
  </w:style>
  <w:style w:type="paragraph" w:customStyle="1" w:styleId="BlockQuote">
    <w:name w:val="Block Quote"/>
    <w:basedOn w:val="Normal"/>
    <w:next w:val="Normal"/>
    <w:uiPriority w:val="9"/>
    <w:unhideWhenUsed/>
    <w:qFormat/>
    <w:rsid w:val="007B473D"/>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7B473D"/>
    <w:pPr>
      <w:keepNext/>
      <w:keepLines/>
    </w:pPr>
    <w:rPr>
      <w:rFonts w:eastAsiaTheme="minorHAnsi"/>
      <w:bCs w:val="0"/>
      <w:sz w:val="24"/>
      <w:szCs w:val="24"/>
    </w:rPr>
  </w:style>
  <w:style w:type="paragraph" w:customStyle="1" w:styleId="Definition">
    <w:name w:val="Definition"/>
    <w:basedOn w:val="Normal"/>
    <w:rsid w:val="007B473D"/>
    <w:pPr>
      <w:spacing w:after="200"/>
    </w:pPr>
    <w:rPr>
      <w:rFonts w:eastAsiaTheme="minorHAnsi"/>
      <w:b w:val="0"/>
      <w:bCs w:val="0"/>
      <w:sz w:val="24"/>
      <w:szCs w:val="24"/>
    </w:rPr>
  </w:style>
  <w:style w:type="paragraph" w:styleId="BodyText">
    <w:name w:val="Body Text"/>
    <w:basedOn w:val="Normal"/>
    <w:link w:val="BodyTextChar"/>
    <w:rsid w:val="007B473D"/>
    <w:pPr>
      <w:spacing w:after="120"/>
    </w:pPr>
    <w:rPr>
      <w:rFonts w:eastAsiaTheme="minorHAnsi"/>
      <w:b w:val="0"/>
      <w:bCs w:val="0"/>
      <w:sz w:val="24"/>
      <w:szCs w:val="24"/>
    </w:rPr>
  </w:style>
  <w:style w:type="character" w:customStyle="1" w:styleId="BodyTextChar">
    <w:name w:val="Body Text Char"/>
    <w:basedOn w:val="DefaultParagraphFont"/>
    <w:link w:val="BodyText"/>
    <w:rsid w:val="007B473D"/>
  </w:style>
  <w:style w:type="paragraph" w:customStyle="1" w:styleId="TableCaption">
    <w:name w:val="Table Caption"/>
    <w:basedOn w:val="Normal"/>
    <w:rsid w:val="007B473D"/>
    <w:pPr>
      <w:spacing w:after="120"/>
    </w:pPr>
    <w:rPr>
      <w:rFonts w:eastAsiaTheme="minorHAnsi"/>
      <w:b w:val="0"/>
      <w:bCs w:val="0"/>
      <w:i/>
      <w:sz w:val="24"/>
      <w:szCs w:val="24"/>
    </w:rPr>
  </w:style>
  <w:style w:type="paragraph" w:customStyle="1" w:styleId="ImageCaption">
    <w:name w:val="Image Caption"/>
    <w:basedOn w:val="Normal"/>
    <w:rsid w:val="007B473D"/>
    <w:pPr>
      <w:spacing w:after="120"/>
    </w:pPr>
    <w:rPr>
      <w:rFonts w:eastAsiaTheme="minorHAnsi"/>
      <w:b w:val="0"/>
      <w:bCs w:val="0"/>
      <w:i/>
      <w:sz w:val="24"/>
      <w:szCs w:val="24"/>
    </w:rPr>
  </w:style>
  <w:style w:type="character" w:customStyle="1" w:styleId="VerbatimChar">
    <w:name w:val="Verbatim Char"/>
    <w:basedOn w:val="BodyTextChar"/>
    <w:link w:val="SourceCode"/>
    <w:rsid w:val="007B473D"/>
    <w:rPr>
      <w:rFonts w:ascii="Consolas" w:hAnsi="Consolas"/>
    </w:rPr>
  </w:style>
  <w:style w:type="character" w:customStyle="1" w:styleId="FootnoteRef">
    <w:name w:val="Footnote Ref"/>
    <w:basedOn w:val="BodyTextChar"/>
    <w:rsid w:val="007B473D"/>
    <w:rPr>
      <w:vertAlign w:val="superscript"/>
    </w:rPr>
  </w:style>
  <w:style w:type="character" w:customStyle="1" w:styleId="Link">
    <w:name w:val="Link"/>
    <w:basedOn w:val="BodyTextChar"/>
    <w:rsid w:val="007B473D"/>
    <w:rPr>
      <w:color w:val="5B9BD5" w:themeColor="accent1"/>
    </w:rPr>
  </w:style>
  <w:style w:type="paragraph" w:customStyle="1" w:styleId="SourceCode">
    <w:name w:val="Source Code"/>
    <w:basedOn w:val="Normal"/>
    <w:link w:val="VerbatimChar"/>
    <w:rsid w:val="007B473D"/>
    <w:pPr>
      <w:wordWrap w:val="0"/>
      <w:spacing w:after="200"/>
    </w:pPr>
    <w:rPr>
      <w:rFonts w:ascii="Consolas" w:eastAsiaTheme="minorHAnsi" w:hAnsi="Consolas"/>
      <w:b w:val="0"/>
      <w:bCs w:val="0"/>
      <w:sz w:val="24"/>
      <w:szCs w:val="24"/>
    </w:rPr>
  </w:style>
  <w:style w:type="character" w:customStyle="1" w:styleId="KeywordTok">
    <w:name w:val="KeywordTok"/>
    <w:basedOn w:val="VerbatimChar"/>
    <w:rsid w:val="007B473D"/>
    <w:rPr>
      <w:rFonts w:ascii="Consolas" w:hAnsi="Consolas"/>
      <w:b/>
      <w:color w:val="007020"/>
    </w:rPr>
  </w:style>
  <w:style w:type="character" w:customStyle="1" w:styleId="DataTypeTok">
    <w:name w:val="DataTypeTok"/>
    <w:basedOn w:val="VerbatimChar"/>
    <w:rsid w:val="007B473D"/>
    <w:rPr>
      <w:rFonts w:ascii="Consolas" w:hAnsi="Consolas"/>
      <w:color w:val="902000"/>
    </w:rPr>
  </w:style>
  <w:style w:type="character" w:customStyle="1" w:styleId="DecValTok">
    <w:name w:val="DecValTok"/>
    <w:basedOn w:val="VerbatimChar"/>
    <w:rsid w:val="007B473D"/>
    <w:rPr>
      <w:rFonts w:ascii="Consolas" w:hAnsi="Consolas"/>
      <w:color w:val="40A070"/>
    </w:rPr>
  </w:style>
  <w:style w:type="character" w:customStyle="1" w:styleId="BaseNTok">
    <w:name w:val="BaseNTok"/>
    <w:basedOn w:val="VerbatimChar"/>
    <w:rsid w:val="007B473D"/>
    <w:rPr>
      <w:rFonts w:ascii="Consolas" w:hAnsi="Consolas"/>
      <w:color w:val="40A070"/>
    </w:rPr>
  </w:style>
  <w:style w:type="character" w:customStyle="1" w:styleId="FloatTok">
    <w:name w:val="FloatTok"/>
    <w:basedOn w:val="VerbatimChar"/>
    <w:rsid w:val="007B473D"/>
    <w:rPr>
      <w:rFonts w:ascii="Consolas" w:hAnsi="Consolas"/>
      <w:color w:val="40A070"/>
    </w:rPr>
  </w:style>
  <w:style w:type="character" w:customStyle="1" w:styleId="CharTok">
    <w:name w:val="CharTok"/>
    <w:basedOn w:val="VerbatimChar"/>
    <w:rsid w:val="007B473D"/>
    <w:rPr>
      <w:rFonts w:ascii="Consolas" w:hAnsi="Consolas"/>
      <w:color w:val="4070A0"/>
    </w:rPr>
  </w:style>
  <w:style w:type="character" w:customStyle="1" w:styleId="StringTok">
    <w:name w:val="StringTok"/>
    <w:basedOn w:val="VerbatimChar"/>
    <w:rsid w:val="007B473D"/>
    <w:rPr>
      <w:rFonts w:ascii="Consolas" w:hAnsi="Consolas"/>
      <w:color w:val="4070A0"/>
    </w:rPr>
  </w:style>
  <w:style w:type="character" w:customStyle="1" w:styleId="CommentTok">
    <w:name w:val="CommentTok"/>
    <w:basedOn w:val="VerbatimChar"/>
    <w:rsid w:val="007B473D"/>
    <w:rPr>
      <w:rFonts w:ascii="Consolas" w:hAnsi="Consolas"/>
      <w:i/>
      <w:color w:val="60A0B0"/>
    </w:rPr>
  </w:style>
  <w:style w:type="character" w:customStyle="1" w:styleId="OtherTok">
    <w:name w:val="OtherTok"/>
    <w:basedOn w:val="VerbatimChar"/>
    <w:rsid w:val="007B473D"/>
    <w:rPr>
      <w:rFonts w:ascii="Consolas" w:hAnsi="Consolas"/>
      <w:color w:val="007020"/>
    </w:rPr>
  </w:style>
  <w:style w:type="character" w:customStyle="1" w:styleId="AlertTok">
    <w:name w:val="AlertTok"/>
    <w:basedOn w:val="VerbatimChar"/>
    <w:rsid w:val="007B473D"/>
    <w:rPr>
      <w:rFonts w:ascii="Consolas" w:hAnsi="Consolas"/>
      <w:b/>
      <w:color w:val="FF0000"/>
    </w:rPr>
  </w:style>
  <w:style w:type="character" w:customStyle="1" w:styleId="FunctionTok">
    <w:name w:val="FunctionTok"/>
    <w:basedOn w:val="VerbatimChar"/>
    <w:rsid w:val="007B473D"/>
    <w:rPr>
      <w:rFonts w:ascii="Consolas" w:hAnsi="Consolas"/>
      <w:color w:val="06287E"/>
    </w:rPr>
  </w:style>
  <w:style w:type="character" w:customStyle="1" w:styleId="RegionMarkerTok">
    <w:name w:val="RegionMarkerTok"/>
    <w:basedOn w:val="VerbatimChar"/>
    <w:rsid w:val="007B473D"/>
    <w:rPr>
      <w:rFonts w:ascii="Consolas" w:hAnsi="Consolas"/>
    </w:rPr>
  </w:style>
  <w:style w:type="character" w:customStyle="1" w:styleId="ErrorTok">
    <w:name w:val="ErrorTok"/>
    <w:basedOn w:val="VerbatimChar"/>
    <w:rsid w:val="007B473D"/>
    <w:rPr>
      <w:rFonts w:ascii="Consolas" w:hAnsi="Consolas"/>
      <w:b/>
      <w:color w:val="FF0000"/>
    </w:rPr>
  </w:style>
  <w:style w:type="character" w:customStyle="1" w:styleId="NormalTok">
    <w:name w:val="NormalTok"/>
    <w:basedOn w:val="VerbatimChar"/>
    <w:rsid w:val="007B473D"/>
    <w:rPr>
      <w:rFonts w:ascii="Consolas" w:hAnsi="Consolas"/>
    </w:rPr>
  </w:style>
  <w:style w:type="character" w:styleId="PlaceholderText">
    <w:name w:val="Placeholder Text"/>
    <w:basedOn w:val="DefaultParagraphFont"/>
    <w:uiPriority w:val="99"/>
    <w:semiHidden/>
    <w:rsid w:val="007B473D"/>
    <w:rPr>
      <w:color w:val="808080"/>
    </w:rPr>
  </w:style>
  <w:style w:type="character" w:styleId="CommentReference">
    <w:name w:val="annotation reference"/>
    <w:basedOn w:val="DefaultParagraphFont"/>
    <w:uiPriority w:val="99"/>
    <w:semiHidden/>
    <w:unhideWhenUsed/>
    <w:rsid w:val="007B473D"/>
    <w:rPr>
      <w:sz w:val="18"/>
      <w:szCs w:val="18"/>
    </w:rPr>
  </w:style>
  <w:style w:type="paragraph" w:styleId="CommentText">
    <w:name w:val="annotation text"/>
    <w:basedOn w:val="Normal"/>
    <w:link w:val="CommentTextChar"/>
    <w:uiPriority w:val="99"/>
    <w:unhideWhenUsed/>
    <w:rsid w:val="007B473D"/>
    <w:rPr>
      <w:sz w:val="24"/>
      <w:szCs w:val="24"/>
    </w:rPr>
  </w:style>
  <w:style w:type="character" w:customStyle="1" w:styleId="CommentTextChar">
    <w:name w:val="Comment Text Char"/>
    <w:basedOn w:val="DefaultParagraphFont"/>
    <w:link w:val="CommentText"/>
    <w:uiPriority w:val="99"/>
    <w:rsid w:val="007B473D"/>
    <w:rPr>
      <w:rFonts w:eastAsiaTheme="minorEastAsia"/>
      <w:b/>
      <w:bCs/>
    </w:rPr>
  </w:style>
  <w:style w:type="paragraph" w:styleId="CommentSubject">
    <w:name w:val="annotation subject"/>
    <w:basedOn w:val="CommentText"/>
    <w:next w:val="CommentText"/>
    <w:link w:val="CommentSubjectChar"/>
    <w:uiPriority w:val="99"/>
    <w:semiHidden/>
    <w:unhideWhenUsed/>
    <w:rsid w:val="007B473D"/>
    <w:rPr>
      <w:sz w:val="20"/>
      <w:szCs w:val="20"/>
    </w:rPr>
  </w:style>
  <w:style w:type="character" w:customStyle="1" w:styleId="CommentSubjectChar">
    <w:name w:val="Comment Subject Char"/>
    <w:basedOn w:val="CommentTextChar"/>
    <w:link w:val="CommentSubject"/>
    <w:uiPriority w:val="99"/>
    <w:semiHidden/>
    <w:rsid w:val="007B473D"/>
    <w:rPr>
      <w:rFonts w:eastAsiaTheme="minorEastAsia"/>
      <w:b/>
      <w:bCs/>
      <w:sz w:val="20"/>
      <w:szCs w:val="20"/>
    </w:rPr>
  </w:style>
  <w:style w:type="paragraph" w:styleId="BalloonText">
    <w:name w:val="Balloon Text"/>
    <w:basedOn w:val="Normal"/>
    <w:link w:val="BalloonTextChar"/>
    <w:uiPriority w:val="99"/>
    <w:semiHidden/>
    <w:unhideWhenUsed/>
    <w:rsid w:val="007B47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73D"/>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7B473D"/>
    <w:rPr>
      <w:sz w:val="24"/>
      <w:szCs w:val="24"/>
    </w:rPr>
  </w:style>
  <w:style w:type="character" w:customStyle="1" w:styleId="FootnoteTextChar">
    <w:name w:val="Footnote Text Char"/>
    <w:basedOn w:val="DefaultParagraphFont"/>
    <w:link w:val="FootnoteText"/>
    <w:uiPriority w:val="99"/>
    <w:rsid w:val="007B473D"/>
    <w:rPr>
      <w:rFonts w:eastAsiaTheme="minorEastAsia"/>
      <w:b/>
      <w:bCs/>
    </w:rPr>
  </w:style>
  <w:style w:type="character" w:styleId="FootnoteReference">
    <w:name w:val="footnote reference"/>
    <w:basedOn w:val="DefaultParagraphFont"/>
    <w:uiPriority w:val="99"/>
    <w:unhideWhenUsed/>
    <w:rsid w:val="007B473D"/>
    <w:rPr>
      <w:vertAlign w:val="superscript"/>
    </w:rPr>
  </w:style>
  <w:style w:type="character" w:styleId="Hyperlink">
    <w:name w:val="Hyperlink"/>
    <w:basedOn w:val="DefaultParagraphFont"/>
    <w:uiPriority w:val="99"/>
    <w:unhideWhenUsed/>
    <w:rsid w:val="007B473D"/>
    <w:rPr>
      <w:color w:val="0563C1" w:themeColor="hyperlink"/>
      <w:u w:val="single"/>
    </w:rPr>
  </w:style>
  <w:style w:type="paragraph" w:styleId="Subtitle">
    <w:name w:val="Subtitle"/>
    <w:basedOn w:val="Normal"/>
    <w:next w:val="Normal"/>
    <w:link w:val="SubtitleChar"/>
    <w:rsid w:val="007B473D"/>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7B473D"/>
    <w:rPr>
      <w:rFonts w:ascii="Georgia" w:eastAsia="Georgia" w:hAnsi="Georgia" w:cs="Georgia"/>
      <w:i/>
      <w:color w:val="666666"/>
      <w:sz w:val="48"/>
      <w:szCs w:val="48"/>
    </w:rPr>
  </w:style>
  <w:style w:type="paragraph" w:styleId="Header">
    <w:name w:val="header"/>
    <w:basedOn w:val="Normal"/>
    <w:link w:val="HeaderChar"/>
    <w:uiPriority w:val="99"/>
    <w:unhideWhenUsed/>
    <w:rsid w:val="007B473D"/>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7B473D"/>
    <w:rPr>
      <w:rFonts w:ascii="Calibri" w:eastAsia="Calibri" w:hAnsi="Calibri" w:cs="Calibri"/>
      <w:color w:val="000000"/>
    </w:rPr>
  </w:style>
  <w:style w:type="paragraph" w:styleId="Footer">
    <w:name w:val="footer"/>
    <w:basedOn w:val="Normal"/>
    <w:link w:val="FooterChar"/>
    <w:uiPriority w:val="99"/>
    <w:unhideWhenUsed/>
    <w:rsid w:val="007B473D"/>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7B473D"/>
    <w:rPr>
      <w:rFonts w:ascii="Calibri" w:eastAsia="Calibri" w:hAnsi="Calibri" w:cs="Calibri"/>
      <w:color w:val="000000"/>
    </w:rPr>
  </w:style>
  <w:style w:type="character" w:styleId="PageNumber">
    <w:name w:val="page number"/>
    <w:basedOn w:val="DefaultParagraphFont"/>
    <w:uiPriority w:val="99"/>
    <w:semiHidden/>
    <w:unhideWhenUsed/>
    <w:rsid w:val="007B473D"/>
  </w:style>
  <w:style w:type="paragraph" w:styleId="Revision">
    <w:name w:val="Revision"/>
    <w:hidden/>
    <w:uiPriority w:val="99"/>
    <w:semiHidden/>
    <w:rsid w:val="007B473D"/>
    <w:rPr>
      <w:rFonts w:eastAsiaTheme="minorEastAsia"/>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hyperlink" Target="http://www.fishbase.org/summary/Sebastes-melano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11743</Words>
  <Characters>66939</Characters>
  <Application>Microsoft Macintosh Word</Application>
  <DocSecurity>0</DocSecurity>
  <Lines>557</Lines>
  <Paragraphs>157</Paragraphs>
  <ScaleCrop>false</ScaleCrop>
  <LinksUpToDate>false</LinksUpToDate>
  <CharactersWithSpaces>78525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1</cp:revision>
  <dcterms:created xsi:type="dcterms:W3CDTF">2016-07-05T21:45:00Z</dcterms:created>
  <dcterms:modified xsi:type="dcterms:W3CDTF">2016-07-05T21:46:00Z</dcterms:modified>
</cp:coreProperties>
</file>