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</w:t>
      </w:r>
    </w:p>
    <w:p>
      <w:pPr>
        <w:shd w:val="clear" w:color="auto" w:fill="EEF4FB"/>
        <w:ind w:left="227" w:right="227"/>
      </w:pPr>
      <w:r>
        <w:rPr>
          <w:b/>
          <w:i w:val="0"/>
          <w:sz w:val="19"/>
        </w:rPr>
        <w:t>Section owners:</w:t>
      </w:r>
      <w:r>
        <w:rPr>
          <w:b w:val="0"/>
          <w:i w:val="0"/>
          <w:sz w:val="19"/>
        </w:rPr>
        <w:t xml:space="preserve"> Prashant, Ankit, Sharvesh. </w:t>
      </w:r>
      <w:r>
        <w:rPr>
          <w:b/>
          <w:i w:val="0"/>
          <w:sz w:val="19"/>
        </w:rPr>
        <w:t>Convention:</w:t>
      </w:r>
      <w:r>
        <w:rPr>
          <w:b w:val="0"/>
          <w:i w:val="0"/>
          <w:sz w:val="19"/>
        </w:rPr>
        <w:t xml:space="preserve"> draft last. </w:t>
      </w:r>
      <w:r>
        <w:rPr>
          <w:b/>
          <w:i w:val="0"/>
          <w:sz w:val="19"/>
        </w:rPr>
        <w:t>Status (2026-09-30):</w:t>
      </w:r>
      <w:r>
        <w:rPr>
          <w:b w:val="0"/>
          <w:i w:val="0"/>
          <w:sz w:val="19"/>
        </w:rPr>
        <w:t xml:space="preserve"> rewritten on the executed modules, including the a09 fleet interval. Every value cites </w:t>
      </w:r>
      <w:r>
        <w:rPr>
          <w:rFonts w:ascii="Consolas" w:hAnsi="Consolas"/>
          <w:b w:val="0"/>
          <w:sz w:val="16"/>
        </w:rPr>
        <w:t>[CL-xx]</w:t>
      </w:r>
      <w:r>
        <w:rPr>
          <w:b w:val="0"/>
          <w:i w:val="0"/>
          <w:sz w:val="19"/>
        </w:rPr>
        <w:t xml:space="preserve">. Kashmir-Division scope; the legacy "342 permits → 207 routes / ~1,009 fleet / Srinagar-metropolitan" framing is </w:t>
      </w:r>
      <w:r>
        <w:rPr>
          <w:b/>
          <w:i w:val="0"/>
          <w:sz w:val="19"/>
        </w:rPr>
        <w:t>superseded and barred</w:t>
      </w:r>
      <w:r>
        <w:rPr>
          <w:b w:val="0"/>
          <w:i w:val="0"/>
          <w:sz w:val="19"/>
        </w:rPr>
        <w:t>. ~230 words.</w:t>
      </w:r>
    </w:p>
    <w:p>
      <w:pPr>
        <w:jc w:val="both"/>
      </w:pPr>
      <w:r>
        <w:rPr>
          <w:b w:val="0"/>
          <w:i w:val="0"/>
        </w:rPr>
        <w:t xml:space="preserve">Most Indian cities that need bus-network reform lack the origin–destination and ridership data that route-optimisation methods assume. We present an open-data, demand-free framework for bus route rationalisation and fleet sizing and apply it to Kashmir Division, India (6,584,762 residents) </w:t>
      </w:r>
      <w:r>
        <w:rPr>
          <w:rFonts w:ascii="Consolas" w:hAnsi="Consolas"/>
          <w:b w:val="0"/>
          <w:sz w:val="20"/>
        </w:rPr>
        <w:t>[CL-11]</w:t>
      </w:r>
      <w:r>
        <w:rPr>
          <w:b w:val="0"/>
          <w:i w:val="0"/>
        </w:rPr>
        <w:t xml:space="preserve">, using a gridded population surface, OpenStreetMap, a routing engine and the digitised permit register. Its 614 route records (445 private permits and 169 timetabled services) describe only 157 corridors, so the plan's apparent 71 % "route reduction" is 99.4 % corridor retention plus a change of unit </w:t>
      </w:r>
      <w:r>
        <w:rPr>
          <w:rFonts w:ascii="Consolas" w:hAnsi="Consolas"/>
          <w:b w:val="0"/>
          <w:sz w:val="20"/>
        </w:rPr>
        <w:t>[CL-01, CL-02, CL-07, CL-08]</w:t>
      </w:r>
      <w:r>
        <w:rPr>
          <w:b w:val="0"/>
          <w:i w:val="0"/>
        </w:rPr>
        <w:t xml:space="preserve">. Measuring catchments on the pedestrian network rather than as straight-line buffers lowers population served by a median of </w:t>
      </w:r>
      <w:r>
        <w:rPr>
          <w:b/>
          <w:i w:val="0"/>
        </w:rPr>
        <w:t>37.4 % per route</w:t>
      </w:r>
      <w:r>
        <w:rPr>
          <w:b w:val="0"/>
          <w:i w:val="0"/>
        </w:rPr>
        <w:t xml:space="preserve"> and division coverage from </w:t>
      </w:r>
      <w:r>
        <w:rPr>
          <w:b/>
          <w:i w:val="0"/>
        </w:rPr>
        <w:t>35.5 % to 24.2 %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sz w:val="20"/>
        </w:rPr>
        <w:t>[CL-26, CL-28]</w:t>
      </w:r>
      <w:r>
        <w:rPr>
          <w:b w:val="0"/>
          <w:i w:val="0"/>
        </w:rPr>
        <w:t xml:space="preserve">; only 10.4 % of residents live near a 15-minute service </w:t>
      </w:r>
      <w:r>
        <w:rPr>
          <w:rFonts w:ascii="Consolas" w:hAnsi="Consolas"/>
          <w:b w:val="0"/>
          <w:sz w:val="20"/>
        </w:rPr>
        <w:t>[CL-42]</w:t>
      </w:r>
      <w:r>
        <w:rPr>
          <w:b w:val="0"/>
          <w:i w:val="0"/>
        </w:rPr>
        <w:t xml:space="preserve">. Against 2,526 driver-GPS service runs, modelled run times are too fast and a per-kilometre cap, not demand, sets cycle time on 169 of 186 routes </w:t>
      </w:r>
      <w:r>
        <w:rPr>
          <w:rFonts w:ascii="Consolas" w:hAnsi="Consolas"/>
          <w:b w:val="0"/>
          <w:sz w:val="20"/>
        </w:rPr>
        <w:t>[CL-18, CL-31]</w:t>
      </w:r>
      <w:r>
        <w:rPr>
          <w:b w:val="0"/>
          <w:i w:val="0"/>
        </w:rPr>
        <w:t xml:space="preserve">. Joint uncertainty analysis therefore reports the fleet as a range: 989–1,058 buses as specified, but </w:t>
      </w:r>
      <w:r>
        <w:rPr>
          <w:b/>
          <w:i w:val="0"/>
        </w:rPr>
        <w:t>1,130–1,266 at observed pace</w:t>
      </w:r>
      <w:r>
        <w:rPr>
          <w:b w:val="0"/>
          <w:i w:val="0"/>
        </w:rPr>
        <w:t xml:space="preserve">, against a published 1,011; the service hierarchy is robust (97.8 % tier agreement) </w:t>
      </w:r>
      <w:r>
        <w:rPr>
          <w:rFonts w:ascii="Consolas" w:hAnsi="Consolas"/>
          <w:b w:val="0"/>
          <w:sz w:val="20"/>
        </w:rPr>
        <w:t>[CL-56, CL-57]</w:t>
      </w:r>
      <w:r>
        <w:rPr>
          <w:b w:val="0"/>
          <w:i w:val="0"/>
        </w:rPr>
        <w:t xml:space="preserve">. Thirty per cent of the fleet, bought in order of new residents reached per bus, delivers 92 % of the plan's coverage </w:t>
      </w:r>
      <w:r>
        <w:rPr>
          <w:rFonts w:ascii="Consolas" w:hAnsi="Consolas"/>
          <w:b w:val="0"/>
          <w:sz w:val="20"/>
        </w:rPr>
        <w:t>[CL-61]</w:t>
      </w:r>
      <w:r>
        <w:rPr>
          <w:b w:val="0"/>
          <w:i w:val="0"/>
        </w:rPr>
        <w:t>. The plan is decision-robust in its hierarchy, not demand-validated.</w:t>
      </w:r>
    </w:p>
    <w:p>
      <w:pPr>
        <w:jc w:val="both"/>
      </w:pPr>
      <w:r>
        <w:rPr>
          <w:b/>
          <w:i w:val="0"/>
        </w:rPr>
        <w:t>Keywords:</w:t>
      </w:r>
      <w:r>
        <w:rPr>
          <w:b w:val="0"/>
          <w:i w:val="0"/>
        </w:rPr>
        <w:t xml:space="preserve"> bus route rationalisation; demand-data scarcity; open data; network walk catchments; fleet sizing; uncertainty analysis; Kashmir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11111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11111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</dc:title>
  <dc:subject/>
  <dc:creator>Kashmir bus route rationalisation study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