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Literature review and research gap</w:t>
      </w:r>
    </w:p>
    <w:p>
      <w:pPr>
        <w:shd w:val="clear" w:color="auto" w:fill="EEF4FB"/>
        <w:ind w:left="227" w:right="227"/>
      </w:pPr>
      <w:r>
        <w:rPr>
          <w:b/>
          <w:i w:val="0"/>
          <w:sz w:val="19"/>
        </w:rPr>
        <w:t>Section owners:</w:t>
      </w:r>
      <w:r>
        <w:rPr>
          <w:b w:val="0"/>
          <w:i w:val="0"/>
          <w:sz w:val="19"/>
        </w:rPr>
        <w:t xml:space="preserve"> Sharvesh, Ankit. </w:t>
      </w:r>
      <w:r>
        <w:rPr>
          <w:b/>
          <w:i w:val="0"/>
          <w:sz w:val="19"/>
        </w:rPr>
        <w:t>Target:</w:t>
      </w:r>
      <w:r>
        <w:rPr>
          <w:b w:val="0"/>
          <w:i w:val="0"/>
          <w:sz w:val="19"/>
        </w:rPr>
        <w:t xml:space="preserve"> ~900 words (D26). </w:t>
      </w:r>
      <w:r>
        <w:rPr>
          <w:b/>
          <w:i w:val="0"/>
          <w:sz w:val="19"/>
        </w:rPr>
        <w:t>Status (2026-10-04):</w:t>
      </w:r>
      <w:r>
        <w:rPr>
          <w:b w:val="0"/>
          <w:i w:val="0"/>
          <w:sz w:val="19"/>
        </w:rPr>
        <w:t xml:space="preserve"> rewritten on an executed review. Decision </w:t>
      </w:r>
      <w:r>
        <w:rPr>
          <w:b/>
          <w:i w:val="0"/>
          <w:sz w:val="19"/>
        </w:rPr>
        <w:t>D5 = Option A</w:t>
      </w:r>
      <w:r>
        <w:rPr>
          <w:b w:val="0"/>
          <w:i w:val="0"/>
          <w:sz w:val="19"/>
        </w:rPr>
        <w:t xml:space="preserve">: the search was run (OpenAlex and Scopus, 30 September – 1 October 2026), 60 studies were coded (46 from full text), and the §2.8 cross-tabulation is computed, not asserted. Protocol, query log, screening counts, coding rubric, novelty check and the full Table 1 are in </w:t>
      </w:r>
      <w:r>
        <w:rPr>
          <w:rFonts w:ascii="Consolas" w:hAnsi="Consolas"/>
          <w:b w:val="0"/>
          <w:sz w:val="16"/>
        </w:rPr>
        <w:t>paper/literature_review/</w:t>
      </w:r>
      <w:r>
        <w:rPr>
          <w:b w:val="0"/>
          <w:i w:val="0"/>
          <w:sz w:val="19"/>
        </w:rPr>
        <w:t xml:space="preserve"> (Supplementary Material S1). Every citation resolves in </w:t>
      </w:r>
      <w:r>
        <w:rPr>
          <w:rFonts w:ascii="Consolas" w:hAnsi="Consolas"/>
          <w:b w:val="0"/>
          <w:sz w:val="16"/>
        </w:rPr>
        <w:t>references.bib</w:t>
      </w:r>
      <w:r>
        <w:rPr>
          <w:b w:val="0"/>
          <w:i w:val="0"/>
          <w:sz w:val="19"/>
        </w:rPr>
        <w:t xml:space="preserve"> and was checked against Crossref. Flags 2-A to 2-D are closed; open points are listed at the end.</w:t>
      </w:r>
    </w:p>
    <w:p>
      <w:pPr>
        <w:pStyle w:val="Heading2"/>
      </w:pPr>
      <w:r>
        <w:t>2.1 Review protocol</w:t>
      </w:r>
    </w:p>
    <w:p>
      <w:pPr>
        <w:jc w:val="both"/>
      </w:pPr>
      <w:r>
        <w:rPr>
          <w:b w:val="0"/>
          <w:i w:val="0"/>
        </w:rPr>
        <w:t>We searched Scopus (title, abstract, keywords) and OpenAlex (title, abstract) for English-language articles, conference papers and reviews from 2000 to 2026. Thirteen query blocks combined planning terms (network design, rationalisation, frequency setting, fleet size), data terms (origin–destination, smart card, data scarcity, open data, accessibility, equity) and context terms (India, Global South, paratransit, permits); six further Scopus queries targeted work resembling our own pipeline. The searches returned 5,488 unique records. A keyword pre-filter left 2,518 for title-and-abstract screening against written criteria (a first pass assisted by a large language model, then checked by the authors), and 873 were eligible. We coded a purposive, theme-stratified sample of 57 of these, plus three seminal earlier papers found by citation chaining, on data intensity, demand input, equity treatment, validation and planning output (Table 1; Supplementary Material S1). Forty-six were coded from full text.</w:t>
      </w:r>
    </w:p>
    <w:p>
      <w:pPr>
        <w:pStyle w:val="Heading2"/>
      </w:pPr>
      <w:r>
        <w:t>2.2 Network design and route rationalisation</w:t>
      </w:r>
    </w:p>
    <w:p>
      <w:pPr>
        <w:jc w:val="both"/>
      </w:pPr>
      <w:r>
        <w:rPr>
          <w:b w:val="0"/>
          <w:i w:val="0"/>
        </w:rPr>
        <w:t>The transit network design and frequency-setting problem has been reviewed repeatedly (Guihaire &amp; Hao, 2008; Kepaptsoglou &amp; Karlaftis, 2009; Ibarra-Rojas et al., 2015; Durán-Micco &amp; Vansteenwegen, 2022), and its operational fundamentals are textbook material (Vuchic, 2005; Ceder, 2016). The object optimised is a route set with frequencies and the objective is defined over passenger flows, so an origin–destination (OD) matrix is an input. Ten of our 60 coded studies are demonstrated only on benchmark or synthetic networks with a given OD matrix, most often the Mandl network (Mandl, 1980; Arbex &amp; da Cunha, 2015; Yoo et al., 2023). Real-city route-and-frequency plans exist, for Rome (Cipriani et al., 2012), Tin Shui Wai (Szeto &amp; Wu, 2011; Szeto &amp; Jiang, 2014), Miami-Dade (Zhao &amp; Zeng, 2008) and Bangalore (Verma et al., 2017), but each starts from a demand matrix.</w:t>
      </w:r>
    </w:p>
    <w:p>
      <w:pPr>
        <w:jc w:val="both"/>
      </w:pPr>
      <w:r>
        <w:rPr>
          <w:b w:val="0"/>
          <w:i w:val="0"/>
        </w:rPr>
        <w:t>Restructuring an inherited network is studied less often. Overlapping Istanbul routes have been altered inside an assignment model with a 452-zone OD matrix (Ergun &amp; Kesten, 2011), and 14 overlapping Bangkok routes merged using on-board counts (Hoonsiri et al., 2020). Duplication can be measured from schedule data alone, but that work stops at diagnosis (Barzegari et al., 2026).</w:t>
      </w:r>
    </w:p>
    <w:p>
      <w:pPr>
        <w:pStyle w:val="Heading2"/>
      </w:pPr>
      <w:r>
        <w:t>2.3 Demand estimation and its data requirements</w:t>
      </w:r>
    </w:p>
    <w:p>
      <w:pPr>
        <w:jc w:val="both"/>
      </w:pPr>
      <w:r>
        <w:rPr>
          <w:b w:val="0"/>
          <w:i w:val="0"/>
        </w:rPr>
        <w:t>Where demand is not surveyed it is inferred, and the inference consumes passive data: smart-card and vehicle-location records (Barry et al., 2009; Wang et al., 2011; Alsger et al., 2015), fare cards with GPS (Farzin, 2008), mobile-phone traces (Pinelli et al., 2016; Mittal &amp; Ukkusuri, 2025) or taxi GPS (Chen et al., 2014). Even an attempt to predict passenger flows from network properties alone was trained on fare-collection data (Luo et al., 2020). These sources presuppose electronic ticketing or operator instrumentation, which permit-based minibus systems do not have.</w:t>
      </w:r>
    </w:p>
    <w:p>
      <w:pPr>
        <w:pStyle w:val="Heading2"/>
      </w:pPr>
      <w:r>
        <w:t>2.4 Demand-independent and accessibility-based approaches</w:t>
      </w:r>
    </w:p>
    <w:p>
      <w:pPr>
        <w:jc w:val="both"/>
      </w:pPr>
      <w:r>
        <w:rPr>
          <w:b w:val="0"/>
          <w:i w:val="0"/>
        </w:rPr>
        <w:t>A second tradition plans against potential rather than realised travel: need indices built from census variables (Yao, 2007), accessibility surfaces (Tribby &amp; Zandbergen, 2012; Karner, 2018), and transit-desert detection that uses no demand data (Carmody et al., 2025). One recent study states the premise plainly, assuming demand proportional to population (Liu &amp; Rosenberg, 2026).</w:t>
      </w:r>
    </w:p>
    <w:p>
      <w:pPr>
        <w:jc w:val="both"/>
      </w:pPr>
      <w:r>
        <w:rPr>
          <w:b w:val="0"/>
          <w:i w:val="0"/>
        </w:rPr>
        <w:t>Two results from this tradition bear directly on our method, and we claim neither. First, straight-line buffers overstate catchment population relative to network distance (Gutierrez &amp; Garcia-Palomares, 2008; Biba et al., 2010; El-Geneidy et al., 2014), a bias also shown for Indian cities (Yenisetty &amp; Bahadure, 2020); §4 applies this correction and reports its size for our network. Second, headways can be set without ridership: frequencies on existing lines in Palma were adjusted from a socio-demographic need index (Ruiz et al., 2017). These studies evaluate networks or set a single service attribute. None carries the logic through to a fleet.</w:t>
      </w:r>
    </w:p>
    <w:p>
      <w:pPr>
        <w:pStyle w:val="Heading2"/>
      </w:pPr>
      <w:r>
        <w:t>2.5 Open data and planning under scarcity</w:t>
      </w:r>
    </w:p>
    <w:p>
      <w:pPr>
        <w:jc w:val="both"/>
      </w:pPr>
      <w:r>
        <w:rPr>
          <w:b w:val="0"/>
          <w:i w:val="0"/>
        </w:rPr>
        <w:t>Open inputs are now adequate for such work, with caveats. Gridded population is modelled, not observed (Tatem, 2017), and OpenStreetMap road completeness, although above 80 % globally, is uneven (Barrington-Leigh &amp; Millard-Ball, 2017). Schedule feeds support comparable accessibility measurement (Bok &amp; Kwon, 2016; Wessel &amp; Farber, 2019), and field mapping has produced network data for informal systems in Nairobi, Maputo and Bogotá (Williams et al., 2015; Klopp &amp; Cavoli, 2019; Vergel-Tovar et al., 2023), enabling cross-city comparison (Falchetta et al., 2021). This literature largely stops at representation and assessment. The exception designs a network for Maputo with WorldPop and OpenStreetMap inputs but relies on proprietary phone data for demand (Mittal &amp; Ukkusuri, 2025).</w:t>
      </w:r>
    </w:p>
    <w:p>
      <w:pPr>
        <w:pStyle w:val="Heading2"/>
      </w:pPr>
      <w:r>
        <w:t>2.6 Network indicators and equity</w:t>
      </w:r>
    </w:p>
    <w:p>
      <w:pPr>
        <w:jc w:val="both"/>
      </w:pPr>
      <w:r>
        <w:rPr>
          <w:b w:val="0"/>
          <w:i w:val="0"/>
        </w:rPr>
        <w:t>Distributional assessment of transit supply is established (Delbosc &amp; Currie, 2011), and equity has entered design as an objective or constraint (Ferguson et al., 2012; Camporeale et al., 2017; Kim et al., 2019). Of the 60 coded studies, 42 report no equity treatment.</w:t>
      </w:r>
    </w:p>
    <w:p>
      <w:pPr>
        <w:pStyle w:val="Heading2"/>
      </w:pPr>
      <w:r>
        <w:t>2.7 Indian and Global South evidence</w:t>
      </w:r>
    </w:p>
    <w:p>
      <w:pPr>
        <w:jc w:val="both"/>
      </w:pPr>
      <w:r>
        <w:rPr>
          <w:b w:val="0"/>
          <w:i w:val="0"/>
        </w:rPr>
        <w:t>Indian work is strong on diagnosis (Pucher et al., 2005; Badami &amp; Haider, 2007) and on accessibility mapping (Adhvaryu et al., 2019); an early feeder-route design drew on commuter counts at railway stations (Shrivastav &amp; Dhingra, 2001). In Kumasi, paratransit route inefficiency was shown from field GPS and gridded population, without a plan being proposed (Dumedah et al., 2023).</w:t>
      </w:r>
    </w:p>
    <w:p>
      <w:pPr>
        <w:jc w:val="both"/>
      </w:pPr>
      <w:r>
        <w:rPr>
          <w:b w:val="0"/>
          <w:i w:val="0"/>
        </w:rPr>
        <w:t>The closest study to ours restructures Mexicali's concession network by grouping overlapping routes and setting headways from a service floor and inherited frequencies, with a travel survey used only for evaluation (Sánchez-Atondo et al., 2026). It does not size a fleet and does not start from a permit register.</w:t>
      </w:r>
    </w:p>
    <w:p>
      <w:pPr>
        <w:pStyle w:val="Heading2"/>
      </w:pPr>
      <w:r>
        <w:t>2.8 Synthesis: the gap, quantified</w:t>
      </w:r>
    </w:p>
    <w:p>
      <w:pPr>
        <w:jc w:val="both"/>
      </w:pPr>
      <w:r>
        <w:rPr>
          <w:b w:val="0"/>
          <w:i w:val="0"/>
        </w:rPr>
        <w:t>Figure 2 cross-tabulates data intensity (1 = open data only; 5 = stop-level passive ridership) against planning output for the 56 studies that could be coded on both axes. Six produce a full plan, with routes and frequencies or fleet for a real city, and all six sit at intensity 4: each needs a demand matrix. None of the 30 studies at intensity 2–3 produces a full plan, although eight deliver part of one. The five studies at intensity 5 estimate demand and plan nothing, and no coded study operates at intensity 1. The literature can plan with a demand matrix or describe without one. It rarely plans without one.</w:t>
      </w:r>
    </w:p>
    <w:p>
      <w:pPr>
        <w:keepNext/>
        <w:jc w:val="center"/>
      </w:pPr>
      <w:r>
        <w:drawing>
          <wp:inline xmlns:a="http://schemas.openxmlformats.org/drawingml/2006/main" xmlns:pic="http://schemas.openxmlformats.org/drawingml/2006/picture">
            <wp:extent cx="5580000" cy="3372853"/>
            <wp:docPr id="1" name="Picture 1"/>
            <wp:cNvGraphicFramePr>
              <a:graphicFrameLocks noChangeAspect="1"/>
            </wp:cNvGraphicFramePr>
            <a:graphic>
              <a:graphicData uri="http://schemas.openxmlformats.org/drawingml/2006/picture">
                <pic:pic>
                  <pic:nvPicPr>
                    <pic:cNvPr id="0" name="fig02_gap_heatmap.png"/>
                    <pic:cNvPicPr/>
                  </pic:nvPicPr>
                  <pic:blipFill>
                    <a:blip r:embed="rId10"/>
                    <a:stretch>
                      <a:fillRect/>
                    </a:stretch>
                  </pic:blipFill>
                  <pic:spPr>
                    <a:xfrm>
                      <a:off x="0" y="0"/>
                      <a:ext cx="5580000" cy="3372853"/>
                    </a:xfrm>
                    <a:prstGeom prst="rect"/>
                  </pic:spPr>
                </pic:pic>
              </a:graphicData>
            </a:graphic>
          </wp:inline>
        </w:drawing>
      </w:r>
    </w:p>
    <w:p>
      <w:pPr>
        <w:jc w:val="center"/>
      </w:pPr>
      <w:r>
        <w:rPr>
          <w:b/>
          <w:i w:val="0"/>
          <w:sz w:val="20"/>
        </w:rPr>
        <w:t>Figure 2.</w:t>
      </w:r>
      <w:r>
        <w:rPr>
          <w:b w:val="0"/>
          <w:i w:val="0"/>
          <w:sz w:val="20"/>
        </w:rPr>
        <w:t xml:space="preserve"> Reviewed studies by data intensity required and planning output (n = 56). All six full plans need a demand matrix; none at intensity 1–3 produces one [CL-64].</w:t>
      </w:r>
    </w:p>
    <w:p>
      <w:pPr>
        <w:jc w:val="both"/>
      </w:pPr>
      <w:r>
        <w:rPr>
          <w:b w:val="0"/>
          <w:i w:val="0"/>
        </w:rPr>
        <w:t>The wedge is that most of the planning chain never needed demand. Cycle time depends on distance, speed and dwell; fleet is cycle time over headway (Vuchic, 2005; Ceder, 2016); coverage depends on geometry and population. Demand enters at one point, the frequency rule. Replace that rule with policy headway bands assigned by an ordinal open-data index, and everything downstream is computable without ridership. This is a decision logic, not a new model. To our knowledge, no study has taken a statutory stage-carriage permit register through to a tiered, fleet-sized network on this basis, with no origin–destination, ticketing, passenger-count or mobile-phone data at any stage, and tested whether the resulting decisions are robust to the index's uncertainty.</w:t>
      </w:r>
    </w:p>
    <w:p>
      <w:pPr>
        <w:pStyle w:val="Heading2"/>
      </w:pPr>
      <w:r>
        <w:t>Figure and table calls for §2</w:t>
      </w:r>
    </w:p>
    <w:p>
      <w:pPr>
        <w:pStyle w:val="ListBullet"/>
      </w:pPr>
      <w:r>
        <w:rPr>
          <w:b/>
          <w:i w:val="0"/>
        </w:rPr>
        <w:t>Figure 2 — Data intensity against planning output</w:t>
      </w:r>
      <w:r>
        <w:rPr>
          <w:b w:val="0"/>
          <w:i w:val="0"/>
        </w:rPr>
        <w:t xml:space="preserve"> (</w:t>
      </w:r>
      <w:r>
        <w:rPr>
          <w:rFonts w:ascii="Consolas" w:hAnsi="Consolas"/>
          <w:b w:val="0"/>
          <w:sz w:val="20"/>
        </w:rPr>
        <w:t>paper/figures/fig02_gap_heatmap</w:t>
      </w:r>
      <w:r>
        <w:rPr>
          <w:b w:val="0"/>
          <w:i w:val="0"/>
        </w:rPr>
        <w:t xml:space="preserve">), n = 56, gap region outlined. Generated by </w:t>
      </w:r>
      <w:r>
        <w:rPr>
          <w:rFonts w:ascii="Consolas" w:hAnsi="Consolas"/>
          <w:b w:val="0"/>
          <w:sz w:val="20"/>
        </w:rPr>
        <w:t>paper/literature_review/finalise_table1.py</w:t>
      </w:r>
      <w:r>
        <w:rPr>
          <w:b w:val="0"/>
          <w:i w:val="0"/>
        </w:rPr>
        <w:t>.</w:t>
      </w:r>
    </w:p>
    <w:p>
      <w:pPr>
        <w:pStyle w:val="ListBullet"/>
      </w:pPr>
      <w:r>
        <w:rPr>
          <w:b/>
          <w:i w:val="0"/>
        </w:rPr>
        <w:t>Table 1 — Synthesis matrix of the 60 coded studies</w:t>
      </w:r>
      <w:r>
        <w:rPr>
          <w:b w:val="0"/>
          <w:i w:val="0"/>
        </w:rPr>
        <w:t xml:space="preserve"> (</w:t>
      </w:r>
      <w:r>
        <w:rPr>
          <w:rFonts w:ascii="Consolas" w:hAnsi="Consolas"/>
          <w:b w:val="0"/>
          <w:sz w:val="20"/>
        </w:rPr>
        <w:t>paper/tables/table01_synthesis_matrix</w:t>
      </w:r>
      <w:r>
        <w:rPr>
          <w:b w:val="0"/>
          <w:i w:val="0"/>
        </w:rPr>
        <w:t>). Too long for the main text under D26; proposed for Supplementary Material S1, with Figure 2 carrying the finding.</w:t>
      </w:r>
    </w:p>
    <w:p>
      <w:pPr>
        <w:shd w:val="clear" w:color="auto" w:fill="EEF4FB"/>
        <w:ind w:left="227" w:right="227"/>
      </w:pPr>
      <w:r>
        <w:rPr>
          <w:b/>
          <w:i w:val="0"/>
          <w:sz w:val="19"/>
        </w:rPr>
        <w:t>[OPEN 2-E — where our own study sits on the scale.]</w:t>
      </w:r>
      <w:r>
        <w:rPr>
          <w:b w:val="0"/>
          <w:i w:val="0"/>
          <w:sz w:val="19"/>
        </w:rPr>
        <w:t xml:space="preserve"> By the coding rubric the permit register is "official static data", so this study is intensity </w:t>
      </w:r>
      <w:r>
        <w:rPr>
          <w:b/>
          <w:i w:val="0"/>
          <w:sz w:val="19"/>
        </w:rPr>
        <w:t>2</w:t>
      </w:r>
      <w:r>
        <w:rPr>
          <w:b w:val="0"/>
          <w:i w:val="0"/>
          <w:sz w:val="19"/>
        </w:rPr>
        <w:t>, not 1, and v3.4.5 used app GPS (intensity-3 data) to correct cycle times on five routes. §2.8 therefore says "ordinal open-data index" and outlines the gap as full plans at intensity 1–2. Prashant to confirm this wording against §4.</w:t>
      </w:r>
    </w:p>
    <w:p>
      <w:pPr>
        <w:shd w:val="clear" w:color="auto" w:fill="EEF4FB"/>
        <w:ind w:left="227" w:right="227"/>
      </w:pPr>
      <w:r>
        <w:rPr>
          <w:b/>
          <w:i w:val="0"/>
          <w:sz w:val="19"/>
        </w:rPr>
        <w:t>[OPEN 2-F — four studies not on both axes.]</w:t>
      </w:r>
      <w:r>
        <w:rPr>
          <w:b w:val="0"/>
          <w:i w:val="0"/>
          <w:sz w:val="19"/>
        </w:rPr>
        <w:t xml:space="preserve"> C56 (Saleeshya and Anirudh, 2015), C57 (Blum and Mathew, 2012), C58 (Mandl, 1980) and C60 (Baaj and Mahmassani, 1991) could not be obtained in full text; they stay in Table 1 coded from abstracts with </w:t>
      </w:r>
      <w:r>
        <w:rPr>
          <w:rFonts w:ascii="Consolas" w:hAnsi="Consolas"/>
          <w:b w:val="0"/>
          <w:sz w:val="16"/>
        </w:rPr>
        <w:t>unclear</w:t>
      </w:r>
      <w:r>
        <w:rPr>
          <w:b w:val="0"/>
          <w:i w:val="0"/>
          <w:sz w:val="19"/>
        </w:rPr>
        <w:t xml:space="preserve"> fields and are excluded from Figure 2 (hence n = 56).</w:t>
      </w:r>
    </w:p>
    <w:p>
      <w:pPr>
        <w:shd w:val="clear" w:color="auto" w:fill="EEF4FB"/>
        <w:ind w:left="227" w:right="227"/>
      </w:pPr>
      <w:r>
        <w:rPr>
          <w:b/>
          <w:i w:val="0"/>
          <w:sz w:val="19"/>
        </w:rPr>
        <w:t>[OPEN 2-G — three "full plan" codes rest on method output.]</w:t>
      </w:r>
      <w:r>
        <w:rPr>
          <w:b w:val="0"/>
          <w:i w:val="0"/>
          <w:sz w:val="19"/>
        </w:rPr>
        <w:t xml:space="preserve"> Cipriani et al. (2012), Zhao and Zeng (2008) and Verma et al. (2017) produce routes and frequencies for a real city but print no route-by-route table. If "full plan" required a published table they would be Partial, leaving three full plans, all still at intensity 4. The finding does not change.</w:t>
      </w:r>
    </w:p>
    <w:p>
      <w:pPr>
        <w:shd w:val="clear" w:color="auto" w:fill="EEF4FB"/>
        <w:ind w:left="227" w:right="227"/>
      </w:pPr>
      <w:r>
        <w:rPr>
          <w:b/>
          <w:i w:val="0"/>
          <w:sz w:val="19"/>
        </w:rPr>
        <w:t>[OPEN 2-H — novelty wording.]</w:t>
      </w:r>
      <w:r>
        <w:rPr>
          <w:b w:val="0"/>
          <w:i w:val="0"/>
          <w:sz w:val="19"/>
        </w:rPr>
        <w:t xml:space="preserve"> The novelty check (750 records scored; five closest papers read in full) found prior work for every single step of the pipeline. Claims to avoid anywhere in the manuscript: first to restructure a legacy network under data scarcity; novel open-data demand proxy; novel overlap consolidation; first to set headways without ridership; first route rationalisation in India. See </w:t>
      </w:r>
      <w:r>
        <w:rPr>
          <w:rFonts w:ascii="Consolas" w:hAnsi="Consolas"/>
          <w:b w:val="0"/>
          <w:sz w:val="16"/>
        </w:rPr>
        <w:t>paper/literature_review/03_novelty_check.md</w:t>
      </w:r>
      <w:r>
        <w:rPr>
          <w:b w:val="0"/>
          <w:i w:val="0"/>
          <w:sz w:val="19"/>
        </w:rPr>
        <w:t xml:space="preserve"> and </w:t>
      </w:r>
      <w:r>
        <w:rPr>
          <w:rFonts w:ascii="Consolas" w:hAnsi="Consolas"/>
          <w:b w:val="0"/>
          <w:sz w:val="16"/>
        </w:rPr>
        <w:t>04_fulltext_verification.md</w:t>
      </w:r>
      <w:r>
        <w:rPr>
          <w:b w:val="0"/>
          <w:i w:val="0"/>
          <w:sz w:val="19"/>
        </w:rPr>
        <w:t>.</w:t>
      </w:r>
    </w:p>
    <w:p>
      <w:r>
        <w:br w:type="page"/>
      </w:r>
    </w:p>
    <w:p>
      <w:pPr>
        <w:pStyle w:val="Heading1"/>
      </w:pPr>
      <w:r>
        <w:t>References</w:t>
      </w:r>
    </w:p>
    <w:p>
      <w:pPr>
        <w:ind w:left="454" w:hanging="454"/>
      </w:pPr>
      <w:r>
        <w:rPr>
          <w:b w:val="0"/>
          <w:i w:val="0"/>
          <w:sz w:val="20"/>
        </w:rPr>
        <w:t xml:space="preserve">Adhvaryu, Chopde &amp; Dashora (2019). Mapping public transport accessibility levels (PTAL) in India and its applications: A case study of Surat. </w:t>
      </w:r>
      <w:r>
        <w:rPr>
          <w:b w:val="0"/>
          <w:i/>
          <w:sz w:val="20"/>
        </w:rPr>
        <w:t>Case Studies on Transport Policy</w:t>
      </w:r>
      <w:r>
        <w:rPr>
          <w:b w:val="0"/>
          <w:i w:val="0"/>
          <w:sz w:val="20"/>
        </w:rPr>
        <w:t>, 7(2), 293–300. https://doi.org/10.1016/j.cstp.2019.03.004</w:t>
      </w:r>
    </w:p>
    <w:p>
      <w:pPr>
        <w:ind w:left="454" w:hanging="454"/>
      </w:pPr>
      <w:r>
        <w:rPr>
          <w:b w:val="0"/>
          <w:i w:val="0"/>
          <w:sz w:val="20"/>
        </w:rPr>
        <w:t xml:space="preserve">Alsger, Mesbah, Ferreira &amp; Safi (2015). Use of Smart Card Fare Data to Estimate Public Transport Origin–Destination Matrix. </w:t>
      </w:r>
      <w:r>
        <w:rPr>
          <w:b w:val="0"/>
          <w:i/>
          <w:sz w:val="20"/>
        </w:rPr>
        <w:t>Transportation Research Record: Journal of the Transportation Research Board</w:t>
      </w:r>
      <w:r>
        <w:rPr>
          <w:b w:val="0"/>
          <w:i w:val="0"/>
          <w:sz w:val="20"/>
        </w:rPr>
        <w:t>, 2535(1), 88–96. https://doi.org/10.3141/2535-10</w:t>
      </w:r>
    </w:p>
    <w:p>
      <w:pPr>
        <w:ind w:left="454" w:hanging="454"/>
      </w:pPr>
      <w:r>
        <w:rPr>
          <w:b w:val="0"/>
          <w:i w:val="0"/>
          <w:sz w:val="20"/>
        </w:rPr>
        <w:t xml:space="preserve">Arbex &amp; da Cunha (2015). Efficient transit network design and frequencies setting multi-objective optimization by alternating objective genetic algorithm. </w:t>
      </w:r>
      <w:r>
        <w:rPr>
          <w:b w:val="0"/>
          <w:i/>
          <w:sz w:val="20"/>
        </w:rPr>
        <w:t>Transportation Research Part B: Methodological</w:t>
      </w:r>
      <w:r>
        <w:rPr>
          <w:b w:val="0"/>
          <w:i w:val="0"/>
          <w:sz w:val="20"/>
        </w:rPr>
        <w:t>, 81, 355–376. https://doi.org/10.1016/j.trb.2015.06.014</w:t>
      </w:r>
    </w:p>
    <w:p>
      <w:pPr>
        <w:ind w:left="454" w:hanging="454"/>
      </w:pPr>
      <w:r>
        <w:rPr>
          <w:b w:val="0"/>
          <w:i w:val="0"/>
          <w:sz w:val="20"/>
        </w:rPr>
        <w:t xml:space="preserve">Badami &amp; Haider (2007). An analysis of public bus transit performance in Indian cities. </w:t>
      </w:r>
      <w:r>
        <w:rPr>
          <w:b w:val="0"/>
          <w:i/>
          <w:sz w:val="20"/>
        </w:rPr>
        <w:t>Transportation Research Part A: Policy and Practice</w:t>
      </w:r>
      <w:r>
        <w:rPr>
          <w:b w:val="0"/>
          <w:i w:val="0"/>
          <w:sz w:val="20"/>
        </w:rPr>
        <w:t>, 41(10), 961–981. https://doi.org/10.1016/j.tra.2007.06.002</w:t>
      </w:r>
    </w:p>
    <w:p>
      <w:pPr>
        <w:ind w:left="454" w:hanging="454"/>
      </w:pPr>
      <w:r>
        <w:rPr>
          <w:b w:val="0"/>
          <w:i w:val="0"/>
          <w:sz w:val="20"/>
        </w:rPr>
        <w:t xml:space="preserve">Barrington-Leigh &amp; Millard-Ball (2017). The world's user-generated road map is more than 80% complete. </w:t>
      </w:r>
      <w:r>
        <w:rPr>
          <w:b w:val="0"/>
          <w:i/>
          <w:sz w:val="20"/>
        </w:rPr>
        <w:t>PLOS ONE</w:t>
      </w:r>
      <w:r>
        <w:rPr>
          <w:b w:val="0"/>
          <w:i w:val="0"/>
          <w:sz w:val="20"/>
        </w:rPr>
        <w:t>, 12(8), e0180698. https://doi.org/10.1371/journal.pone.0180698</w:t>
      </w:r>
    </w:p>
    <w:p>
      <w:pPr>
        <w:ind w:left="454" w:hanging="454"/>
      </w:pPr>
      <w:r>
        <w:rPr>
          <w:b w:val="0"/>
          <w:i w:val="0"/>
          <w:sz w:val="20"/>
        </w:rPr>
        <w:t xml:space="preserve">Barry, Freimer &amp; Slavin (2009). Use of Entry-Only Automatic Fare Collection Data to Estimate Linked Transit Trips in New York City. </w:t>
      </w:r>
      <w:r>
        <w:rPr>
          <w:b w:val="0"/>
          <w:i/>
          <w:sz w:val="20"/>
        </w:rPr>
        <w:t>Transportation Research Record: Journal of the Transportation Research Board</w:t>
      </w:r>
      <w:r>
        <w:rPr>
          <w:b w:val="0"/>
          <w:i w:val="0"/>
          <w:sz w:val="20"/>
        </w:rPr>
        <w:t>, 2112(1), 53–61. https://doi.org/10.3141/2112-07</w:t>
      </w:r>
    </w:p>
    <w:p>
      <w:pPr>
        <w:ind w:left="454" w:hanging="454"/>
      </w:pPr>
      <w:r>
        <w:rPr>
          <w:b w:val="0"/>
          <w:i w:val="0"/>
          <w:sz w:val="20"/>
        </w:rPr>
        <w:t xml:space="preserve">Barzegari, Taubkin, Barsukov &amp; Nourinejad (2026). A comprehensive analysis of duplication in public transportation. </w:t>
      </w:r>
      <w:r>
        <w:rPr>
          <w:b w:val="0"/>
          <w:i/>
          <w:sz w:val="20"/>
        </w:rPr>
        <w:t>Transportation Research Part A: Policy and Practice</w:t>
      </w:r>
      <w:r>
        <w:rPr>
          <w:b w:val="0"/>
          <w:i w:val="0"/>
          <w:sz w:val="20"/>
        </w:rPr>
        <w:t>, 204, 104747. https://doi.org/10.1016/j.tra.2025.104747</w:t>
      </w:r>
    </w:p>
    <w:p>
      <w:pPr>
        <w:ind w:left="454" w:hanging="454"/>
      </w:pPr>
      <w:r>
        <w:rPr>
          <w:b w:val="0"/>
          <w:i w:val="0"/>
          <w:sz w:val="20"/>
        </w:rPr>
        <w:t xml:space="preserve">Biba, Curtin &amp; Manca (2010). A new method for determining the population with walking access to transit. </w:t>
      </w:r>
      <w:r>
        <w:rPr>
          <w:b w:val="0"/>
          <w:i/>
          <w:sz w:val="20"/>
        </w:rPr>
        <w:t>International Journal of Geographical Information Science</w:t>
      </w:r>
      <w:r>
        <w:rPr>
          <w:b w:val="0"/>
          <w:i w:val="0"/>
          <w:sz w:val="20"/>
        </w:rPr>
        <w:t>, 24(3), 347–364. https://doi.org/10.1080/13658810802646679</w:t>
      </w:r>
    </w:p>
    <w:p>
      <w:pPr>
        <w:ind w:left="454" w:hanging="454"/>
      </w:pPr>
      <w:r>
        <w:rPr>
          <w:b w:val="0"/>
          <w:i w:val="0"/>
          <w:sz w:val="20"/>
        </w:rPr>
        <w:t xml:space="preserve">Bok &amp; Kwon (2016). Comparable Measures of Accessibility to Public Transport Using the General Transit Feed Specification. </w:t>
      </w:r>
      <w:r>
        <w:rPr>
          <w:b w:val="0"/>
          <w:i/>
          <w:sz w:val="20"/>
        </w:rPr>
        <w:t>Sustainability</w:t>
      </w:r>
      <w:r>
        <w:rPr>
          <w:b w:val="0"/>
          <w:i w:val="0"/>
          <w:sz w:val="20"/>
        </w:rPr>
        <w:t>, 8(3), 224. https://doi.org/10.3390/su8030224</w:t>
      </w:r>
    </w:p>
    <w:p>
      <w:pPr>
        <w:ind w:left="454" w:hanging="454"/>
      </w:pPr>
      <w:r>
        <w:rPr>
          <w:b w:val="0"/>
          <w:i w:val="0"/>
          <w:sz w:val="20"/>
        </w:rPr>
        <w:t xml:space="preserve">Camporeale, Caggiani, Fonzone &amp; Ottomanelli (2017). Quantifying the impacts of horizontal and vertical equity in transit route planning. </w:t>
      </w:r>
      <w:r>
        <w:rPr>
          <w:b w:val="0"/>
          <w:i/>
          <w:sz w:val="20"/>
        </w:rPr>
        <w:t>Transportation Planning and Technology</w:t>
      </w:r>
      <w:r>
        <w:rPr>
          <w:b w:val="0"/>
          <w:i w:val="0"/>
          <w:sz w:val="20"/>
        </w:rPr>
        <w:t>, 40(1), 28–44. https://doi.org/10.1080/03081060.2016.1238569</w:t>
      </w:r>
    </w:p>
    <w:p>
      <w:pPr>
        <w:ind w:left="454" w:hanging="454"/>
      </w:pPr>
      <w:r>
        <w:rPr>
          <w:b w:val="0"/>
          <w:i w:val="0"/>
          <w:sz w:val="20"/>
        </w:rPr>
        <w:t xml:space="preserve">Carmody, Zhu, He, Santi &amp; Ratti (2025). Identifying public transit deserts: A travel demand-independent persistent homology-based method. </w:t>
      </w:r>
      <w:r>
        <w:rPr>
          <w:b w:val="0"/>
          <w:i/>
          <w:sz w:val="20"/>
        </w:rPr>
        <w:t>Transportation Safety and Environment</w:t>
      </w:r>
      <w:r>
        <w:rPr>
          <w:b w:val="0"/>
          <w:i w:val="0"/>
          <w:sz w:val="20"/>
        </w:rPr>
        <w:t>, 7(2), tdaf015. https://doi.org/10.1093/tse/tdaf015</w:t>
      </w:r>
    </w:p>
    <w:p>
      <w:pPr>
        <w:ind w:left="454" w:hanging="454"/>
      </w:pPr>
      <w:r>
        <w:rPr>
          <w:b w:val="0"/>
          <w:i w:val="0"/>
          <w:sz w:val="20"/>
        </w:rPr>
        <w:t xml:space="preserve">Ceder (2016). Public Transit Planning and Operation: Modeling, Practice and Behavior. </w:t>
      </w:r>
      <w:r>
        <w:rPr>
          <w:b w:val="0"/>
          <w:i/>
          <w:sz w:val="20"/>
        </w:rPr>
        <w:t>CRC Press</w:t>
      </w:r>
      <w:r>
        <w:rPr>
          <w:b w:val="0"/>
          <w:i w:val="0"/>
          <w:sz w:val="20"/>
        </w:rPr>
        <w:t>. https://doi.org/10.1201/b18689</w:t>
      </w:r>
    </w:p>
    <w:p>
      <w:pPr>
        <w:ind w:left="454" w:hanging="454"/>
      </w:pPr>
      <w:r>
        <w:rPr>
          <w:b w:val="0"/>
          <w:i w:val="0"/>
          <w:sz w:val="20"/>
        </w:rPr>
        <w:t xml:space="preserve">Chen, Zhang, Li &amp; Zhou (2014). B-Planner: Planning Bidirectional Night Bus Routes Using Large-Scale Taxi GPS Traces. </w:t>
      </w:r>
      <w:r>
        <w:rPr>
          <w:b w:val="0"/>
          <w:i/>
          <w:sz w:val="20"/>
        </w:rPr>
        <w:t>IEEE Transactions on Intelligent Transportation Systems</w:t>
      </w:r>
      <w:r>
        <w:rPr>
          <w:b w:val="0"/>
          <w:i w:val="0"/>
          <w:sz w:val="20"/>
        </w:rPr>
        <w:t>, 15(4), 1451–1465. https://doi.org/10.1109/tits.2014.2298892</w:t>
      </w:r>
    </w:p>
    <w:p>
      <w:pPr>
        <w:ind w:left="454" w:hanging="454"/>
      </w:pPr>
      <w:r>
        <w:rPr>
          <w:b w:val="0"/>
          <w:i w:val="0"/>
          <w:sz w:val="20"/>
        </w:rPr>
        <w:t xml:space="preserve">Cipriani, Gori &amp; Petrelli (2012). Transit network design: A procedure and an application to a large urban area. </w:t>
      </w:r>
      <w:r>
        <w:rPr>
          <w:b w:val="0"/>
          <w:i/>
          <w:sz w:val="20"/>
        </w:rPr>
        <w:t>Transportation Research Part C: Emerging Technologies</w:t>
      </w:r>
      <w:r>
        <w:rPr>
          <w:b w:val="0"/>
          <w:i w:val="0"/>
          <w:sz w:val="20"/>
        </w:rPr>
        <w:t>, 20(1), 3–14. https://doi.org/10.1016/j.trc.2010.09.003</w:t>
      </w:r>
    </w:p>
    <w:p>
      <w:pPr>
        <w:ind w:left="454" w:hanging="454"/>
      </w:pPr>
      <w:r>
        <w:rPr>
          <w:b w:val="0"/>
          <w:i w:val="0"/>
          <w:sz w:val="20"/>
        </w:rPr>
        <w:t xml:space="preserve">Delbosc &amp; Currie (2011). Using Lorenz curves to assess public transport equity. </w:t>
      </w:r>
      <w:r>
        <w:rPr>
          <w:b w:val="0"/>
          <w:i/>
          <w:sz w:val="20"/>
        </w:rPr>
        <w:t>Journal of Transport Geography</w:t>
      </w:r>
      <w:r>
        <w:rPr>
          <w:b w:val="0"/>
          <w:i w:val="0"/>
          <w:sz w:val="20"/>
        </w:rPr>
        <w:t>, 19(6), 1252–1259. https://doi.org/10.1016/j.jtrangeo.2011.02.008</w:t>
      </w:r>
    </w:p>
    <w:p>
      <w:pPr>
        <w:ind w:left="454" w:hanging="454"/>
      </w:pPr>
      <w:r>
        <w:rPr>
          <w:b w:val="0"/>
          <w:i w:val="0"/>
          <w:sz w:val="20"/>
        </w:rPr>
        <w:t xml:space="preserve">Dumedah, Abass, Gyasi, Forkuor &amp; Novignon (2023). Inefficient allocation of paratransit service terminals and routes in Ghana: The role of driver unions and paratransit operators. </w:t>
      </w:r>
      <w:r>
        <w:rPr>
          <w:b w:val="0"/>
          <w:i/>
          <w:sz w:val="20"/>
        </w:rPr>
        <w:t>Journal of Transport Geography</w:t>
      </w:r>
      <w:r>
        <w:rPr>
          <w:b w:val="0"/>
          <w:i w:val="0"/>
          <w:sz w:val="20"/>
        </w:rPr>
        <w:t>, 111, 103643. https://doi.org/10.1016/j.jtrangeo.2023.103643</w:t>
      </w:r>
    </w:p>
    <w:p>
      <w:pPr>
        <w:ind w:left="454" w:hanging="454"/>
      </w:pPr>
      <w:r>
        <w:rPr>
          <w:b w:val="0"/>
          <w:i w:val="0"/>
          <w:sz w:val="20"/>
        </w:rPr>
        <w:t xml:space="preserve">Durán-Micco &amp; Vansteenwegen (2022). A survey on the transit network design and frequency setting problem. </w:t>
      </w:r>
      <w:r>
        <w:rPr>
          <w:b w:val="0"/>
          <w:i/>
          <w:sz w:val="20"/>
        </w:rPr>
        <w:t>Public Transport</w:t>
      </w:r>
      <w:r>
        <w:rPr>
          <w:b w:val="0"/>
          <w:i w:val="0"/>
          <w:sz w:val="20"/>
        </w:rPr>
        <w:t>, 14(1), 155–190. https://doi.org/10.1007/s12469-021-00284-y</w:t>
      </w:r>
    </w:p>
    <w:p>
      <w:pPr>
        <w:ind w:left="454" w:hanging="454"/>
      </w:pPr>
      <w:r>
        <w:rPr>
          <w:b w:val="0"/>
          <w:i w:val="0"/>
          <w:sz w:val="20"/>
        </w:rPr>
        <w:t xml:space="preserve">El-Geneidy, Grimsrud, Wasfi, Tetreault &amp; Surprenant-Legault (2014). New evidence on walking distances to transit stops: identifying redundancies and gaps using variable service areas. </w:t>
      </w:r>
      <w:r>
        <w:rPr>
          <w:b w:val="0"/>
          <w:i/>
          <w:sz w:val="20"/>
        </w:rPr>
        <w:t>Transportation</w:t>
      </w:r>
      <w:r>
        <w:rPr>
          <w:b w:val="0"/>
          <w:i w:val="0"/>
          <w:sz w:val="20"/>
        </w:rPr>
        <w:t>, 41(1), 193–210. https://doi.org/10.1007/s11116-013-9508-z</w:t>
      </w:r>
    </w:p>
    <w:p>
      <w:pPr>
        <w:ind w:left="454" w:hanging="454"/>
      </w:pPr>
      <w:r>
        <w:rPr>
          <w:b w:val="0"/>
          <w:i w:val="0"/>
          <w:sz w:val="20"/>
        </w:rPr>
        <w:t xml:space="preserve">Ergun &amp; Kesten (2011). Alteration of bus routes in large-scale networks. </w:t>
      </w:r>
      <w:r>
        <w:rPr>
          <w:b w:val="0"/>
          <w:i/>
          <w:sz w:val="20"/>
        </w:rPr>
        <w:t>Scientific Research and Essays</w:t>
      </w:r>
      <w:r>
        <w:rPr>
          <w:b w:val="0"/>
          <w:i w:val="0"/>
          <w:sz w:val="20"/>
        </w:rPr>
        <w:t>, 6(28), 5865–5882. https://doi.org/10.5897/SRE11.814</w:t>
      </w:r>
    </w:p>
    <w:p>
      <w:pPr>
        <w:ind w:left="454" w:hanging="454"/>
      </w:pPr>
      <w:r>
        <w:rPr>
          <w:b w:val="0"/>
          <w:i w:val="0"/>
          <w:sz w:val="20"/>
        </w:rPr>
        <w:t xml:space="preserve">Falchetta, Noussan &amp; Hammad (2021). Comparing paratransit in seven major African cities: An accessibility and network analysis. </w:t>
      </w:r>
      <w:r>
        <w:rPr>
          <w:b w:val="0"/>
          <w:i/>
          <w:sz w:val="20"/>
        </w:rPr>
        <w:t>Journal of Transport Geography</w:t>
      </w:r>
      <w:r>
        <w:rPr>
          <w:b w:val="0"/>
          <w:i w:val="0"/>
          <w:sz w:val="20"/>
        </w:rPr>
        <w:t>, 94, 103131. https://doi.org/10.1016/j.jtrangeo.2021.103131</w:t>
      </w:r>
    </w:p>
    <w:p>
      <w:pPr>
        <w:ind w:left="454" w:hanging="454"/>
      </w:pPr>
      <w:r>
        <w:rPr>
          <w:b w:val="0"/>
          <w:i w:val="0"/>
          <w:sz w:val="20"/>
        </w:rPr>
        <w:t xml:space="preserve">Farzin (2008). Constructing an Automated Bus Origin–Destination Matrix Using Farecard and Global Positioning System Data in São Paulo, Brazil. </w:t>
      </w:r>
      <w:r>
        <w:rPr>
          <w:b w:val="0"/>
          <w:i/>
          <w:sz w:val="20"/>
        </w:rPr>
        <w:t>Transportation Research Record: Journal of the Transportation Research Board</w:t>
      </w:r>
      <w:r>
        <w:rPr>
          <w:b w:val="0"/>
          <w:i w:val="0"/>
          <w:sz w:val="20"/>
        </w:rPr>
        <w:t>, 2072(1), 30–37. https://doi.org/10.3141/2072-04</w:t>
      </w:r>
    </w:p>
    <w:p>
      <w:pPr>
        <w:ind w:left="454" w:hanging="454"/>
      </w:pPr>
      <w:r>
        <w:rPr>
          <w:b w:val="0"/>
          <w:i w:val="0"/>
          <w:sz w:val="20"/>
        </w:rPr>
        <w:t xml:space="preserve">Ferguson, Duthie, Unnikrishnan &amp; Waller (2012). Incorporating equity into the transit frequency-setting problem. </w:t>
      </w:r>
      <w:r>
        <w:rPr>
          <w:b w:val="0"/>
          <w:i/>
          <w:sz w:val="20"/>
        </w:rPr>
        <w:t>Transportation Research Part A: Policy and Practice</w:t>
      </w:r>
      <w:r>
        <w:rPr>
          <w:b w:val="0"/>
          <w:i w:val="0"/>
          <w:sz w:val="20"/>
        </w:rPr>
        <w:t>, 46(1), 190–199. https://doi.org/10.1016/j.tra.2011.06.002</w:t>
      </w:r>
    </w:p>
    <w:p>
      <w:pPr>
        <w:ind w:left="454" w:hanging="454"/>
      </w:pPr>
      <w:r>
        <w:rPr>
          <w:b w:val="0"/>
          <w:i w:val="0"/>
          <w:sz w:val="20"/>
        </w:rPr>
        <w:t xml:space="preserve">Guihaire &amp; Hao (2008). Transit network design and scheduling: A global review. </w:t>
      </w:r>
      <w:r>
        <w:rPr>
          <w:b w:val="0"/>
          <w:i/>
          <w:sz w:val="20"/>
        </w:rPr>
        <w:t>Transportation Research Part A: Policy and Practice</w:t>
      </w:r>
      <w:r>
        <w:rPr>
          <w:b w:val="0"/>
          <w:i w:val="0"/>
          <w:sz w:val="20"/>
        </w:rPr>
        <w:t>, 42(10), 1251–1273. https://doi.org/10.1016/j.tra.2008.03.011</w:t>
      </w:r>
    </w:p>
    <w:p>
      <w:pPr>
        <w:ind w:left="454" w:hanging="454"/>
      </w:pPr>
      <w:r>
        <w:rPr>
          <w:b w:val="0"/>
          <w:i w:val="0"/>
          <w:sz w:val="20"/>
        </w:rPr>
        <w:t xml:space="preserve">Gutierrez &amp; Garcia-Palomares (2008). Distance-measure impacts on the calculation of transport service areas using GIS. </w:t>
      </w:r>
      <w:r>
        <w:rPr>
          <w:b w:val="0"/>
          <w:i/>
          <w:sz w:val="20"/>
        </w:rPr>
        <w:t>Environment and Planning B: Planning and Design</w:t>
      </w:r>
      <w:r>
        <w:rPr>
          <w:b w:val="0"/>
          <w:i w:val="0"/>
          <w:sz w:val="20"/>
        </w:rPr>
        <w:t>, 35(3), 480–503. https://doi.org/10.1068/b33043</w:t>
      </w:r>
    </w:p>
    <w:p>
      <w:pPr>
        <w:ind w:left="454" w:hanging="454"/>
      </w:pPr>
      <w:r>
        <w:rPr>
          <w:b w:val="0"/>
          <w:i w:val="0"/>
          <w:sz w:val="20"/>
        </w:rPr>
        <w:t xml:space="preserve">Hoonsiri, Kiattikomol &amp; Chiarakorn (2020). Energy Saving and CO2 Reduction Potential from Partial Bus Routes Reduction Model in Bangkok Urban Fringe. </w:t>
      </w:r>
      <w:r>
        <w:rPr>
          <w:b w:val="0"/>
          <w:i/>
          <w:sz w:val="20"/>
        </w:rPr>
        <w:t>Energies</w:t>
      </w:r>
      <w:r>
        <w:rPr>
          <w:b w:val="0"/>
          <w:i w:val="0"/>
          <w:sz w:val="20"/>
        </w:rPr>
        <w:t>, 13(22), 5963. https://doi.org/10.3390/en13225963</w:t>
      </w:r>
    </w:p>
    <w:p>
      <w:pPr>
        <w:ind w:left="454" w:hanging="454"/>
      </w:pPr>
      <w:r>
        <w:rPr>
          <w:b w:val="0"/>
          <w:i w:val="0"/>
          <w:sz w:val="20"/>
        </w:rPr>
        <w:t xml:space="preserve">Ibarra-Rojas, Delgado, Giesen &amp; Munoz (2015). Planning, operation, and control of bus transport systems: A literature review. </w:t>
      </w:r>
      <w:r>
        <w:rPr>
          <w:b w:val="0"/>
          <w:i/>
          <w:sz w:val="20"/>
        </w:rPr>
        <w:t>Transportation Research Part B: Methodological</w:t>
      </w:r>
      <w:r>
        <w:rPr>
          <w:b w:val="0"/>
          <w:i w:val="0"/>
          <w:sz w:val="20"/>
        </w:rPr>
        <w:t>, 77, 38–75. https://doi.org/10.1016/j.trb.2015.03.002</w:t>
      </w:r>
    </w:p>
    <w:p>
      <w:pPr>
        <w:ind w:left="454" w:hanging="454"/>
      </w:pPr>
      <w:r>
        <w:rPr>
          <w:b w:val="0"/>
          <w:i w:val="0"/>
          <w:sz w:val="20"/>
        </w:rPr>
        <w:t xml:space="preserve">Karner (2018). Assessing public transit service equity using route-level accessibility measures and public data. </w:t>
      </w:r>
      <w:r>
        <w:rPr>
          <w:b w:val="0"/>
          <w:i/>
          <w:sz w:val="20"/>
        </w:rPr>
        <w:t>Journal of Transport Geography</w:t>
      </w:r>
      <w:r>
        <w:rPr>
          <w:b w:val="0"/>
          <w:i w:val="0"/>
          <w:sz w:val="20"/>
        </w:rPr>
        <w:t>, 67, 24–32. https://doi.org/10.1016/j.jtrangeo.2018.01.005</w:t>
      </w:r>
    </w:p>
    <w:p>
      <w:pPr>
        <w:ind w:left="454" w:hanging="454"/>
      </w:pPr>
      <w:r>
        <w:rPr>
          <w:b w:val="0"/>
          <w:i w:val="0"/>
          <w:sz w:val="20"/>
        </w:rPr>
        <w:t xml:space="preserve">Kepaptsoglou &amp; Karlaftis (2009). Transit Route Network Design Problem: Review. </w:t>
      </w:r>
      <w:r>
        <w:rPr>
          <w:b w:val="0"/>
          <w:i/>
          <w:sz w:val="20"/>
        </w:rPr>
        <w:t>Journal of Transportation Engineering</w:t>
      </w:r>
      <w:r>
        <w:rPr>
          <w:b w:val="0"/>
          <w:i w:val="0"/>
          <w:sz w:val="20"/>
        </w:rPr>
        <w:t>, 135(8), 491–505. https://doi.org/10.1061/(asce)0733-947x(2009)135:8(491)</w:t>
      </w:r>
    </w:p>
    <w:p>
      <w:pPr>
        <w:ind w:left="454" w:hanging="454"/>
      </w:pPr>
      <w:r>
        <w:rPr>
          <w:b w:val="0"/>
          <w:i w:val="0"/>
          <w:sz w:val="20"/>
        </w:rPr>
        <w:t xml:space="preserve">Kim, Kho &amp; Kim (2019). A Transit Route Network Design Problem Considering Equity. </w:t>
      </w:r>
      <w:r>
        <w:rPr>
          <w:b w:val="0"/>
          <w:i/>
          <w:sz w:val="20"/>
        </w:rPr>
        <w:t>Sustainability</w:t>
      </w:r>
      <w:r>
        <w:rPr>
          <w:b w:val="0"/>
          <w:i w:val="0"/>
          <w:sz w:val="20"/>
        </w:rPr>
        <w:t>, 11(13), 3527. https://doi.org/10.3390/su11133527</w:t>
      </w:r>
    </w:p>
    <w:p>
      <w:pPr>
        <w:ind w:left="454" w:hanging="454"/>
      </w:pPr>
      <w:r>
        <w:rPr>
          <w:b w:val="0"/>
          <w:i w:val="0"/>
          <w:sz w:val="20"/>
        </w:rPr>
        <w:t xml:space="preserve">Klopp &amp; Cavoli (2019). Mapping minibuses in Maputo and Nairobi: engaging paratransit in transportation planning in African cities. </w:t>
      </w:r>
      <w:r>
        <w:rPr>
          <w:b w:val="0"/>
          <w:i/>
          <w:sz w:val="20"/>
        </w:rPr>
        <w:t>Transport Reviews</w:t>
      </w:r>
      <w:r>
        <w:rPr>
          <w:b w:val="0"/>
          <w:i w:val="0"/>
          <w:sz w:val="20"/>
        </w:rPr>
        <w:t>, 39(5), 657–676. https://doi.org/10.1080/01441647.2019.1598513</w:t>
      </w:r>
    </w:p>
    <w:p>
      <w:pPr>
        <w:ind w:left="454" w:hanging="454"/>
      </w:pPr>
      <w:r>
        <w:rPr>
          <w:b w:val="0"/>
          <w:i w:val="0"/>
          <w:sz w:val="20"/>
        </w:rPr>
        <w:t xml:space="preserve">Liu &amp; Rosenberg (2026). Quantifying the Accessibility to Public Transit in Rural Areas Using ArcGIS and GTFS. </w:t>
      </w:r>
      <w:r>
        <w:rPr>
          <w:b w:val="0"/>
          <w:i/>
          <w:sz w:val="20"/>
        </w:rPr>
        <w:t>Papers in Applied Geography</w:t>
      </w:r>
      <w:r>
        <w:rPr>
          <w:b w:val="0"/>
          <w:i w:val="0"/>
          <w:sz w:val="20"/>
        </w:rPr>
        <w:t>, 1–20. https://doi.org/10.1080/23754931.2026.2646852</w:t>
      </w:r>
    </w:p>
    <w:p>
      <w:pPr>
        <w:ind w:left="454" w:hanging="454"/>
      </w:pPr>
      <w:r>
        <w:rPr>
          <w:b w:val="0"/>
          <w:i w:val="0"/>
          <w:sz w:val="20"/>
        </w:rPr>
        <w:t xml:space="preserve">Luo, Cats &amp; van Lint (2020). Can passenger flow distribution be estimated solely based on network properties in public transport systems?. </w:t>
      </w:r>
      <w:r>
        <w:rPr>
          <w:b w:val="0"/>
          <w:i/>
          <w:sz w:val="20"/>
        </w:rPr>
        <w:t>Transportation</w:t>
      </w:r>
      <w:r>
        <w:rPr>
          <w:b w:val="0"/>
          <w:i w:val="0"/>
          <w:sz w:val="20"/>
        </w:rPr>
        <w:t>, 47(6), 2757–2776. https://doi.org/10.1007/s11116-019-09990-w</w:t>
      </w:r>
    </w:p>
    <w:p>
      <w:pPr>
        <w:ind w:left="454" w:hanging="454"/>
      </w:pPr>
      <w:r>
        <w:rPr>
          <w:b w:val="0"/>
          <w:i w:val="0"/>
          <w:sz w:val="20"/>
        </w:rPr>
        <w:t xml:space="preserve">Mandl (1980). Evaluation and optimization of urban public transportation networks. </w:t>
      </w:r>
      <w:r>
        <w:rPr>
          <w:b w:val="0"/>
          <w:i/>
          <w:sz w:val="20"/>
        </w:rPr>
        <w:t>European Journal of Operational Research</w:t>
      </w:r>
      <w:r>
        <w:rPr>
          <w:b w:val="0"/>
          <w:i w:val="0"/>
          <w:sz w:val="20"/>
        </w:rPr>
        <w:t>, 5(6), 396–404. https://doi.org/10.1016/0377-2217(80)90126-5</w:t>
      </w:r>
    </w:p>
    <w:p>
      <w:pPr>
        <w:ind w:left="454" w:hanging="454"/>
      </w:pPr>
      <w:r>
        <w:rPr>
          <w:b w:val="0"/>
          <w:i w:val="0"/>
          <w:sz w:val="20"/>
        </w:rPr>
        <w:t xml:space="preserve">Mittal &amp; Ukkusuri (2025). Overcoming Data Scarcity in Transit Planning: A Novel Framework Combining Machine Learning and Metaheuristics. </w:t>
      </w:r>
      <w:r>
        <w:rPr>
          <w:b w:val="0"/>
          <w:i/>
          <w:sz w:val="20"/>
        </w:rPr>
        <w:t>Data Science for Transportation</w:t>
      </w:r>
      <w:r>
        <w:rPr>
          <w:b w:val="0"/>
          <w:i w:val="0"/>
          <w:sz w:val="20"/>
        </w:rPr>
        <w:t>, 7(1), 4. https://doi.org/10.1007/s42421-025-00116-6</w:t>
      </w:r>
    </w:p>
    <w:p>
      <w:pPr>
        <w:ind w:left="454" w:hanging="454"/>
      </w:pPr>
      <w:r>
        <w:rPr>
          <w:b w:val="0"/>
          <w:i w:val="0"/>
          <w:sz w:val="20"/>
        </w:rPr>
        <w:t xml:space="preserve">Pinelli, Nair, Calabrese, Berlingerio, Di Lorenzo &amp; Sbodio (2016). Data-Driven Transit Network Design From Mobile Phone Trajectories. </w:t>
      </w:r>
      <w:r>
        <w:rPr>
          <w:b w:val="0"/>
          <w:i/>
          <w:sz w:val="20"/>
        </w:rPr>
        <w:t>IEEE Transactions on Intelligent Transportation Systems</w:t>
      </w:r>
      <w:r>
        <w:rPr>
          <w:b w:val="0"/>
          <w:i w:val="0"/>
          <w:sz w:val="20"/>
        </w:rPr>
        <w:t>, 17(6), 1724–1733. https://doi.org/10.1109/tits.2015.2496783</w:t>
      </w:r>
    </w:p>
    <w:p>
      <w:pPr>
        <w:ind w:left="454" w:hanging="454"/>
      </w:pPr>
      <w:r>
        <w:rPr>
          <w:b w:val="0"/>
          <w:i w:val="0"/>
          <w:sz w:val="20"/>
        </w:rPr>
        <w:t xml:space="preserve">Pucher, Korattyswaropam, Mittal &amp; Ittyerah (2005). Urban transport crisis in India. </w:t>
      </w:r>
      <w:r>
        <w:rPr>
          <w:b w:val="0"/>
          <w:i/>
          <w:sz w:val="20"/>
        </w:rPr>
        <w:t>Transport Policy</w:t>
      </w:r>
      <w:r>
        <w:rPr>
          <w:b w:val="0"/>
          <w:i w:val="0"/>
          <w:sz w:val="20"/>
        </w:rPr>
        <w:t>, 12(3), 185–198. https://doi.org/10.1016/j.tranpol.2005.02.008</w:t>
      </w:r>
    </w:p>
    <w:p>
      <w:pPr>
        <w:ind w:left="454" w:hanging="454"/>
      </w:pPr>
      <w:r>
        <w:rPr>
          <w:b w:val="0"/>
          <w:i w:val="0"/>
          <w:sz w:val="20"/>
        </w:rPr>
        <w:t xml:space="preserve">Ruiz, Segui-Pons &amp; Mateu-LLadó (2017). Improving Bus Service Levels and social equity through bus frequency modelling. </w:t>
      </w:r>
      <w:r>
        <w:rPr>
          <w:b w:val="0"/>
          <w:i/>
          <w:sz w:val="20"/>
        </w:rPr>
        <w:t>Journal of Transport Geography</w:t>
      </w:r>
      <w:r>
        <w:rPr>
          <w:b w:val="0"/>
          <w:i w:val="0"/>
          <w:sz w:val="20"/>
        </w:rPr>
        <w:t>, 58, 220–233. https://doi.org/10.1016/j.jtrangeo.2016.12.005</w:t>
      </w:r>
    </w:p>
    <w:p>
      <w:pPr>
        <w:ind w:left="454" w:hanging="454"/>
      </w:pPr>
      <w:r>
        <w:rPr>
          <w:b w:val="0"/>
          <w:i w:val="0"/>
          <w:sz w:val="20"/>
        </w:rPr>
        <w:t xml:space="preserve">Shrivastav &amp; Dhingra (2001). Development of Feeder Routes for Suburban Railway Stations Using Heuristic Approach. </w:t>
      </w:r>
      <w:r>
        <w:rPr>
          <w:b w:val="0"/>
          <w:i/>
          <w:sz w:val="20"/>
        </w:rPr>
        <w:t>Journal of Transportation Engineering</w:t>
      </w:r>
      <w:r>
        <w:rPr>
          <w:b w:val="0"/>
          <w:i w:val="0"/>
          <w:sz w:val="20"/>
        </w:rPr>
        <w:t>, 127(4), 334–341. https://doi.org/10.1061/(ASCE)0733-947X(2001)127:4(334)</w:t>
      </w:r>
    </w:p>
    <w:p>
      <w:pPr>
        <w:ind w:left="454" w:hanging="454"/>
      </w:pPr>
      <w:r>
        <w:rPr>
          <w:b w:val="0"/>
          <w:i w:val="0"/>
          <w:sz w:val="20"/>
        </w:rPr>
        <w:t xml:space="preserve">Szeto &amp; Wu (2011). A simultaneous bus route design and frequency setting problem for Tin Shui Wai, Hong Kong. </w:t>
      </w:r>
      <w:r>
        <w:rPr>
          <w:b w:val="0"/>
          <w:i/>
          <w:sz w:val="20"/>
        </w:rPr>
        <w:t>European Journal of Operational Research</w:t>
      </w:r>
      <w:r>
        <w:rPr>
          <w:b w:val="0"/>
          <w:i w:val="0"/>
          <w:sz w:val="20"/>
        </w:rPr>
        <w:t>, 209(2), 141–155. https://doi.org/10.1016/j.ejor.2010.08.020</w:t>
      </w:r>
    </w:p>
    <w:p>
      <w:pPr>
        <w:ind w:left="454" w:hanging="454"/>
      </w:pPr>
      <w:r>
        <w:rPr>
          <w:b w:val="0"/>
          <w:i w:val="0"/>
          <w:sz w:val="20"/>
        </w:rPr>
        <w:t xml:space="preserve">Szeto &amp; Jiang (2014). Transit route and frequency design: Bi-level modeling and hybrid artificial bee colony algorithm approach. </w:t>
      </w:r>
      <w:r>
        <w:rPr>
          <w:b w:val="0"/>
          <w:i/>
          <w:sz w:val="20"/>
        </w:rPr>
        <w:t>Transportation Research Part B: Methodological</w:t>
      </w:r>
      <w:r>
        <w:rPr>
          <w:b w:val="0"/>
          <w:i w:val="0"/>
          <w:sz w:val="20"/>
        </w:rPr>
        <w:t>, 67, 235–263. https://doi.org/10.1016/j.trb.2014.05.008</w:t>
      </w:r>
    </w:p>
    <w:p>
      <w:pPr>
        <w:ind w:left="454" w:hanging="454"/>
      </w:pPr>
      <w:r>
        <w:rPr>
          <w:b w:val="0"/>
          <w:i w:val="0"/>
          <w:sz w:val="20"/>
        </w:rPr>
        <w:t xml:space="preserve">Sánchez-Atondo, García, Gutiérrez, Mungaray-Moctezuma, Montoya-Alcaraz &amp; Calderón-Ramírez (2026). Reorganization of public transport systems in Global South cities and its relation with quality of life: A case study of Mexicali, Mexico. </w:t>
      </w:r>
      <w:r>
        <w:rPr>
          <w:b w:val="0"/>
          <w:i/>
          <w:sz w:val="20"/>
        </w:rPr>
        <w:t>Transportation Research Interdisciplinary Perspectives</w:t>
      </w:r>
      <w:r>
        <w:rPr>
          <w:b w:val="0"/>
          <w:i w:val="0"/>
          <w:sz w:val="20"/>
        </w:rPr>
        <w:t>, 36, 101859. https://doi.org/10.1016/j.trip.2026.101859</w:t>
      </w:r>
    </w:p>
    <w:p>
      <w:pPr>
        <w:ind w:left="454" w:hanging="454"/>
      </w:pPr>
      <w:r>
        <w:rPr>
          <w:b w:val="0"/>
          <w:i w:val="0"/>
          <w:sz w:val="20"/>
        </w:rPr>
        <w:t xml:space="preserve">Tatem (2017). WorldPop, open data for spatial demography. </w:t>
      </w:r>
      <w:r>
        <w:rPr>
          <w:b w:val="0"/>
          <w:i/>
          <w:sz w:val="20"/>
        </w:rPr>
        <w:t>Scientific Data</w:t>
      </w:r>
      <w:r>
        <w:rPr>
          <w:b w:val="0"/>
          <w:i w:val="0"/>
          <w:sz w:val="20"/>
        </w:rPr>
        <w:t>, 4, 170004. https://doi.org/10.1038/sdata.2017.4</w:t>
      </w:r>
    </w:p>
    <w:p>
      <w:pPr>
        <w:ind w:left="454" w:hanging="454"/>
      </w:pPr>
      <w:r>
        <w:rPr>
          <w:b w:val="0"/>
          <w:i w:val="0"/>
          <w:sz w:val="20"/>
        </w:rPr>
        <w:t xml:space="preserve">Tribby &amp; Zandbergen (2012). High-resolution spatio-temporal modeling of public transit accessibility. </w:t>
      </w:r>
      <w:r>
        <w:rPr>
          <w:b w:val="0"/>
          <w:i/>
          <w:sz w:val="20"/>
        </w:rPr>
        <w:t>Applied Geography</w:t>
      </w:r>
      <w:r>
        <w:rPr>
          <w:b w:val="0"/>
          <w:i w:val="0"/>
          <w:sz w:val="20"/>
        </w:rPr>
        <w:t>, 34, 345–355. https://doi.org/10.1016/j.apgeog.2011.12.008</w:t>
      </w:r>
    </w:p>
    <w:p>
      <w:pPr>
        <w:ind w:left="454" w:hanging="454"/>
      </w:pPr>
      <w:r>
        <w:rPr>
          <w:b w:val="0"/>
          <w:i w:val="0"/>
          <w:sz w:val="20"/>
        </w:rPr>
        <w:t xml:space="preserve">Vergel-Tovar, Goldwyn &amp; Leape (2023). Digital traces: Mapping Bogotá’s unmapped transit network using smartphones and networked databases. </w:t>
      </w:r>
      <w:r>
        <w:rPr>
          <w:b w:val="0"/>
          <w:i/>
          <w:sz w:val="20"/>
        </w:rPr>
        <w:t>Environment and Planning B: Urban Analytics and City Science</w:t>
      </w:r>
      <w:r>
        <w:rPr>
          <w:b w:val="0"/>
          <w:i w:val="0"/>
          <w:sz w:val="20"/>
        </w:rPr>
        <w:t>, 50(2), 469–486. https://doi.org/10.1177/23998083221117831</w:t>
      </w:r>
    </w:p>
    <w:p>
      <w:pPr>
        <w:ind w:left="454" w:hanging="454"/>
      </w:pPr>
      <w:r>
        <w:rPr>
          <w:b w:val="0"/>
          <w:i w:val="0"/>
          <w:sz w:val="20"/>
        </w:rPr>
        <w:t xml:space="preserve">Verma, Kumari, Tahlyan &amp; Hosapujari (2017). Development of hub and spoke model for improving operational efficiency of bus transit network of Bangalore city. </w:t>
      </w:r>
      <w:r>
        <w:rPr>
          <w:b w:val="0"/>
          <w:i/>
          <w:sz w:val="20"/>
        </w:rPr>
        <w:t>Case Studies on Transport Policy</w:t>
      </w:r>
      <w:r>
        <w:rPr>
          <w:b w:val="0"/>
          <w:i w:val="0"/>
          <w:sz w:val="20"/>
        </w:rPr>
        <w:t>, 5(1), 71–79. https://doi.org/10.1016/j.cstp.2016.12.003</w:t>
      </w:r>
    </w:p>
    <w:p>
      <w:pPr>
        <w:ind w:left="454" w:hanging="454"/>
      </w:pPr>
      <w:r>
        <w:rPr>
          <w:b w:val="0"/>
          <w:i w:val="0"/>
          <w:sz w:val="20"/>
        </w:rPr>
        <w:t xml:space="preserve">Vuchic (2005). Urban Transit: Operations, Planning, and Economics. </w:t>
      </w:r>
      <w:r>
        <w:rPr>
          <w:b w:val="0"/>
          <w:i/>
          <w:sz w:val="20"/>
        </w:rPr>
        <w:t>John Wiley &amp; Sons</w:t>
      </w:r>
      <w:r>
        <w:rPr>
          <w:b w:val="0"/>
          <w:i w:val="0"/>
          <w:sz w:val="20"/>
        </w:rPr>
        <w:t>.</w:t>
      </w:r>
    </w:p>
    <w:p>
      <w:pPr>
        <w:ind w:left="454" w:hanging="454"/>
      </w:pPr>
      <w:r>
        <w:rPr>
          <w:b w:val="0"/>
          <w:i w:val="0"/>
          <w:sz w:val="20"/>
        </w:rPr>
        <w:t xml:space="preserve">Wang, Attanucci &amp; Wilson (2011). Bus Passenger Origin-Destination Estimation and Related Analyses Using Automated Data Collection Systems. </w:t>
      </w:r>
      <w:r>
        <w:rPr>
          <w:b w:val="0"/>
          <w:i/>
          <w:sz w:val="20"/>
        </w:rPr>
        <w:t>Journal of Public Transportation</w:t>
      </w:r>
      <w:r>
        <w:rPr>
          <w:b w:val="0"/>
          <w:i w:val="0"/>
          <w:sz w:val="20"/>
        </w:rPr>
        <w:t>, 14(4), 131–150. https://doi.org/10.5038/2375-0901.14.4.7</w:t>
      </w:r>
    </w:p>
    <w:p>
      <w:pPr>
        <w:ind w:left="454" w:hanging="454"/>
      </w:pPr>
      <w:r>
        <w:rPr>
          <w:b w:val="0"/>
          <w:i w:val="0"/>
          <w:sz w:val="20"/>
        </w:rPr>
        <w:t xml:space="preserve">Wessel &amp; Farber (2019). On the accuracy of schedule-based GTFS for measuring accessibility. </w:t>
      </w:r>
      <w:r>
        <w:rPr>
          <w:b w:val="0"/>
          <w:i/>
          <w:sz w:val="20"/>
        </w:rPr>
        <w:t>Journal of Transport and Land Use</w:t>
      </w:r>
      <w:r>
        <w:rPr>
          <w:b w:val="0"/>
          <w:i w:val="0"/>
          <w:sz w:val="20"/>
        </w:rPr>
        <w:t>, 12(1). https://doi.org/10.5198/jtlu.2019.1502</w:t>
      </w:r>
    </w:p>
    <w:p>
      <w:pPr>
        <w:ind w:left="454" w:hanging="454"/>
      </w:pPr>
      <w:r>
        <w:rPr>
          <w:b w:val="0"/>
          <w:i w:val="0"/>
          <w:sz w:val="20"/>
        </w:rPr>
        <w:t xml:space="preserve">Williams, White, Waiganjo, Orwa &amp; Klopp (2015). The digital matatu project: Using cell phones to create an open source data for Nairobi's semi-formal bus system. </w:t>
      </w:r>
      <w:r>
        <w:rPr>
          <w:b w:val="0"/>
          <w:i/>
          <w:sz w:val="20"/>
        </w:rPr>
        <w:t>Journal of Transport Geography</w:t>
      </w:r>
      <w:r>
        <w:rPr>
          <w:b w:val="0"/>
          <w:i w:val="0"/>
          <w:sz w:val="20"/>
        </w:rPr>
        <w:t>, 49, 39–51. https://doi.org/10.1016/j.jtrangeo.2015.10.005</w:t>
      </w:r>
    </w:p>
    <w:p>
      <w:pPr>
        <w:ind w:left="454" w:hanging="454"/>
      </w:pPr>
      <w:r>
        <w:rPr>
          <w:b w:val="0"/>
          <w:i w:val="0"/>
          <w:sz w:val="20"/>
        </w:rPr>
        <w:t xml:space="preserve">Yao (2007). Where are public transit needed – Examining potential demand for public transit for commuting trips. </w:t>
      </w:r>
      <w:r>
        <w:rPr>
          <w:b w:val="0"/>
          <w:i/>
          <w:sz w:val="20"/>
        </w:rPr>
        <w:t>Computers, Environment and Urban Systems</w:t>
      </w:r>
      <w:r>
        <w:rPr>
          <w:b w:val="0"/>
          <w:i w:val="0"/>
          <w:sz w:val="20"/>
        </w:rPr>
        <w:t>, 31(5), 535–550. https://doi.org/10.1016/j.compenvurbsys.2007.08.005</w:t>
      </w:r>
    </w:p>
    <w:p>
      <w:pPr>
        <w:ind w:left="454" w:hanging="454"/>
      </w:pPr>
      <w:r>
        <w:rPr>
          <w:b w:val="0"/>
          <w:i w:val="0"/>
          <w:sz w:val="20"/>
        </w:rPr>
        <w:t xml:space="preserve">Yenisetty &amp; Bahadure (2020). Measuring Accessibility to Various ASFs from Public Transit using Spatial Distance Measures in Indian Cities. </w:t>
      </w:r>
      <w:r>
        <w:rPr>
          <w:b w:val="0"/>
          <w:i/>
          <w:sz w:val="20"/>
        </w:rPr>
        <w:t>ISPRS International Journal of Geo-Information</w:t>
      </w:r>
      <w:r>
        <w:rPr>
          <w:b w:val="0"/>
          <w:i w:val="0"/>
          <w:sz w:val="20"/>
        </w:rPr>
        <w:t>, 9(7), 446. https://doi.org/10.3390/ijgi9070446</w:t>
      </w:r>
    </w:p>
    <w:p>
      <w:pPr>
        <w:ind w:left="454" w:hanging="454"/>
      </w:pPr>
      <w:r>
        <w:rPr>
          <w:b w:val="0"/>
          <w:i w:val="0"/>
          <w:sz w:val="20"/>
        </w:rPr>
        <w:t xml:space="preserve">Yoo, Lee &amp; Han (2023). A Reinforcement Learning approach for bus network design and frequency setting optimisation. </w:t>
      </w:r>
      <w:r>
        <w:rPr>
          <w:b w:val="0"/>
          <w:i/>
          <w:sz w:val="20"/>
        </w:rPr>
        <w:t>Public Transport</w:t>
      </w:r>
      <w:r>
        <w:rPr>
          <w:b w:val="0"/>
          <w:i w:val="0"/>
          <w:sz w:val="20"/>
        </w:rPr>
        <w:t>, 15(2), 503–534. https://doi.org/10.1007/s12469-022-00319-y</w:t>
      </w:r>
    </w:p>
    <w:p>
      <w:pPr>
        <w:ind w:left="454" w:hanging="454"/>
      </w:pPr>
      <w:r>
        <w:rPr>
          <w:b w:val="0"/>
          <w:i w:val="0"/>
          <w:sz w:val="20"/>
        </w:rPr>
        <w:t xml:space="preserve">Zhao &amp; Zeng (2008). Optimization of transit route network, vehicle headways and timetables for large-scale transit networks. </w:t>
      </w:r>
      <w:r>
        <w:rPr>
          <w:b w:val="0"/>
          <w:i/>
          <w:sz w:val="20"/>
        </w:rPr>
        <w:t>European Journal of Operational Research</w:t>
      </w:r>
      <w:r>
        <w:rPr>
          <w:b w:val="0"/>
          <w:i w:val="0"/>
          <w:sz w:val="20"/>
        </w:rPr>
        <w:t>, 186(2), 841–855. https://doi.org/10.1016/j.ejor.2007.02.005</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11111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Literature review and research gap</dc:title>
  <dc:subject/>
  <dc:creator>Kashmir bus route rationalisation study</dc:creator>
  <cp:keywords/>
  <dc:description>generated by python-docx</dc:description>
  <cp:lastModifiedBy/>
  <cp:revision>1</cp:revision>
  <dcterms:created xsi:type="dcterms:W3CDTF">2013-12-23T23:15:00Z</dcterms:created>
  <dcterms:modified xsi:type="dcterms:W3CDTF">2013-12-23T23:15:00Z</dcterms:modified>
  <cp:category/>
</cp:coreProperties>
</file>