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6. Validation</w:t>
      </w:r>
    </w:p>
    <w:p>
      <w:pPr>
        <w:shd w:val="clear" w:color="auto" w:fill="EEF4FB"/>
        <w:ind w:left="227" w:right="227"/>
      </w:pPr>
      <w:r>
        <w:rPr>
          <w:b/>
          <w:i w:val="0"/>
          <w:sz w:val="19"/>
        </w:rPr>
        <w:t>Section owners:</w:t>
      </w:r>
      <w:r>
        <w:rPr>
          <w:b w:val="0"/>
          <w:i w:val="0"/>
          <w:sz w:val="19"/>
        </w:rPr>
        <w:t xml:space="preserve"> Prashant, Avny, Krishnan. </w:t>
      </w:r>
      <w:r>
        <w:rPr>
          <w:b/>
          <w:i w:val="0"/>
          <w:sz w:val="19"/>
        </w:rPr>
        <w:t>Target length:</w:t>
      </w:r>
      <w:r>
        <w:rPr>
          <w:b w:val="0"/>
          <w:i w:val="0"/>
          <w:sz w:val="19"/>
        </w:rPr>
        <w:t xml:space="preserve"> ~900 words. </w:t>
      </w:r>
      <w:r>
        <w:rPr>
          <w:b/>
          <w:i w:val="0"/>
          <w:sz w:val="19"/>
        </w:rPr>
        <w:t>Status (2026-09-30):</w:t>
      </w:r>
      <w:r>
        <w:rPr>
          <w:b w:val="0"/>
          <w:i w:val="0"/>
          <w:sz w:val="19"/>
        </w:rPr>
        <w:t xml:space="preserve"> V1, V2, V4, V5 and V6 executed; V3 is forward work. Every value cites </w:t>
      </w:r>
      <w:r>
        <w:rPr>
          <w:rFonts w:ascii="Consolas" w:hAnsi="Consolas"/>
          <w:b w:val="0"/>
          <w:sz w:val="16"/>
        </w:rPr>
        <w:t>[CL-xx]</w:t>
      </w:r>
      <w:r>
        <w:rPr>
          <w:b w:val="0"/>
          <w:i w:val="0"/>
          <w:sz w:val="19"/>
        </w:rPr>
        <w:t>/</w:t>
      </w:r>
      <w:r>
        <w:rPr>
          <w:rFonts w:ascii="Consolas" w:hAnsi="Consolas"/>
          <w:b w:val="0"/>
          <w:sz w:val="16"/>
        </w:rPr>
        <w:t>[F-x]</w:t>
      </w:r>
      <w:r>
        <w:rPr>
          <w:b w:val="0"/>
          <w:i w:val="0"/>
          <w:sz w:val="19"/>
        </w:rPr>
        <w:t xml:space="preserve">. </w:t>
      </w:r>
      <w:r>
        <w:rPr>
          <w:b/>
          <w:i w:val="0"/>
          <w:sz w:val="19"/>
        </w:rPr>
        <w:t>Standing constraints honoured:</w:t>
      </w:r>
      <w:r>
        <w:rPr>
          <w:b w:val="0"/>
          <w:i w:val="0"/>
          <w:sz w:val="19"/>
        </w:rPr>
        <w:t xml:space="preserve"> convergent validity is stated first; the CHALO circularity is disclosed up front; ridership is never claimed as a validation target; no field or expert-elicitation data are fabricated.</w:t>
      </w:r>
    </w:p>
    <w:p>
      <w:pPr>
        <w:shd w:val="clear" w:color="auto" w:fill="EEF4FB"/>
        <w:ind w:left="227" w:right="227"/>
      </w:pPr>
      <w:r>
        <w:rPr>
          <w:b w:val="0"/>
          <w:i w:val="0"/>
          <w:sz w:val="19"/>
        </w:rPr>
        <w:t>&lt;!-- TODO (near-term, before submission): the expert-elicitation channel (Delphi/AHP) and a field boarding/enumeration survey are demand-side validation steps that are not yet in hand. This draft carries them as forward work in §6.4 rather than foregrounding their absence channel-by-channel. Team decision needed: either (a) convene the panel + run a stratified boarding count and promote them to executed channels, or (b) keep them as declared future work. Do NOT fabricate either dataset. --&gt;</w:t>
      </w:r>
    </w:p>
    <w:p>
      <w:pPr>
        <w:pStyle w:val="Heading2"/>
      </w:pPr>
      <w:r>
        <w:t>6.1 A convergent-validity frame, not a single test</w:t>
      </w:r>
    </w:p>
    <w:p>
      <w:pPr>
        <w:jc w:val="both"/>
      </w:pPr>
      <w:r>
        <w:rPr>
          <w:b w:val="0"/>
          <w:i w:val="0"/>
        </w:rPr>
        <w:t xml:space="preserve">A demand-free plan cannot be validated the way a demand model is, because there is no withheld ridership series to predict. We therefore adopt a </w:t>
      </w:r>
      <w:r>
        <w:rPr>
          <w:b/>
          <w:i w:val="0"/>
        </w:rPr>
        <w:t>convergent-validity</w:t>
      </w:r>
      <w:r>
        <w:rPr>
          <w:b w:val="0"/>
          <w:i w:val="0"/>
        </w:rPr>
        <w:t xml:space="preserve"> design: six channels, each individually insufficient and each biased in a </w:t>
      </w:r>
      <w:r>
        <w:rPr>
          <w:b w:val="0"/>
          <w:i/>
        </w:rPr>
        <w:t>different</w:t>
      </w:r>
      <w:r>
        <w:rPr>
          <w:b w:val="0"/>
          <w:i w:val="0"/>
        </w:rPr>
        <w:t xml:space="preserve"> direction, are assembled so that agreement among them raises confidence while any one disagreement localises a specific weakness. The target is explicitly </w:t>
      </w:r>
      <w:r>
        <w:rPr>
          <w:b/>
          <w:i w:val="0"/>
        </w:rPr>
        <w:t>decision-robustness</w:t>
      </w:r>
      <w:r>
        <w:rPr>
          <w:b w:val="0"/>
          <w:i w:val="0"/>
        </w:rPr>
        <w:t xml:space="preserve"> — that the tier and fleet decisions survive scrutiny from every independent angle we can construct from open data — and never a claim that the composite index (Eq. 7) predicts travel demand. Table 7 records all six channels, their evidence source, test statistic, threshold, result, and status.</w:t>
      </w:r>
    </w:p>
    <w:p>
      <w:pPr>
        <w:jc w:val="both"/>
      </w:pPr>
      <w:r>
        <w:rPr>
          <w:b w:val="0"/>
          <w:i w:val="0"/>
        </w:rPr>
        <w:t xml:space="preserve">Two disclosures come first, not last. The one ridership dataset available — CHALO electronic-ticketing aggregates on the e-bus backbone — is </w:t>
      </w:r>
      <w:r>
        <w:rPr>
          <w:b/>
          <w:i w:val="0"/>
        </w:rPr>
        <w:t>not independent of the plan</w:t>
      </w:r>
      <w:r>
        <w:rPr>
          <w:b w:val="0"/>
          <w:i w:val="0"/>
        </w:rPr>
        <w:t xml:space="preserve">: the same published aggregate anchors the capture scale </w:t>
      </w:r>
      <w:r>
        <w:rPr>
          <w:b w:val="0"/>
          <w:i/>
        </w:rPr>
        <w:t>κ</w:t>
      </w:r>
      <w:r>
        <w:rPr>
          <w:b w:val="0"/>
          <w:i w:val="0"/>
        </w:rPr>
        <w:t xml:space="preserve"> = 0.33</w:t>
      </w:r>
      <w:r>
        <w:rPr>
          <w:b w:val="0"/>
          <w:i w:val="0"/>
        </w:rPr>
        <w:t xml:space="preserve"> in the quarantined plausibility term (Eq. 8) and is offered as benchmark channel V2. V2 is therefore a </w:t>
      </w:r>
      <w:r>
        <w:rPr>
          <w:b/>
          <w:i w:val="0"/>
        </w:rPr>
        <w:t>consistency check, not an independent validation</w:t>
      </w:r>
      <w:r>
        <w:rPr>
          <w:b w:val="0"/>
          <w:i w:val="0"/>
        </w:rPr>
        <w:t xml:space="preserve">, and is reported as such. Second, the driver-GPS layer measures vehicle motion and geometry only; it carries </w:t>
      </w:r>
      <w:r>
        <w:rPr>
          <w:b/>
          <w:i w:val="0"/>
        </w:rPr>
        <w:t>zero ridership signal</w:t>
      </w:r>
      <w:r>
        <w:rPr>
          <w:b w:val="0"/>
          <w:i w:val="0"/>
        </w:rPr>
        <w:t xml:space="preserve">, so channel V4 validates the </w:t>
      </w:r>
      <w:r>
        <w:rPr>
          <w:b w:val="0"/>
          <w:i/>
        </w:rPr>
        <w:t>supply</w:t>
      </w:r>
      <w:r>
        <w:rPr>
          <w:b w:val="0"/>
          <w:i w:val="0"/>
        </w:rPr>
        <w:t xml:space="preserve"> chain — geometry → speed → run time → cycle time → fleet — and nothing about demand.</w:t>
      </w:r>
    </w:p>
    <w:p>
      <w:pPr>
        <w:pStyle w:val="Heading2"/>
      </w:pPr>
      <w:r>
        <w:t>6.2 The six channels and their status</w:t>
      </w:r>
    </w:p>
    <w:p>
      <w:pPr>
        <w:jc w:val="both"/>
      </w:pPr>
      <w:r>
        <w:rPr>
          <w:b/>
          <w:i w:val="0"/>
        </w:rPr>
        <w:t>V1 — Spatial cross-validation</w:t>
      </w:r>
      <w:r>
        <w:rPr>
          <w:b w:val="0"/>
          <w:i w:val="0"/>
        </w:rPr>
        <w:t xml:space="preserve"> (executed, module </w:t>
      </w:r>
      <w:r>
        <w:rPr>
          <w:rFonts w:ascii="Consolas" w:hAnsi="Consolas"/>
          <w:b w:val="0"/>
          <w:sz w:val="20"/>
        </w:rPr>
        <w:t>v01</w:t>
      </w:r>
      <w:r>
        <w:rPr>
          <w:b w:val="0"/>
          <w:i w:val="0"/>
        </w:rPr>
        <w:t xml:space="preserve">). Does the population surface put people where buildings are? Two footprint layers are tested against the pre-declared threshold Spearman </w:t>
      </w:r>
      <w:r>
        <w:rPr>
          <w:b w:val="0"/>
          <w:i/>
        </w:rPr>
        <w:t>ρ</w:t>
      </w:r>
      <w:r>
        <w:rPr>
          <w:b w:val="0"/>
          <w:i w:val="0"/>
        </w:rPr>
        <w:t xml:space="preserve"> &gt; 0.60</w:t>
      </w:r>
      <w:r>
        <w:rPr>
          <w:b w:val="0"/>
          <w:i w:val="0"/>
        </w:rPr>
        <w:t xml:space="preserve">: volunteered OpenStreetMap buildings (OpenStreetMap contributors, 2024) and Microsoft's machine-detected Global ML Building Footprints. One limit is stated first: WorldPop uses building footprints as a covariate (Stevens et al., 2015; Lloyd et al., 2017), so agreement is partly expected by construction, and V1 is a consistency check on the spatial pattern, not an independent count. On the near-complete Microsoft layer (1.85 million footprints; 99.8 % of residents live in a 1 km cell that contains one), the surface passes at every scale: </w:t>
      </w:r>
      <w:r>
        <w:rPr>
          <w:b w:val="0"/>
          <w:i/>
        </w:rPr>
        <w:t>ρ</w:t>
      </w:r>
      <w:r>
        <w:rPr>
          <w:b w:val="0"/>
          <w:i w:val="0"/>
        </w:rPr>
        <w:t xml:space="preserve"> = 0.975</w:t>
      </w:r>
      <w:r>
        <w:rPr>
          <w:b w:val="0"/>
          <w:i w:val="0"/>
        </w:rPr>
        <w:t xml:space="preserve"> for footprint area across the 186 route catchments (0.940 for building count), and </w:t>
      </w:r>
      <w:r>
        <w:rPr>
          <w:b/>
          <w:i w:val="0"/>
        </w:rPr>
        <w:t>0.907–0.950</w:t>
      </w:r>
      <w:r>
        <w:rPr>
          <w:b w:val="0"/>
          <w:i w:val="0"/>
        </w:rPr>
        <w:t xml:space="preserve"> on the 1 km grid </w:t>
      </w:r>
      <w:r>
        <w:rPr>
          <w:rFonts w:ascii="Consolas" w:hAnsi="Consolas"/>
          <w:b w:val="0"/>
          <w:sz w:val="20"/>
        </w:rPr>
        <w:t>[CL-53]</w:t>
      </w:r>
      <w:r>
        <w:rPr>
          <w:b w:val="0"/>
          <w:i w:val="0"/>
        </w:rPr>
        <w:t xml:space="preserve">. OSM, by contrast, maps only 12,343 buildings — any footprint in just 4–31 % of populated cells, depending on district — and passes only at the route scale (0.657) </w:t>
      </w:r>
      <w:r>
        <w:rPr>
          <w:rFonts w:ascii="Consolas" w:hAnsi="Consolas"/>
          <w:b w:val="0"/>
          <w:sz w:val="20"/>
        </w:rPr>
        <w:t>[CL-53]</w:t>
      </w:r>
      <w:r>
        <w:rPr>
          <w:b w:val="0"/>
          <w:i w:val="0"/>
        </w:rPr>
        <w:t>. The OSM weakness is therefore a mapping gap, not a population error.</w:t>
      </w:r>
    </w:p>
    <w:p>
      <w:pPr>
        <w:jc w:val="both"/>
      </w:pPr>
      <w:r>
        <w:rPr>
          <w:b/>
          <w:i w:val="0"/>
        </w:rPr>
        <w:t>V2 — Benchmark consistency</w:t>
      </w:r>
      <w:r>
        <w:rPr>
          <w:b w:val="0"/>
          <w:i w:val="0"/>
        </w:rPr>
        <w:t xml:space="preserve"> (executed, module </w:t>
      </w:r>
      <w:r>
        <w:rPr>
          <w:rFonts w:ascii="Consolas" w:hAnsi="Consolas"/>
          <w:b w:val="0"/>
          <w:sz w:val="20"/>
        </w:rPr>
        <w:t>v02</w:t>
      </w:r>
      <w:r>
        <w:rPr>
          <w:b w:val="0"/>
          <w:i w:val="0"/>
        </w:rPr>
        <w:t xml:space="preserve">; circular, as disclosed in §6.1, and further because the engine floors the backbone fleet at CHALO's deployment on 2 of 30 routes). CHALO runs 98 buses on the 30 backbone routes at about 855 bus-trips a day (12-month mean); scaled to the plan's 15-minute headway that is </w:t>
      </w:r>
      <w:r>
        <w:rPr>
          <w:b/>
          <w:i w:val="0"/>
        </w:rPr>
        <w:t>179–220 buses</w:t>
      </w:r>
      <w:r>
        <w:rPr>
          <w:b w:val="0"/>
          <w:i w:val="0"/>
        </w:rPr>
        <w:t xml:space="preserve">, depending on whether the operating day is taken as 13 or 16 hours. The plan's backbone fleet is 283, a ratio of </w:t>
      </w:r>
      <w:r>
        <w:rPr>
          <w:b/>
          <w:i w:val="0"/>
        </w:rPr>
        <w:t>1.29–1.58: V2 fails the pre-registered ±15 % band under every service-day assumption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sz w:val="20"/>
        </w:rPr>
        <w:t>[CL-54]</w:t>
      </w:r>
      <w:r>
        <w:rPr>
          <w:b w:val="0"/>
          <w:i w:val="0"/>
        </w:rPr>
        <w:t>, and the rank correlation between CHALO's per-route deployment and the plan's per-route fleet is weak (</w:t>
      </w:r>
      <w:r>
        <w:rPr>
          <w:b w:val="0"/>
          <w:i/>
        </w:rPr>
        <w:t>ρ</w:t>
      </w:r>
      <w:r>
        <w:rPr>
          <w:b w:val="0"/>
          <w:i w:val="0"/>
        </w:rPr>
        <w:t xml:space="preserve"> = 0.22</w:t>
      </w:r>
      <w:r>
        <w:rPr>
          <w:b w:val="0"/>
          <w:i w:val="0"/>
        </w:rPr>
        <w:t xml:space="preserve">, </w:t>
      </w:r>
      <w:r>
        <w:rPr>
          <w:b w:val="0"/>
          <w:i/>
        </w:rPr>
        <w:t>p</w:t>
      </w:r>
      <w:r>
        <w:rPr>
          <w:b w:val="0"/>
          <w:i w:val="0"/>
        </w:rPr>
        <w:t xml:space="preserve"> = 0.24</w:t>
      </w:r>
      <w:r>
        <w:rPr>
          <w:b w:val="0"/>
          <w:i w:val="0"/>
        </w:rPr>
        <w:t xml:space="preserve">) </w:t>
      </w:r>
      <w:r>
        <w:rPr>
          <w:rFonts w:ascii="Consolas" w:hAnsi="Consolas"/>
          <w:b w:val="0"/>
          <w:sz w:val="20"/>
        </w:rPr>
        <w:t>[CL-54]</w:t>
      </w:r>
      <w:r>
        <w:rPr>
          <w:b w:val="0"/>
          <w:i w:val="0"/>
        </w:rPr>
        <w:t>. Even against the operator it was calibrated to, the plan provisions more buses per route than frequency scaling alone explains; V2 localises the disagreement to the backbone but cannot say whether it lies in the plan's cycle times or in CHALO's operation.</w:t>
      </w:r>
    </w:p>
    <w:p>
      <w:pPr>
        <w:jc w:val="both"/>
      </w:pPr>
      <w:r>
        <w:rPr>
          <w:b/>
          <w:i w:val="0"/>
        </w:rPr>
        <w:t>V3 — Expert elicitation</w:t>
      </w:r>
      <w:r>
        <w:rPr>
          <w:b w:val="0"/>
          <w:i w:val="0"/>
        </w:rPr>
        <w:t xml:space="preserve"> (not conducted; §6.4). A Delphi/AHP panel would ground the index weights (target Kendall's </w:t>
      </w:r>
      <w:r>
        <w:rPr>
          <w:b w:val="0"/>
          <w:i/>
        </w:rPr>
        <w:t>W</w:t>
      </w:r>
      <w:r>
        <w:rPr>
          <w:b w:val="0"/>
          <w:i w:val="0"/>
        </w:rPr>
        <w:t xml:space="preserve"> &gt; 0.70</w:t>
      </w:r>
      <w:r>
        <w:rPr>
          <w:b w:val="0"/>
          <w:i w:val="0"/>
        </w:rPr>
        <w:t>). Meanwhile the weights are derived three data-driven ways (§4.5).</w:t>
      </w:r>
    </w:p>
    <w:p>
      <w:pPr>
        <w:jc w:val="both"/>
      </w:pPr>
      <w:r>
        <w:rPr>
          <w:b/>
          <w:i w:val="0"/>
        </w:rPr>
        <w:t>V4 — Supply-side GPS validation</w:t>
      </w:r>
      <w:r>
        <w:rPr>
          <w:b w:val="0"/>
          <w:i w:val="0"/>
        </w:rPr>
        <w:t xml:space="preserve"> (established, module </w:t>
      </w:r>
      <w:r>
        <w:rPr>
          <w:rFonts w:ascii="Consolas" w:hAnsi="Consolas"/>
          <w:b w:val="0"/>
          <w:sz w:val="20"/>
        </w:rPr>
        <w:t>v04</w:t>
      </w:r>
      <w:r>
        <w:rPr>
          <w:b w:val="0"/>
          <w:i w:val="0"/>
        </w:rPr>
        <w:t xml:space="preserve">). The empirical layer is </w:t>
      </w:r>
      <w:r>
        <w:rPr>
          <w:b/>
          <w:i w:val="0"/>
        </w:rPr>
        <w:t>2,526 service runs (2,426 after map-matching) from 157 driver app accounts, 6 February–29 June 2026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sz w:val="20"/>
        </w:rPr>
        <w:t>[CL-18]</w:t>
      </w:r>
      <w:r>
        <w:rPr>
          <w:b w:val="0"/>
          <w:i w:val="0"/>
        </w:rPr>
        <w:t>; its results are detailed in §6.3. This is the study's one fully executed observational channel.</w:t>
      </w:r>
    </w:p>
    <w:p>
      <w:pPr>
        <w:jc w:val="both"/>
      </w:pPr>
      <w:r>
        <w:rPr>
          <w:b/>
          <w:i w:val="0"/>
        </w:rPr>
        <w:t>V5 — Global sensitivity</w:t>
      </w:r>
      <w:r>
        <w:rPr>
          <w:b w:val="0"/>
          <w:i w:val="0"/>
        </w:rPr>
        <w:t xml:space="preserve"> (executed, </w:t>
      </w:r>
      <w:r>
        <w:rPr>
          <w:rFonts w:ascii="Consolas" w:hAnsi="Consolas"/>
          <w:b w:val="0"/>
          <w:sz w:val="20"/>
        </w:rPr>
        <w:t>a08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sz w:val="20"/>
        </w:rPr>
        <w:t>a09</w:t>
      </w:r>
      <w:r>
        <w:rPr>
          <w:b w:val="0"/>
          <w:i w:val="0"/>
        </w:rPr>
        <w:t xml:space="preserve">). Sobol' indices from 15,360 evaluations show two different stories. Tier membership depends almost entirely on the population weight of the index (total-order index 0.93); coverage on the walk-radius definition (0.97). The fleet as specified depends almost only on the spare ratio (0.94), because the per-km cap discards the run-time parameters; with the cap removed those same parameters swing the fleet by up to 956 buses </w:t>
      </w:r>
      <w:r>
        <w:rPr>
          <w:rFonts w:ascii="Consolas" w:hAnsi="Consolas"/>
          <w:b w:val="0"/>
          <w:sz w:val="20"/>
        </w:rPr>
        <w:t>[CL-58]</w:t>
      </w:r>
      <w:r>
        <w:rPr>
          <w:b w:val="0"/>
          <w:i w:val="0"/>
        </w:rPr>
        <w:t>.</w:t>
      </w:r>
    </w:p>
    <w:p>
      <w:pPr>
        <w:jc w:val="both"/>
      </w:pPr>
      <w:r>
        <w:rPr>
          <w:b/>
          <w:i w:val="0"/>
        </w:rPr>
        <w:t>V6 — Decision robustness</w:t>
      </w:r>
      <w:r>
        <w:rPr>
          <w:b w:val="0"/>
          <w:i w:val="0"/>
        </w:rPr>
        <w:t xml:space="preserve"> (executed, </w:t>
      </w:r>
      <w:r>
        <w:rPr>
          <w:rFonts w:ascii="Consolas" w:hAnsi="Consolas"/>
          <w:b w:val="0"/>
          <w:sz w:val="20"/>
        </w:rPr>
        <w:t>a09</w:t>
      </w:r>
      <w:r>
        <w:rPr>
          <w:b w:val="0"/>
          <w:i w:val="0"/>
        </w:rPr>
        <w:t xml:space="preserve">). Tiers pass: agreement with the baseline partition is 97.8 % (90 % interval 94.6–100 %) against the 80 % target, and 179 of 186 routes keep their tier in more than 80 % of 5,000 draws </w:t>
      </w:r>
      <w:r>
        <w:rPr>
          <w:rFonts w:ascii="Consolas" w:hAnsi="Consolas"/>
          <w:b w:val="0"/>
          <w:sz w:val="20"/>
        </w:rPr>
        <w:t>[CL-57]</w:t>
      </w:r>
      <w:r>
        <w:rPr>
          <w:b w:val="0"/>
          <w:i w:val="0"/>
        </w:rPr>
        <w:t xml:space="preserve">. The fleet does not have a single robust value: 989–1,058 as specified, but </w:t>
      </w:r>
      <w:r>
        <w:rPr>
          <w:b/>
          <w:i w:val="0"/>
        </w:rPr>
        <w:t>1,130–1,266 once urban and peri-urban run times follow observed pace</w:t>
      </w:r>
      <w:r>
        <w:rPr>
          <w:b w:val="0"/>
          <w:i w:val="0"/>
        </w:rPr>
        <w:t xml:space="preserve">, an interval that excludes the published 1,011 </w:t>
      </w:r>
      <w:r>
        <w:rPr>
          <w:rFonts w:ascii="Consolas" w:hAnsi="Consolas"/>
          <w:b w:val="0"/>
          <w:sz w:val="20"/>
        </w:rPr>
        <w:t>[CL-56]</w:t>
      </w:r>
      <w:r>
        <w:rPr>
          <w:b w:val="0"/>
          <w:i w:val="0"/>
        </w:rPr>
        <w:t>. The decision that survives is the hierarchy; the fleet survives only as a range whose lower end the plan reports.</w:t>
      </w:r>
    </w:p>
    <w:p>
      <w:pPr>
        <w:pStyle w:val="Heading2"/>
      </w:pPr>
      <w:r>
        <w:t>6.3 What the GPS actually shows</w:t>
      </w:r>
    </w:p>
    <w:p>
      <w:pPr>
        <w:jc w:val="both"/>
      </w:pPr>
      <w:r>
        <w:rPr>
          <w:b w:val="0"/>
          <w:i w:val="0"/>
        </w:rPr>
        <w:t xml:space="preserve">The GPS channel corroborates what it can see and falsifies two assumptions it cannot support. </w:t>
      </w:r>
      <w:r>
        <w:rPr>
          <w:b w:val="0"/>
          <w:i/>
        </w:rPr>
        <w:t>Geometry and moving speed pass:</w:t>
      </w:r>
      <w:r>
        <w:rPr>
          <w:b w:val="0"/>
          <w:i w:val="0"/>
        </w:rPr>
        <w:t xml:space="preserve"> 183 of 186 planned alignments run over roads carrying bus traffic (median 94 % of length) </w:t>
      </w:r>
      <w:r>
        <w:rPr>
          <w:rFonts w:ascii="Consolas" w:hAnsi="Consolas"/>
          <w:b w:val="0"/>
          <w:sz w:val="20"/>
        </w:rPr>
        <w:t>[CL-35, F12]</w:t>
      </w:r>
      <w:r>
        <w:rPr>
          <w:b w:val="0"/>
          <w:i w:val="0"/>
        </w:rPr>
        <w:t xml:space="preserve">, and the City-Core congestion multiplier reproduces observed urban moving speed to +1.4 % </w:t>
      </w:r>
      <w:r>
        <w:rPr>
          <w:rFonts w:ascii="Consolas" w:hAnsi="Consolas"/>
          <w:b w:val="0"/>
          <w:sz w:val="20"/>
        </w:rPr>
        <w:t>[CL-33, F11]</w:t>
      </w:r>
      <w:r>
        <w:rPr>
          <w:b w:val="0"/>
          <w:i w:val="0"/>
        </w:rPr>
        <w:t xml:space="preserve">. </w:t>
      </w:r>
      <w:r>
        <w:rPr>
          <w:b w:val="0"/>
          <w:i/>
        </w:rPr>
        <w:t>Dwell and run time fail:</w:t>
      </w:r>
      <w:r>
        <w:rPr>
          <w:b w:val="0"/>
          <w:i w:val="0"/>
        </w:rPr>
        <w:t xml:space="preserve"> observed dwell is 1.76 min/km against the engine's 1.0, and is fixed layover rather than distance-proportional (</w:t>
      </w:r>
      <w:r>
        <w:rPr>
          <w:b w:val="0"/>
          <w:i/>
        </w:rPr>
        <w:t>R</w:t>
      </w:r>
      <w:r>
        <w:rPr>
          <w:b w:val="0"/>
          <w:i w:val="0"/>
          <w:vertAlign w:val="superscript"/>
        </w:rPr>
        <w:t>2</w:t>
      </w:r>
      <w:r>
        <w:rPr>
          <w:b w:val="0"/>
          <w:i w:val="0"/>
        </w:rPr>
        <w:t xml:space="preserve"> = 0.03</w:t>
      </w:r>
      <w:r>
        <w:rPr>
          <w:b w:val="0"/>
          <w:i w:val="0"/>
        </w:rPr>
        <w:t xml:space="preserve">) </w:t>
      </w:r>
      <w:r>
        <w:rPr>
          <w:rFonts w:ascii="Consolas" w:hAnsi="Consolas"/>
          <w:b w:val="0"/>
          <w:sz w:val="20"/>
        </w:rPr>
        <w:t>[CL-34]</w:t>
      </w:r>
      <w:r>
        <w:rPr>
          <w:b w:val="0"/>
          <w:i w:val="0"/>
        </w:rPr>
        <w:t xml:space="preserve">; modelled one-way time is a median 0.51 of observed </w:t>
      </w:r>
      <w:r>
        <w:rPr>
          <w:rFonts w:ascii="Consolas" w:hAnsi="Consolas"/>
          <w:b w:val="0"/>
          <w:sz w:val="20"/>
        </w:rPr>
        <w:t>[CL-17, F3]</w:t>
      </w:r>
      <w:r>
        <w:rPr>
          <w:b w:val="0"/>
          <w:i w:val="0"/>
        </w:rPr>
        <w:t xml:space="preserve">, and the per-km cap that was meant as a guardrail binds on 169 of 186 routes while sitting below real pace </w:t>
      </w:r>
      <w:r>
        <w:rPr>
          <w:rFonts w:ascii="Consolas" w:hAnsi="Consolas"/>
          <w:b w:val="0"/>
          <w:sz w:val="20"/>
        </w:rPr>
        <w:t>[CL-31, CL-32, F10]</w:t>
      </w:r>
      <w:r>
        <w:rPr>
          <w:b w:val="0"/>
          <w:i w:val="0"/>
        </w:rPr>
        <w:t xml:space="preserve"> (§5.3).</w:t>
      </w:r>
    </w:p>
    <w:p>
      <w:pPr>
        <w:jc w:val="both"/>
      </w:pPr>
      <w:r>
        <w:rPr>
          <w:b w:val="0"/>
          <w:i/>
        </w:rPr>
        <w:t>Two coverage metrics, never conflated.</w:t>
      </w:r>
      <w:r>
        <w:rPr>
          <w:b w:val="0"/>
          <w:i w:val="0"/>
        </w:rPr>
        <w:t xml:space="preserve"> Alignment coverage (94 %) is not service validation: </w:t>
      </w:r>
      <w:r>
        <w:rPr>
          <w:b/>
          <w:i w:val="0"/>
        </w:rPr>
        <w:t>66 of 186 routes recur as observed services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sz w:val="20"/>
        </w:rPr>
        <w:t>[CL-19, CL-35, F4, F12]</w:t>
      </w:r>
      <w:r>
        <w:rPr>
          <w:b w:val="0"/>
          <w:i w:val="0"/>
        </w:rPr>
        <w:t>, a lower bound set by partial app uptake, not a dormancy rate.</w:t>
      </w:r>
    </w:p>
    <w:p>
      <w:pPr>
        <w:jc w:val="both"/>
      </w:pPr>
      <w:r>
        <w:rPr>
          <w:b w:val="0"/>
          <w:i/>
        </w:rPr>
        <w:t>The supply chain reproduces.</w:t>
      </w:r>
      <w:r>
        <w:rPr>
          <w:b w:val="0"/>
          <w:i w:val="0"/>
        </w:rPr>
        <w:t xml:space="preserve"> The cycle-time and fleet arithmetic reproduces the published plan on all 186 routes </w:t>
      </w:r>
      <w:r>
        <w:rPr>
          <w:rFonts w:ascii="Consolas" w:hAnsi="Consolas"/>
          <w:b w:val="0"/>
          <w:sz w:val="20"/>
        </w:rPr>
        <w:t>[CL-55]</w:t>
      </w:r>
      <w:r>
        <w:rPr>
          <w:b w:val="0"/>
          <w:i w:val="0"/>
        </w:rPr>
        <w:t>. The problem is not the formula but its inputs — the too-fast cap and the distance-proportional dwell — which is why V6 carries observed pace into the fleet. Taken together, the channels agree that geometry, network structure and hierarchy are sound and disagree, in a localised and explicable way, on time.</w:t>
      </w:r>
    </w:p>
    <w:p>
      <w:pPr>
        <w:pStyle w:val="Heading2"/>
      </w:pPr>
      <w:r>
        <w:t>6.4 Demand-side corroboration as near-term work</w:t>
      </w:r>
    </w:p>
    <w:p>
      <w:pPr>
        <w:jc w:val="both"/>
      </w:pPr>
      <w:r>
        <w:rPr>
          <w:b w:val="0"/>
          <w:i w:val="0"/>
        </w:rPr>
        <w:t xml:space="preserve">The channels above validate the supply chain and the internal consistency of the index, not demand. Two steps should precede any live procurement decision: (i) the expert elicitation (V3), which V5 shows matters because the population weight governs the tiers; and (ii) a stratified on-street boarding count on retained corridors, to test the index against observed patronage and the POI layer against more than OpenStreetMap mapping effort </w:t>
      </w:r>
      <w:r>
        <w:rPr>
          <w:rFonts w:ascii="Consolas" w:hAnsi="Consolas"/>
          <w:b w:val="0"/>
          <w:sz w:val="20"/>
        </w:rPr>
        <w:t>[CL-20]</w:t>
      </w:r>
      <w:r>
        <w:rPr>
          <w:b w:val="0"/>
          <w:i w:val="0"/>
        </w:rPr>
        <w:t xml:space="preserve">. Neither was conducted. Until they are, the honest ceiling on the claim is </w:t>
      </w:r>
      <w:r>
        <w:rPr>
          <w:b/>
          <w:i w:val="0"/>
        </w:rPr>
        <w:t>decision-robustness of the supply plan</w:t>
      </w:r>
      <w:r>
        <w:rPr>
          <w:b w:val="0"/>
          <w:i w:val="0"/>
        </w:rPr>
        <w:t>, not demand validation.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ind w:left="454" w:hanging="454"/>
      </w:pPr>
      <w:r>
        <w:rPr>
          <w:b w:val="0"/>
          <w:i w:val="0"/>
          <w:sz w:val="20"/>
        </w:rPr>
        <w:t xml:space="preserve">Lloyd, Sorichetta &amp; Tatem (2017). High resolution global gridded data for use in population studies. </w:t>
      </w:r>
      <w:r>
        <w:rPr>
          <w:b w:val="0"/>
          <w:i/>
          <w:sz w:val="20"/>
        </w:rPr>
        <w:t>Scientific Data</w:t>
      </w:r>
      <w:r>
        <w:rPr>
          <w:b w:val="0"/>
          <w:i w:val="0"/>
          <w:sz w:val="20"/>
        </w:rPr>
        <w:t>, 4, 170001. https://doi.org/10.1038/sdata.2017.1</w:t>
      </w:r>
    </w:p>
    <w:p>
      <w:pPr>
        <w:ind w:left="454" w:hanging="454"/>
      </w:pPr>
      <w:r>
        <w:rPr>
          <w:b w:val="0"/>
          <w:i w:val="0"/>
          <w:sz w:val="20"/>
        </w:rPr>
        <w:t xml:space="preserve">OpenStreetMap contributors (2024). OpenStreetMap. </w:t>
      </w:r>
      <w:r>
        <w:rPr>
          <w:b w:val="0"/>
          <w:i/>
          <w:sz w:val="20"/>
        </w:rPr>
        <w:t>https://www.openstreetmap.org</w:t>
      </w:r>
      <w:r>
        <w:rPr>
          <w:b w:val="0"/>
          <w:i w:val="0"/>
          <w:sz w:val="20"/>
        </w:rPr>
        <w:t>.</w:t>
      </w:r>
    </w:p>
    <w:p>
      <w:pPr>
        <w:ind w:left="454" w:hanging="454"/>
      </w:pPr>
      <w:r>
        <w:rPr>
          <w:b w:val="0"/>
          <w:i w:val="0"/>
          <w:sz w:val="20"/>
        </w:rPr>
        <w:t xml:space="preserve">Stevens, Gaughan, Linard &amp; Tatem (2015). Disaggregating census data for population mapping using random forests with remotely-sensed and ancillary data. </w:t>
      </w:r>
      <w:r>
        <w:rPr>
          <w:b w:val="0"/>
          <w:i/>
          <w:sz w:val="20"/>
        </w:rPr>
        <w:t>PLOS ONE</w:t>
      </w:r>
      <w:r>
        <w:rPr>
          <w:b w:val="0"/>
          <w:i w:val="0"/>
          <w:sz w:val="20"/>
        </w:rPr>
        <w:t>, 10(2), e0107042. https://doi.org/10.1371/journal.pone.0107042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11111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11111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/>
      <w:b/>
      <w:bCs/>
      <w:i/>
      <w:iCs/>
      <w:color w:val="111111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 Validation and robustness</dc:title>
  <dc:subject/>
  <dc:creator>Kashmir bus route rationalisation study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