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Conclusions</w:t>
      </w:r>
    </w:p>
    <w:p>
      <w:pPr>
        <w:shd w:val="clear" w:color="auto" w:fill="EEF4FB"/>
        <w:ind w:left="227" w:right="227"/>
      </w:pPr>
      <w:r>
        <w:rPr>
          <w:b/>
          <w:i w:val="0"/>
          <w:sz w:val="19"/>
        </w:rPr>
        <w:t>Section owners:</w:t>
      </w:r>
      <w:r>
        <w:rPr>
          <w:b w:val="0"/>
          <w:i w:val="0"/>
          <w:sz w:val="19"/>
        </w:rPr>
        <w:t xml:space="preserve"> Ankit, Prashant, Sharvesh. </w:t>
      </w:r>
      <w:r>
        <w:rPr>
          <w:b/>
          <w:i w:val="0"/>
          <w:sz w:val="19"/>
        </w:rPr>
        <w:t>Target length:</w:t>
      </w:r>
      <w:r>
        <w:rPr>
          <w:b w:val="0"/>
          <w:i w:val="0"/>
          <w:sz w:val="19"/>
        </w:rPr>
        <w:t xml:space="preserve"> ~400 words. </w:t>
      </w:r>
      <w:r>
        <w:rPr>
          <w:b/>
          <w:i w:val="0"/>
          <w:sz w:val="19"/>
        </w:rPr>
        <w:t>Status:</w:t>
      </w:r>
      <w:r>
        <w:rPr>
          <w:b w:val="0"/>
          <w:i w:val="0"/>
          <w:sz w:val="19"/>
        </w:rPr>
        <w:t xml:space="preserve"> complete draft.</w:t>
      </w:r>
    </w:p>
    <w:p>
      <w:pPr>
        <w:jc w:val="both"/>
      </w:pPr>
      <w:r>
        <w:rPr>
          <w:b w:val="0"/>
          <w:i w:val="0"/>
        </w:rPr>
        <w:t xml:space="preserve">This study rationalised an inherited stage-carriage network </w:t>
      </w:r>
      <w:r>
        <w:rPr>
          <w:b/>
          <w:i w:val="0"/>
        </w:rPr>
        <w:t>entirely from open data and with no demand feed</w:t>
      </w:r>
      <w:r>
        <w:rPr>
          <w:b w:val="0"/>
          <w:i w:val="0"/>
        </w:rPr>
        <w:t xml:space="preserve">. Spatial analysis of the register showed it to be a </w:t>
      </w:r>
      <w:r>
        <w:rPr>
          <w:b/>
          <w:i w:val="0"/>
        </w:rPr>
        <w:t>permit</w:t>
      </w:r>
      <w:r>
        <w:rPr>
          <w:b w:val="0"/>
          <w:i w:val="0"/>
        </w:rPr>
        <w:t xml:space="preserve"> register, not a route register: 614 route records (445 permits and 169 timetabled services) </w:t>
      </w:r>
      <w:r>
        <w:rPr>
          <w:rFonts w:ascii="Consolas" w:hAnsi="Consolas"/>
          <w:b w:val="0"/>
          <w:sz w:val="20"/>
        </w:rPr>
        <w:t>[CL-01]</w:t>
      </w:r>
      <w:r>
        <w:rPr>
          <w:b w:val="0"/>
          <w:i w:val="0"/>
        </w:rPr>
        <w:t xml:space="preserve"> describe 157 distinct corridors </w:t>
      </w:r>
      <w:r>
        <w:rPr>
          <w:rFonts w:ascii="Consolas" w:hAnsi="Consolas"/>
          <w:b w:val="0"/>
          <w:sz w:val="20"/>
        </w:rPr>
        <w:t>[CL-02]</w:t>
      </w:r>
      <w:r>
        <w:rPr>
          <w:b w:val="0"/>
          <w:i w:val="0"/>
        </w:rPr>
        <w:t xml:space="preserve">, which the plan reorganises into </w:t>
      </w:r>
      <w:r>
        <w:rPr>
          <w:b/>
          <w:i w:val="0"/>
        </w:rPr>
        <w:t>186 active routes</w:t>
      </w:r>
      <w:r>
        <w:rPr>
          <w:b w:val="0"/>
          <w:i w:val="0"/>
        </w:rPr>
        <w:t xml:space="preserve"> (32 trunk, 154 feeder) sized at a </w:t>
      </w:r>
      <w:r>
        <w:rPr>
          <w:b/>
          <w:i w:val="0"/>
        </w:rPr>
        <w:t>1,011-vehicle fleet</w:t>
      </w:r>
      <w:r>
        <w:rPr>
          <w:b w:val="0"/>
          <w:i w:val="0"/>
        </w:rPr>
        <w:t xml:space="preserve"> (187/754/70 HPV/MPV/LPV; +68.5 % over the operating baseline) </w:t>
      </w:r>
      <w:r>
        <w:rPr>
          <w:rFonts w:ascii="Consolas" w:hAnsi="Consolas"/>
          <w:b w:val="0"/>
          <w:sz w:val="20"/>
        </w:rPr>
        <w:t>[CL-06, CL-36]</w:t>
      </w:r>
      <w:r>
        <w:rPr>
          <w:b w:val="0"/>
          <w:i w:val="0"/>
        </w:rPr>
        <w:t>. The pipeline is reproducible end to end under a fixed seed.</w:t>
      </w:r>
    </w:p>
    <w:p>
      <w:pPr>
        <w:jc w:val="both"/>
      </w:pPr>
      <w:r>
        <w:rPr>
          <w:b w:val="0"/>
          <w:i w:val="0"/>
        </w:rPr>
        <w:t xml:space="preserve">The central methodological contribution is to measure catchments on a walkable pedestrian network rather than as straight-line buffers. This single change lowers measured population served by a </w:t>
      </w:r>
      <w:r>
        <w:rPr>
          <w:b/>
          <w:i w:val="0"/>
        </w:rPr>
        <w:t>median of 37.4 % per route</w:t>
      </w:r>
      <w:r>
        <w:rPr>
          <w:b w:val="0"/>
          <w:i w:val="0"/>
        </w:rPr>
        <w:t xml:space="preserve"> and cuts headline division coverage from </w:t>
      </w:r>
      <w:r>
        <w:rPr>
          <w:b/>
          <w:i w:val="0"/>
        </w:rPr>
        <w:t>35.5 % to 24.2 %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20"/>
        </w:rPr>
        <w:t>[CL-26, CL-28]</w:t>
      </w:r>
      <w:r>
        <w:rPr>
          <w:b w:val="0"/>
          <w:i w:val="0"/>
        </w:rPr>
        <w:t xml:space="preserve"> — because network catchments are the exception, not the rule, in the rationalisation literature, the correction is roughly a third of the benefit that Euclidean methods report.</w:t>
      </w:r>
    </w:p>
    <w:p>
      <w:pPr>
        <w:jc w:val="both"/>
      </w:pPr>
      <w:r>
        <w:rPr>
          <w:b w:val="0"/>
          <w:i w:val="0"/>
        </w:rPr>
        <w:t xml:space="preserve">The study's other contributions are contributions of honesty. It shows the apparent 71 % "route reduction" is </w:t>
      </w:r>
      <w:r>
        <w:rPr>
          <w:b/>
          <w:i w:val="0"/>
        </w:rPr>
        <w:t>99.4 % corridor retention</w:t>
      </w:r>
      <w:r>
        <w:rPr>
          <w:b w:val="0"/>
          <w:i w:val="0"/>
        </w:rPr>
        <w:t xml:space="preserve"> plus a change of unit </w:t>
      </w:r>
      <w:r>
        <w:rPr>
          <w:rFonts w:ascii="Consolas" w:hAnsi="Consolas"/>
          <w:b w:val="0"/>
          <w:sz w:val="20"/>
        </w:rPr>
        <w:t>[CL-07, CL-08]</w:t>
      </w:r>
      <w:r>
        <w:rPr>
          <w:b w:val="0"/>
          <w:i w:val="0"/>
        </w:rPr>
        <w:t xml:space="preserve">; it recovers an undocumented tourist multiplier that had injected 285,914 synthetic residents into a coverage numerator </w:t>
      </w:r>
      <w:r>
        <w:rPr>
          <w:rFonts w:ascii="Consolas" w:hAnsi="Consolas"/>
          <w:b w:val="0"/>
          <w:sz w:val="20"/>
        </w:rPr>
        <w:t>[CL-30]</w:t>
      </w:r>
      <w:r>
        <w:rPr>
          <w:b w:val="0"/>
          <w:i w:val="0"/>
        </w:rPr>
        <w:t xml:space="preserve">; and it demonstrates that an intended sanity cap silently governs cycle time on </w:t>
      </w:r>
      <w:r>
        <w:rPr>
          <w:b/>
          <w:i w:val="0"/>
        </w:rPr>
        <w:t>90.9 % of routes</w:t>
      </w:r>
      <w:r>
        <w:rPr>
          <w:b w:val="0"/>
          <w:i w:val="0"/>
        </w:rPr>
        <w:t xml:space="preserve"> while sitting below real pace </w:t>
      </w:r>
      <w:r>
        <w:rPr>
          <w:rFonts w:ascii="Consolas" w:hAnsi="Consolas"/>
          <w:b w:val="0"/>
          <w:sz w:val="20"/>
        </w:rPr>
        <w:t>[CL-31, CL-32]</w:t>
      </w:r>
      <w:r>
        <w:rPr>
          <w:b w:val="0"/>
          <w:i w:val="0"/>
        </w:rPr>
        <w:t xml:space="preserve">. Carried through a joint uncertainty analysis, that finding turns the published 1,011 buses into the floor of a range: 1,130–1,266 once urban and peri-urban run times follow observed pace </w:t>
      </w:r>
      <w:r>
        <w:rPr>
          <w:rFonts w:ascii="Consolas" w:hAnsi="Consolas"/>
          <w:b w:val="0"/>
          <w:sz w:val="20"/>
        </w:rPr>
        <w:t>[CL-56]</w:t>
      </w:r>
      <w:r>
        <w:rPr>
          <w:b w:val="0"/>
          <w:i w:val="0"/>
        </w:rPr>
        <w:t xml:space="preserve">. The service hierarchy, by contrast, survives (97.8 % tier agreement) </w:t>
      </w:r>
      <w:r>
        <w:rPr>
          <w:rFonts w:ascii="Consolas" w:hAnsi="Consolas"/>
          <w:b w:val="0"/>
          <w:sz w:val="20"/>
        </w:rPr>
        <w:t>[CL-57]</w:t>
      </w:r>
      <w:r>
        <w:rPr>
          <w:b w:val="0"/>
          <w:i w:val="0"/>
        </w:rPr>
        <w:t xml:space="preserve">, and a third of the fleet buys nine-tenths of the coverage </w:t>
      </w:r>
      <w:r>
        <w:rPr>
          <w:rFonts w:ascii="Consolas" w:hAnsi="Consolas"/>
          <w:b w:val="0"/>
          <w:sz w:val="20"/>
        </w:rPr>
        <w:t>[CL-61]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On validation we are deliberately narrow. Supply-side GPS reproduces the geometry and urban moving speed </w:t>
      </w:r>
      <w:r>
        <w:rPr>
          <w:rFonts w:ascii="Consolas" w:hAnsi="Consolas"/>
          <w:b w:val="0"/>
          <w:sz w:val="20"/>
        </w:rPr>
        <w:t>[CL-33, CL-35]</w:t>
      </w:r>
      <w:r>
        <w:rPr>
          <w:b w:val="0"/>
          <w:i w:val="0"/>
        </w:rPr>
        <w:t xml:space="preserve"> and the fleet arithmetic reproduces exactly </w:t>
      </w:r>
      <w:r>
        <w:rPr>
          <w:rFonts w:ascii="Consolas" w:hAnsi="Consolas"/>
          <w:b w:val="0"/>
          <w:sz w:val="20"/>
        </w:rPr>
        <w:t>[CL-55]</w:t>
      </w:r>
      <w:r>
        <w:rPr>
          <w:b w:val="0"/>
          <w:i w:val="0"/>
        </w:rPr>
        <w:t xml:space="preserve">, but the operator benchmark fails its pre-registered band and is not independent </w:t>
      </w:r>
      <w:r>
        <w:rPr>
          <w:rFonts w:ascii="Consolas" w:hAnsi="Consolas"/>
          <w:b w:val="0"/>
          <w:sz w:val="20"/>
        </w:rPr>
        <w:t>[CL-54]</w:t>
      </w:r>
      <w:r>
        <w:rPr>
          <w:b w:val="0"/>
          <w:i w:val="0"/>
        </w:rPr>
        <w:t xml:space="preserve">, driver GPS carries no ridership signal, and the demand-side channels — an expert weight elicitation and an on-street boarding survey — remain near-term work (§6.4). The plan is therefore </w:t>
      </w:r>
      <w:r>
        <w:rPr>
          <w:b/>
          <w:i w:val="0"/>
        </w:rPr>
        <w:t>decision-robust, not demand-validated</w:t>
      </w:r>
      <w:r>
        <w:rPr>
          <w:b w:val="0"/>
          <w:i w:val="0"/>
        </w:rPr>
        <w:t xml:space="preserve"> — the strongest honest claim available to a demand-free method, and one we intend to strengthen with the field corroboration set out above.</w:t>
      </w:r>
    </w:p>
    <w:p>
      <w:pPr>
        <w:jc w:val="both"/>
      </w:pPr>
      <w:r>
        <w:rPr>
          <w:b w:val="0"/>
          <w:i w:val="0"/>
        </w:rPr>
        <w:t>Because the four inputs — a gridded population surface, OpenStreetMap, a routing engine, and a permit list — exist for most Indian cities without an organised bus network, the framework transfers directly, with data maturity treated as a ladder whose rungs §7.5 ranks by the uncertainty each removes.</w:t>
      </w:r>
    </w:p>
    <w:p>
      <w:pPr>
        <w:jc w:val="both"/>
      </w:pPr>
      <w:r>
        <w:rPr>
          <w:b w:val="0"/>
          <w:i w:val="0"/>
        </w:rPr>
        <w:t xml:space="preserve">The sentence the whole design works to keep unwriteable is that </w:t>
      </w:r>
      <w:r>
        <w:rPr>
          <w:b w:val="0"/>
          <w:i/>
        </w:rPr>
        <w:t>the composite index bears no established relationship to travel demand</w:t>
      </w:r>
      <w:r>
        <w:rPr>
          <w:b w:val="0"/>
          <w:i w:val="0"/>
        </w:rPr>
        <w:t>. Four directions would close the gap: (i) a stratified boarding-count survey to test the index-demand link directly; (ii) the deferred Delphi/AHP elicitation to ground the weights; (iii) wider GPS instrumentation to replace the binding cap with measured pace; and (iv) explicit seasonal and dynamic demand modelling for the tourist economy the resident raster cannot see.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11111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Conclusions</dc:title>
  <dc:subject/>
  <dc:creator>Kashmir bus route rationalisation study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