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Methodology</w:t>
      </w:r>
    </w:p>
    <w:p>
      <w:pPr>
        <w:pStyle w:val="Heading2"/>
        <w:keepNext/>
      </w:pPr>
      <w:r>
        <w:t xml:space="preserve">4.1 Framework overview</w:t>
      </w:r>
    </w:p>
    <w:p>
      <w:pPr>
        <w:jc w:val="both"/>
      </w:pPr>
      <w:r>
        <w:t xml:space="preserve">A regional transport office in India typically holds a register of stage-carriage permits and no ticket or origin-destination data. The present study asks how far a bus network can be planned from that position. The framework takes the permit register as given and returns a network in which every route has a service tier, a headway and a fleet, without observed demand for any route it plans.</w:t>
      </w:r>
    </w:p>
    <w:p>
      <w:pPr>
        <w:jc w:val="both"/>
      </w:pPr>
      <w:r>
        <w:t xml:space="preserve">It has four stages (Fig. 4): checking the inputs, measuring the residents and destinations each route reaches on foot, merging and ranking routes, and sizing fleets and testing their sensitivity. The open inputs are the WorldPop constrained population surface at 100 m, release R2025A (Tatem, 2017; Stevens et al., 2015), OpenStreetMap roads, footpaths, points of interest and boundaries (OpenStreetMap contributors, 2024), and a routing engine for road distance and free-flow time (Luxen and Vetter, 2011). The permit register, from the transport regulator, and the ridership totals of the Srinagar Smart City e-bus service, the region's only operator with electronic ticketing, are not open; Section 4.5 lists where those totals enter.</w:t>
      </w:r>
    </w:p>
    <w:p>
      <w:pPr>
        <w:jc w:val="both"/>
      </w:pPr>
      <w:r>
        <w:t xml:space="preserve">The study region Ω is the union of the ten districts of Kashmir Division. Raster cell </w:t>
      </w:r>
      <w:r>
        <w:rPr>
          <w:i/>
          <w:iCs/>
        </w:rPr>
        <w:t xml:space="preserve">c</w:t>
      </w:r>
      <w:r>
        <w:t xml:space="preserve">, centred at </w:t>
      </w:r>
      <w:r>
        <w:rPr>
          <w:i/>
          <w:iCs/>
        </w:rPr>
        <w:t xml:space="preserve">x</w:t>
      </w:r>
      <w:r>
        <w:rPr>
          <w:vertAlign w:val="subscript"/>
        </w:rPr>
        <w:t xml:space="preserve">c</w:t>
      </w:r>
      <w:r>
        <w:t xml:space="preserve">, holds ρ</w:t>
      </w:r>
      <w:r>
        <w:rPr>
          <w:vertAlign w:val="subscript"/>
        </w:rPr>
        <w:t xml:space="preserve">c</w:t>
      </w:r>
      <w:r>
        <w:t xml:space="preserve"> residents, and the region's 6,584,762 residents form the denominator of every coverage share. </w:t>
      </w:r>
      <w:r>
        <w:rPr>
          <w:i/>
          <w:iCs/>
        </w:rPr>
        <w:t xml:space="preserve">G</w:t>
      </w:r>
      <w:r>
        <w:t xml:space="preserve"> = (</w:t>
      </w:r>
      <w:r>
        <w:rPr>
          <w:i/>
          <w:iCs/>
        </w:rPr>
        <w:t xml:space="preserve">V</w:t>
      </w:r>
      <w:r>
        <w:t xml:space="preserve">, </w:t>
      </w:r>
      <w:r>
        <w:rPr>
          <w:i/>
          <w:iCs/>
        </w:rPr>
        <w:t xml:space="preserve">E</w:t>
      </w:r>
      <w:r>
        <w:t xml:space="preserve">) is the OpenStreetMap walking network with edges weighted by length, and route </w:t>
      </w:r>
      <w:r>
        <w:rPr>
          <w:i/>
          <w:iCs/>
        </w:rPr>
        <w:t xml:space="preserve">r</w:t>
      </w:r>
      <w:r>
        <w:t xml:space="preserve"> has length ℓ(</w:t>
      </w:r>
      <w:r>
        <w:rPr>
          <w:i/>
          <w:iCs/>
        </w:rPr>
        <w:t xml:space="preserve">r</w:t>
      </w:r>
      <w:r>
        <w:t xml:space="preserve">).</w:t>
      </w:r>
    </w:p>
    <w:p>
      <w:pPr>
        <w:pStyle w:val="Heading2"/>
        <w:keepNext/>
      </w:pPr>
      <w:r>
        <w:t xml:space="preserve">4.2 Data conditioning and network construction</w:t>
      </w:r>
    </w:p>
    <w:p>
      <w:pPr>
        <w:jc w:val="both"/>
      </w:pPr>
      <w:r>
        <w:t xml:space="preserve">The register holds 614 records, each naming an origin, a destination and a vehicle category; about three quarters also list intermediate places. A permit licenses a vehicle, so several permits often describe the same road. Matching the two ends of each permit to within 11 m, ignoring direction, reduces the 614 permits to 157 distinct corridors. Most corridors carry one permit and the busiest, Hazratbal to Lal Ded, carries 42, so every reduction reported later states its unit (Section 5).</w:t>
      </w:r>
    </w:p>
    <w:p>
      <w:pPr>
        <w:jc w:val="both"/>
      </w:pPr>
      <w:r>
        <w:t xml:space="preserve">Names were geocoded against a gazetteer of 103 places. For 37 villages that no geocoder could find, the district centre was used, and 19 of the 186 final routes (93 buses) end at such a point. The population surface, an alpha release, was used as published: its ten-district total is 95.6% of the 2011 Census figure, but district ratios range from 0.71 to 1.20. The walking network has 18,533 km of edges, and two thirds of the 2,431 points of interest lie in Srinagar district, so that layer partly reflects how thoroughly each place has been mapped.</w:t>
      </w:r>
    </w:p>
    <w:p>
      <w:pPr>
        <w:jc w:val="both"/>
      </w:pPr>
      <w:r>
        <w:t xml:space="preserve">The plan was built in stages. After routing, the road distances of 49 routes were replaced with values that a language model found through web searches, without checking or recorded sources, which cut the fleet on those routes from 247 to 207 buses. Five routes were later re-timed from driver GPS (Section 6), raising the total fleet from 1,004 to 1,011. The headway rules of Section 4.7 were settled over about fifteen revisions, during which the fleet ranged from 855 to 1,144 buses. Sections 4.9 and 6 test how far the plan's decisions survive these adjustments.</w:t>
      </w:r>
    </w:p>
    <w:p>
      <w:pPr>
        <w:pStyle w:val="Heading2"/>
        <w:keepNext/>
      </w:pPr>
      <w:r>
        <w:t xml:space="preserve">4.3 Route catchment delineation</w:t>
      </w:r>
    </w:p>
    <w:p>
      <w:pPr>
        <w:jc w:val="both"/>
      </w:pPr>
      <w:r>
        <w:t xml:space="preserve">Coverage measures have a long history in transit planning (Murray, 2001), but straight-line buffers count people beyond rivers, lakes and walls as served (Gutierrez and Garcia-Palomares, 2008; Biba et al., 2010; El-Geneidy et al., 2014), and the street environment also shapes how far people walk (Bivina et al., 2019). Srinagar is divided by the Jhelum and its lakes, so we measured catchments on the walking network.</w:t>
      </w:r>
    </w:p>
    <w:p>
      <w:pPr>
        <w:jc w:val="both"/>
      </w:pPr>
      <w:r>
        <w:t xml:space="preserve">Notional stops every 250 m along each route were attached to their nearest network node (median distance 11 m), and a shortest-path search from all stops gave each node </w:t>
      </w:r>
      <w:r>
        <w:rPr>
          <w:i/>
          <w:iCs/>
        </w:rPr>
        <w:t xml:space="preserve">v</w:t>
      </w:r>
      <w:r>
        <w:t xml:space="preserve"> its walking distance </w:t>
      </w:r>
      <w:r>
        <w:rPr>
          <w:i/>
          <w:iCs/>
        </w:rPr>
        <w:t xml:space="preserve">d</w:t>
      </w:r>
      <w:r>
        <w:t xml:space="preserve">(</w:t>
      </w:r>
      <w:r>
        <w:rPr>
          <w:i/>
          <w:iCs/>
        </w:rPr>
        <w:t xml:space="preserve">v</w:t>
      </w:r>
      <w:r>
        <w:t xml:space="preserve">) to the nearest stop. With a walking budget </w:t>
      </w:r>
      <w:r>
        <w:rPr>
          <w:i/>
          <w:iCs/>
        </w:rPr>
        <w:t xml:space="preserve">W</w:t>
      </w:r>
      <w:r>
        <w:t xml:space="preserve"> = 400 m and an off-network allowance τ = 100 m, one raster cell, the catchment is</w:t>
      </w:r>
    </w:p>
    <w:p>
      <w:pPr>
        <w:tabs>
          <w:tab w:val="center" w:pos="4513"/>
          <w:tab w:val="right" w:pos="9026"/>
        </w:tabs>
        <w:spacing w:after="160" w:before="120"/>
      </w:pPr>
      <w:r>
        <w:t xml:space="preserve">	</w:t>
      </w:r>
      <w:r>
        <w:rPr>
          <w:rFonts w:ascii="Cambria Math" w:cs="Cambria Math" w:eastAsia="Cambria Math" w:hAnsi="Cambria Math"/>
        </w:rPr>
        <w:t xml:space="preserve">A</w:t>
      </w:r>
      <w:r>
        <w:rPr>
          <w:rFonts w:ascii="Cambria Math" w:cs="Cambria Math" w:eastAsia="Cambria Math" w:hAnsi="Cambria Math"/>
          <w:vertAlign w:val="subscript"/>
        </w:rPr>
        <w:t xml:space="preserve">net</w:t>
      </w:r>
      <w:r>
        <w:rPr>
          <w:rFonts w:ascii="Cambria Math" w:cs="Cambria Math" w:eastAsia="Cambria Math" w:hAnsi="Cambria Math"/>
        </w:rPr>
        <w:t xml:space="preserve">(r) = ⋃</w:t>
      </w:r>
      <w:r>
        <w:rPr>
          <w:rFonts w:ascii="Cambria Math" w:cs="Cambria Math" w:eastAsia="Cambria Math" w:hAnsi="Cambria Math"/>
          <w:vertAlign w:val="subscript"/>
        </w:rPr>
        <w:t xml:space="preserve">v ∈ V : d(v) ≤ W</w:t>
      </w:r>
      <w:r>
        <w:rPr>
          <w:rFonts w:ascii="Cambria Math" w:cs="Cambria Math" w:eastAsia="Cambria Math" w:hAnsi="Cambria Math"/>
        </w:rPr>
        <w:t xml:space="preserve"> B( x</w:t>
      </w:r>
      <w:r>
        <w:rPr>
          <w:rFonts w:ascii="Cambria Math" w:cs="Cambria Math" w:eastAsia="Cambria Math" w:hAnsi="Cambria Math"/>
          <w:vertAlign w:val="subscript"/>
        </w:rPr>
        <w:t xml:space="preserve">v</w:t>
      </w:r>
      <w:r>
        <w:rPr>
          <w:rFonts w:ascii="Cambria Math" w:cs="Cambria Math" w:eastAsia="Cambria Math" w:hAnsi="Cambria Math"/>
        </w:rPr>
        <w:t xml:space="preserve"> , min(W − d(v), τ) )</w:t>
      </w:r>
      <w:r>
        <w:t xml:space="preserve">	(1)</w:t>
      </w:r>
    </w:p>
    <w:p>
      <w:pPr>
        <w:jc w:val="both"/>
      </w:pPr>
      <w:r>
        <w:t xml:space="preserve">where </w:t>
      </w:r>
      <w:r>
        <w:rPr>
          <w:i/>
          <w:iCs/>
        </w:rPr>
        <w:t xml:space="preserve">B</w:t>
      </w:r>
      <w:r>
        <w:t xml:space="preserve">(</w:t>
      </w:r>
      <w:r>
        <w:rPr>
          <w:i/>
          <w:iCs/>
        </w:rPr>
        <w:t xml:space="preserve">x</w:t>
      </w:r>
      <w:r>
        <w:t xml:space="preserve">, δ) is a disc of radius δ about </w:t>
      </w:r>
      <w:r>
        <w:rPr>
          <w:i/>
          <w:iCs/>
        </w:rPr>
        <w:t xml:space="preserve">x</w:t>
      </w:r>
      <w:r>
        <w:t xml:space="preserve">. Its residents are</w:t>
      </w:r>
    </w:p>
    <w:p>
      <w:pPr>
        <w:tabs>
          <w:tab w:val="center" w:pos="4513"/>
          <w:tab w:val="right" w:pos="9026"/>
        </w:tabs>
        <w:spacing w:after="160" w:before="120"/>
      </w:pPr>
      <w:r>
        <w:t xml:space="preserve">	</w:t>
      </w:r>
      <w:r>
        <w:rPr>
          <w:rFonts w:ascii="Cambria Math" w:cs="Cambria Math" w:eastAsia="Cambria Math" w:hAnsi="Cambria Math"/>
        </w:rPr>
        <w:t xml:space="preserve">Π(r) = Σ</w:t>
      </w:r>
      <w:r>
        <w:rPr>
          <w:rFonts w:ascii="Cambria Math" w:cs="Cambria Math" w:eastAsia="Cambria Math" w:hAnsi="Cambria Math"/>
          <w:vertAlign w:val="subscript"/>
        </w:rPr>
        <w:t xml:space="preserve">c : xc ∈ Anet(r)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t xml:space="preserve">	(2)</w:t>
      </w:r>
    </w:p>
    <w:p>
      <w:pPr>
        <w:jc w:val="both"/>
      </w:pPr>
      <w:r>
        <w:t xml:space="preserve">Catchments overlap, so for network totals each cell is divided equally among the </w:t>
      </w:r>
      <w:r>
        <w:rPr>
          <w:i/>
          <w:iCs/>
        </w:rPr>
        <w:t xml:space="preserve">n</w:t>
      </w:r>
      <w:r>
        <w:rPr>
          <w:vertAlign w:val="subscript"/>
        </w:rPr>
        <w:t xml:space="preserve">c</w:t>
      </w:r>
      <w:r>
        <w:t xml:space="preserve"> routes that reach it:</w:t>
      </w:r>
    </w:p>
    <w:p>
      <w:pPr>
        <w:tabs>
          <w:tab w:val="center" w:pos="4513"/>
          <w:tab w:val="right" w:pos="9026"/>
        </w:tabs>
        <w:spacing w:after="160" w:before="120"/>
      </w:pPr>
      <w:r>
        <w:t xml:space="preserve">	</w:t>
      </w:r>
      <w:r>
        <w:rPr>
          <w:rFonts w:ascii="Cambria Math" w:cs="Cambria Math" w:eastAsia="Cambria Math" w:hAnsi="Cambria Math"/>
        </w:rPr>
        <w:t xml:space="preserve">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rPr>
          <w:rFonts w:ascii="Cambria Math" w:cs="Cambria Math" w:eastAsia="Cambria Math" w:hAnsi="Cambria Math"/>
        </w:rPr>
        <w:t xml:space="preserve"> / n</w:t>
      </w:r>
      <w:r>
        <w:rPr>
          <w:rFonts w:ascii="Cambria Math" w:cs="Cambria Math" w:eastAsia="Cambria Math" w:hAnsi="Cambria Math"/>
          <w:vertAlign w:val="subscript"/>
        </w:rPr>
        <w:t xml:space="preserve">c</w:t>
      </w:r>
      <w:r>
        <w:rPr>
          <w:rFonts w:ascii="Cambria Math" w:cs="Cambria Math" w:eastAsia="Cambria Math" w:hAnsi="Cambria Math"/>
        </w:rPr>
        <w:t xml:space="preserve">) · 1[ x</w:t>
      </w:r>
      <w:r>
        <w:rPr>
          <w:rFonts w:ascii="Cambria Math" w:cs="Cambria Math" w:eastAsia="Cambria Math" w:hAnsi="Cambria Math"/>
          <w:vertAlign w:val="subscript"/>
        </w:rPr>
        <w:t xml:space="preserve">c</w:t>
      </w:r>
      <w:r>
        <w:rPr>
          <w:rFonts w:ascii="Cambria Math" w:cs="Cambria Math" w:eastAsia="Cambria Math" w:hAnsi="Cambria Math"/>
        </w:rPr>
        <w:t xml:space="preserve"> ∈ A</w:t>
      </w:r>
      <w:r>
        <w:rPr>
          <w:rFonts w:ascii="Cambria Math" w:cs="Cambria Math" w:eastAsia="Cambria Math" w:hAnsi="Cambria Math"/>
          <w:vertAlign w:val="subscript"/>
        </w:rPr>
        <w:t xml:space="preserve">net</w:t>
      </w:r>
      <w:r>
        <w:rPr>
          <w:rFonts w:ascii="Cambria Math" w:cs="Cambria Math" w:eastAsia="Cambria Math" w:hAnsi="Cambria Math"/>
        </w:rPr>
        <w:t xml:space="preserve">(r) ],     Σ</w:t>
      </w:r>
      <w:r>
        <w:rPr>
          <w:rFonts w:ascii="Cambria Math" w:cs="Cambria Math" w:eastAsia="Cambria Math" w:hAnsi="Cambria Math"/>
          <w:vertAlign w:val="subscript"/>
        </w:rPr>
        <w:t xml:space="preserve">r</w:t>
      </w:r>
      <w:r>
        <w:rPr>
          <w:rFonts w:ascii="Cambria Math" w:cs="Cambria Math" w:eastAsia="Cambria Math" w:hAnsi="Cambria Math"/>
        </w:rPr>
        <w:t xml:space="preserve"> 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t xml:space="preserve">	(3)</w:t>
      </w:r>
    </w:p>
    <w:p>
      <w:pPr>
        <w:jc w:val="both"/>
      </w:pPr>
      <w:r>
        <w:t xml:space="preserve">The shares then sum to the population of the combined catchment. Section 5 reports the gap between network and straight-line catchments across walking budgets, values of τ, stop spacings and rules for counting a cell.</w:t>
      </w:r>
    </w:p>
    <w:p>
      <w:pPr>
        <w:pStyle w:val="Heading2"/>
        <w:keepNext/>
      </w:pPr>
      <w:r>
        <w:t xml:space="preserve">4.4 Weighted opportunity accessibility</w:t>
      </w:r>
    </w:p>
    <w:p>
      <w:pPr>
        <w:jc w:val="both"/>
      </w:pPr>
      <w:r>
        <w:t xml:space="preserve">Destinations were measured as a cumulative-opportunity count (Geurs and van Wee, 2004): points of interest within 250 m of walking from the nearest stop, weighted by importance. The plan itself used a 250 m straight-line buffer. With </w:t>
      </w:r>
      <w:r>
        <w:rPr>
          <w:i/>
          <w:iCs/>
        </w:rPr>
        <w:t xml:space="preserve">d</w:t>
      </w:r>
      <w:r>
        <w:rPr>
          <w:vertAlign w:val="subscript"/>
        </w:rPr>
        <w:t xml:space="preserve">q</w:t>
      </w:r>
      <w:r>
        <w:t xml:space="preserve">(</w:t>
      </w:r>
      <w:r>
        <w:rPr>
          <w:i/>
          <w:iCs/>
        </w:rPr>
        <w:t xml:space="preserve">r</w:t>
      </w:r>
      <w:r>
        <w:t xml:space="preserve">) the walking distance from point </w:t>
      </w:r>
      <w:r>
        <w:rPr>
          <w:i/>
          <w:iCs/>
        </w:rPr>
        <w:t xml:space="preserve">q</w:t>
      </w:r>
      <w:r>
        <w:t xml:space="preserve"> to route </w:t>
      </w:r>
      <w:r>
        <w:rPr>
          <w:i/>
          <w:iCs/>
        </w:rPr>
        <w:t xml:space="preserve">r</w:t>
      </w:r>
      <w:r>
        <w:t xml:space="preserve">,</w:t>
      </w:r>
    </w:p>
    <w:p>
      <w:pPr>
        <w:tabs>
          <w:tab w:val="center" w:pos="4513"/>
          <w:tab w:val="right" w:pos="9026"/>
        </w:tabs>
        <w:spacing w:after="160" w:before="120"/>
      </w:pPr>
      <w:r>
        <w:t xml:space="preserve">	</w:t>
      </w:r>
      <w:r>
        <w:rPr>
          <w:rFonts w:ascii="Cambria Math" w:cs="Cambria Math" w:eastAsia="Cambria Math" w:hAnsi="Cambria Math"/>
        </w:rPr>
        <w:t xml:space="preserve">O(r) = Σ</w:t>
      </w:r>
      <w:r>
        <w:rPr>
          <w:rFonts w:ascii="Cambria Math" w:cs="Cambria Math" w:eastAsia="Cambria Math" w:hAnsi="Cambria Math"/>
          <w:vertAlign w:val="subscript"/>
        </w:rPr>
        <w:t xml:space="preserve">q ∈ Q : dq(r) ≤ 250 m</w:t>
      </w:r>
      <w:r>
        <w:rPr>
          <w:rFonts w:ascii="Cambria Math" w:cs="Cambria Math" w:eastAsia="Cambria Math" w:hAnsi="Cambria Math"/>
        </w:rPr>
        <w:t xml:space="preserve"> α</w:t>
      </w:r>
      <w:r>
        <w:rPr>
          <w:rFonts w:ascii="Cambria Math" w:cs="Cambria Math" w:eastAsia="Cambria Math" w:hAnsi="Cambria Math"/>
          <w:vertAlign w:val="subscript"/>
        </w:rPr>
        <w:t xml:space="preserve">t(q)</w:t>
      </w:r>
      <w:r>
        <w:t xml:space="preserve">	(4)</w:t>
      </w:r>
    </w:p>
    <w:p>
      <w:pPr>
        <w:jc w:val="both"/>
      </w:pPr>
      <w:r>
        <w:t xml:space="preserve">where tier </w:t>
      </w:r>
      <w:r>
        <w:rPr>
          <w:i/>
          <w:iCs/>
        </w:rPr>
        <w:t xml:space="preserve">t</w:t>
      </w:r>
      <w:r>
        <w:t xml:space="preserve">(</w:t>
      </w:r>
      <w:r>
        <w:rPr>
          <w:i/>
          <w:iCs/>
        </w:rPr>
        <w:t xml:space="preserve">q</w:t>
      </w:r>
      <w:r>
        <w:t xml:space="preserve">) carries α = 1.00 (high), 0.40 (medium) or 0.60 (seasonal). Tiers come from OpenStreetMap tags and name rules for a few dozen landmarks, and they are coarse: every place of worship and every facility tagged as a hospital is in the top tier. Because a residential population surface does not see visitors, the 8 tourist-corridor routes, the set </w:t>
      </w:r>
      <w:r>
        <w:rPr>
          <w:i/>
          <w:iCs/>
        </w:rPr>
        <w:t xml:space="preserve">T</w:t>
      </w:r>
      <w:r>
        <w:t xml:space="preserve">, receive a multiplier:</w:t>
      </w:r>
    </w:p>
    <w:p>
      <w:pPr>
        <w:tabs>
          <w:tab w:val="center" w:pos="4513"/>
          <w:tab w:val="right" w:pos="9026"/>
        </w:tabs>
        <w:spacing w:after="160" w:before="120"/>
      </w:pPr>
      <w:r>
        <w:t xml:space="preserve">	</w:t>
      </w:r>
      <w:r>
        <w:rPr>
          <w:rFonts w:ascii="Cambria Math" w:cs="Cambria Math" w:eastAsia="Cambria Math" w:hAnsi="Cambria Math"/>
        </w:rPr>
        <w:t xml:space="preserve">O</w:t>
      </w:r>
      <w:r>
        <w:rPr>
          <w:rFonts w:ascii="Cambria Math" w:cs="Cambria Math" w:eastAsia="Cambria Math" w:hAnsi="Cambria Math"/>
          <w:i/>
          <w:iCs/>
        </w:rPr>
        <w:t xml:space="preserve">(r) = μ · O(r) if r ∈ T;   O</w:t>
      </w:r>
      <w:r>
        <w:rPr>
          <w:rFonts w:ascii="Cambria Math" w:cs="Cambria Math" w:eastAsia="Cambria Math" w:hAnsi="Cambria Math"/>
        </w:rPr>
        <w:t xml:space="preserve">(r) = O(r) otherwise;     μ = 1.30</w:t>
      </w:r>
      <w:r>
        <w:t xml:space="preserve">	(5)</w:t>
      </w:r>
    </w:p>
    <w:p>
      <w:pPr>
        <w:jc w:val="both"/>
      </w:pPr>
      <w:r>
        <w:t xml:space="preserve">The weights, tier rules and μ are our assumptions, and no expert-elicited weights were obtained. In the plan, μ multiplied the resident count of the 8 routes and raised their index, but it did not enter network coverage, which uses the combined catchment.</w:t>
      </w:r>
    </w:p>
    <w:p>
      <w:pPr>
        <w:pStyle w:val="Heading2"/>
        <w:keepNext/>
      </w:pPr>
      <w:r>
        <w:t xml:space="preserve">4.5 Composite demand index</w:t>
      </w:r>
    </w:p>
    <w:p>
      <w:pPr>
        <w:jc w:val="both"/>
      </w:pPr>
      <w:r>
        <w:t xml:space="preserve">Both measures were divided by route length, population density was capped at its 95th percentile, and each was rescaled across active routes,</w:t>
      </w:r>
    </w:p>
    <w:p>
      <w:pPr>
        <w:tabs>
          <w:tab w:val="center" w:pos="4513"/>
          <w:tab w:val="right" w:pos="9026"/>
        </w:tabs>
        <w:spacing w:after="160" w:before="120"/>
      </w:pPr>
      <w:r>
        <w:t xml:space="preserve">	</w:t>
      </w:r>
      <w:r>
        <w:rPr>
          <w:rFonts w:ascii="Cambria Math" w:cs="Cambria Math" w:eastAsia="Cambria Math" w:hAnsi="Cambria Math"/>
        </w:rPr>
        <w:t xml:space="preserve">ẑ(r) = [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 / [ max</w:t>
      </w:r>
      <w:r>
        <w:rPr>
          <w:rFonts w:ascii="Cambria Math" w:cs="Cambria Math" w:eastAsia="Cambria Math" w:hAnsi="Cambria Math"/>
          <w:vertAlign w:val="subscript"/>
        </w:rPr>
        <w:t xml:space="preserve">r′</w:t>
      </w:r>
      <w:r>
        <w:rPr>
          <w:rFonts w:ascii="Cambria Math" w:cs="Cambria Math" w:eastAsia="Cambria Math" w:hAnsi="Cambria Math"/>
        </w:rPr>
        <w:t xml:space="preserve">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w:t>
      </w:r>
      <w:r>
        <w:t xml:space="preserve">	(6)</w:t>
      </w:r>
    </w:p>
    <w:p>
      <w:pPr>
        <w:jc w:val="both"/>
      </w:pPr>
      <w:r>
        <w:t xml:space="preserve">and combined with weight β on residents (OECD and European Commission, Joint Research Centre, 2008):</w:t>
      </w:r>
    </w:p>
    <w:p>
      <w:pPr>
        <w:tabs>
          <w:tab w:val="center" w:pos="4513"/>
          <w:tab w:val="right" w:pos="9026"/>
        </w:tabs>
        <w:spacing w:after="160" w:before="120"/>
      </w:pPr>
      <w:r>
        <w:t xml:space="preserve">	</w:t>
      </w:r>
      <w:r>
        <w:rPr>
          <w:rFonts w:ascii="Cambria Math" w:cs="Cambria Math" w:eastAsia="Cambria Math" w:hAnsi="Cambria Math"/>
        </w:rPr>
        <w:t xml:space="preserve">CDI(r) = β · ẑ</w:t>
      </w:r>
      <w:r>
        <w:rPr>
          <w:rFonts w:ascii="Cambria Math" w:cs="Cambria Math" w:eastAsia="Cambria Math" w:hAnsi="Cambria Math"/>
          <w:vertAlign w:val="subscript"/>
        </w:rPr>
        <w:t xml:space="preserve">Π</w:t>
      </w:r>
      <w:r>
        <w:rPr>
          <w:rFonts w:ascii="Cambria Math" w:cs="Cambria Math" w:eastAsia="Cambria Math" w:hAnsi="Cambria Math"/>
        </w:rPr>
        <w:t xml:space="preserve">(r) + (1 − β) · ẑ</w:t>
      </w:r>
      <w:r>
        <w:rPr>
          <w:rFonts w:ascii="Cambria Math" w:cs="Cambria Math" w:eastAsia="Cambria Math" w:hAnsi="Cambria Math"/>
          <w:vertAlign w:val="subscript"/>
        </w:rPr>
        <w:t xml:space="preserve">O</w:t>
      </w:r>
      <w:r>
        <w:rPr>
          <w:rFonts w:ascii="Cambria Math" w:cs="Cambria Math" w:eastAsia="Cambria Math" w:hAnsi="Cambria Math"/>
        </w:rPr>
        <w:t xml:space="preserve">(r),     β = 0.50</w:t>
      </w:r>
      <w:r>
        <w:t xml:space="preserve">	(7)</w:t>
      </w:r>
    </w:p>
    <w:p>
      <w:pPr>
        <w:jc w:val="both"/>
      </w:pPr>
      <w:r>
        <w:t xml:space="preserve">where ẑ</w:t>
      </w:r>
      <w:r>
        <w:rPr>
          <w:vertAlign w:val="subscript"/>
        </w:rPr>
        <w:t xml:space="preserve">Π</w:t>
      </w:r>
      <w:r>
        <w:t xml:space="preserve"> and ẑ</w:t>
      </w:r>
      <w:r>
        <w:rPr>
          <w:vertAlign w:val="subscript"/>
        </w:rPr>
        <w:t xml:space="preserve">O</w:t>
      </w:r>
      <w:r>
        <w:t xml:space="preserve"> are the rescaled values of Π(</w:t>
      </w:r>
      <w:r>
        <w:rPr>
          <w:i/>
          <w:iCs/>
        </w:rPr>
        <w:t xml:space="preserve">r</w:t>
      </w:r>
      <w:r>
        <w:t xml:space="preserve">)/ℓ(</w:t>
      </w:r>
      <w:r>
        <w:rPr>
          <w:i/>
          <w:iCs/>
        </w:rPr>
        <w:t xml:space="preserve">r</w:t>
      </w:r>
      <w:r>
        <w:t xml:space="preserve">) and </w:t>
      </w:r>
      <w:r>
        <w:rPr>
          <w:i/>
          <w:iCs/>
        </w:rPr>
        <w:t xml:space="preserve">O</w:t>
      </w:r>
      <w:r>
        <w:rPr>
          <w:i/>
          <w:iCs/>
        </w:rPr>
        <w:t xml:space="preserve">(</w:t>
      </w:r>
      <w:r>
        <w:t xml:space="preserve">r</w:t>
      </w:r>
      <w:r>
        <w:rPr>
          <w:i/>
          <w:iCs/>
        </w:rPr>
        <w:t xml:space="preserve">)/ℓ(</w:t>
      </w:r>
      <w:r>
        <w:t xml:space="preserve">r*). The components are strongly correlated (Pearson 0.88 to 0.89), so the composite adds little to either alone. With two components, principal-component weights (Jolliffe, 2002) reduce to equal weights, so we compare equal weights with Shannon-entropy weights (Shannon, 1948; Zou et al., 2006) and a sweep of β (Section 5).</w:t>
      </w:r>
    </w:p>
    <w:p>
      <w:pPr>
        <w:jc w:val="both"/>
      </w:pPr>
      <w:r>
        <w:t xml:space="preserve">The index indicates where demand is likely to be and does not measure it. Observed ridership enters only through the e-bus operator's totals, at five points:</w:t>
      </w:r>
    </w:p>
    <w:p>
      <w:pPr>
        <w:pStyle w:val="ListParagraph"/>
        <w:numPr>
          <w:ilvl w:val="0"/>
          <w:numId w:val="2"/>
        </w:numPr>
      </w:pPr>
      <w:r>
        <w:t xml:space="preserve">The 30 e-bus routes are kept as they are and never merged (Section 4.6).</w:t>
      </w:r>
    </w:p>
    <w:p>
      <w:pPr>
        <w:pStyle w:val="ListParagraph"/>
        <w:numPr>
          <w:ilvl w:val="0"/>
          <w:numId w:val="2"/>
        </w:numPr>
      </w:pPr>
      <w:r>
        <w:t xml:space="preserve">They run at the operator's 15-minute design headway and sit in the top tier whatever their index (Section 4.7).</w:t>
      </w:r>
    </w:p>
    <w:p>
      <w:pPr>
        <w:pStyle w:val="ListParagraph"/>
        <w:numPr>
          <w:ilvl w:val="0"/>
          <w:numId w:val="2"/>
        </w:numPr>
      </w:pPr>
      <w:r>
        <w:t xml:space="preserve">Their fleet is the larger of the computed and the deployed fleet (Section 4.8).</w:t>
      </w:r>
    </w:p>
    <w:p>
      <w:pPr>
        <w:pStyle w:val="ListParagraph"/>
        <w:numPr>
          <w:ilvl w:val="0"/>
          <w:numId w:val="2"/>
        </w:numPr>
      </w:pPr>
      <w:r>
        <w:t xml:space="preserve">The scale, mode share and trip rate of Eq. (8) are set from the operator's totals.</w:t>
      </w:r>
    </w:p>
    <w:p>
      <w:pPr>
        <w:pStyle w:val="ListParagraph"/>
        <w:numPr>
          <w:ilvl w:val="0"/>
          <w:numId w:val="2"/>
        </w:numPr>
      </w:pPr>
      <w:r>
        <w:t xml:space="preserve">On the 67 rural routes outside the e-bus network, a low estimated load lengthens the headway (Section 4.7).</w:t>
      </w:r>
    </w:p>
    <w:p>
      <w:pPr>
        <w:jc w:val="both"/>
      </w:pPr>
      <w:r>
        <w:t xml:space="preserve">The ridership estimate, used only as a plausibility check, is</w:t>
      </w:r>
    </w:p>
    <w:p>
      <w:pPr>
        <w:tabs>
          <w:tab w:val="center" w:pos="4513"/>
          <w:tab w:val="right" w:pos="9026"/>
        </w:tabs>
        <w:spacing w:after="160" w:before="120"/>
      </w:pPr>
      <w:r>
        <w:t xml:space="preserve">	</w:t>
      </w:r>
      <w:r>
        <w:rPr>
          <w:rFonts w:ascii="Cambria Math" w:cs="Cambria Math" w:eastAsia="Cambria Math" w:hAnsi="Cambria Math"/>
        </w:rPr>
        <w:t xml:space="preserve">D̃(r) = κ · g · m</w:t>
      </w:r>
      <w:r>
        <w:rPr>
          <w:rFonts w:ascii="Cambria Math" w:cs="Cambria Math" w:eastAsia="Cambria Math" w:hAnsi="Cambria Math"/>
          <w:vertAlign w:val="subscript"/>
        </w:rPr>
        <w:t xml:space="preserve">type(r)</w:t>
      </w:r>
      <w:r>
        <w:rPr>
          <w:rFonts w:ascii="Cambria Math" w:cs="Cambria Math" w:eastAsia="Cambria Math" w:hAnsi="Cambria Math"/>
        </w:rPr>
        <w:t xml:space="preserve"> · Σ</w:t>
      </w:r>
      <w:r>
        <w:rPr>
          <w:rFonts w:ascii="Cambria Math" w:cs="Cambria Math" w:eastAsia="Cambria Math" w:hAnsi="Cambria Math"/>
          <w:vertAlign w:val="subscript"/>
        </w:rPr>
        <w:t xml:space="preserve">c ∈ A(r)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rPr>
          <w:rFonts w:ascii="Cambria Math" w:cs="Cambria Math" w:eastAsia="Cambria Math" w:hAnsi="Cambria Math"/>
        </w:rPr>
        <w:t xml:space="preserve"> σ(r),     κ = 0.33</w:t>
      </w:r>
      <w:r>
        <w:t xml:space="preserve">	(8)</w:t>
      </w:r>
    </w:p>
    <w:p>
      <w:pPr>
        <w:jc w:val="both"/>
      </w:pPr>
      <w:r>
        <w:t xml:space="preserve">where </w:t>
      </w:r>
      <w:r>
        <w:rPr>
          <w:i/>
          <w:iCs/>
        </w:rPr>
        <w:t xml:space="preserve">g</w:t>
      </w:r>
      <w:r>
        <w:t xml:space="preserve"> = 1.6 trips per person per day, </w:t>
      </w:r>
      <w:r>
        <w:rPr>
          <w:i/>
          <w:iCs/>
        </w:rPr>
        <w:t xml:space="preserve">m</w:t>
      </w:r>
      <w:r>
        <w:t xml:space="preserve"> is the bus share of trips by route type (0.090 urban, 0.072 peri-urban, 0.054 regional) and σ(</w:t>
      </w:r>
      <w:r>
        <w:rPr>
          <w:i/>
          <w:iCs/>
        </w:rPr>
        <w:t xml:space="preserve">r</w:t>
      </w:r>
      <w:r>
        <w:t xml:space="preserve">) divides a corridor's residents among its routes. We fitted κ to the 11.63 million e-bus boardings of May 2025 to April 2026; since κ, </w:t>
      </w:r>
      <w:r>
        <w:rPr>
          <w:i/>
          <w:iCs/>
        </w:rPr>
        <w:t xml:space="preserve">g</w:t>
      </w:r>
      <w:r>
        <w:t xml:space="preserve"> and </w:t>
      </w:r>
      <w:r>
        <w:rPr>
          <w:i/>
          <w:iCs/>
        </w:rPr>
        <w:t xml:space="preserve">m</w:t>
      </w:r>
      <w:r>
        <w:t xml:space="preserve"> multiply, only their product is identified. The method therefore needs no observed demand for the routes it plans but uses one operator's totals, and any comparison with that operator (Section 6) is circular.</w:t>
      </w:r>
    </w:p>
    <w:p>
      <w:pPr>
        <w:pStyle w:val="Heading2"/>
        <w:keepNext/>
      </w:pPr>
      <w:r>
        <w:t xml:space="preserve">4.6 Permit consolidation</w:t>
      </w:r>
    </w:p>
    <w:p>
      <w:pPr>
        <w:jc w:val="both"/>
      </w:pPr>
      <w:r>
        <w:t xml:space="preserve">Where permits share a road, the network should run one service. Overlap is measured on 80 m buffers </w:t>
      </w:r>
      <w:r>
        <w:rPr>
          <w:i/>
          <w:iCs/>
        </w:rPr>
        <w:t xml:space="preserve">S</w:t>
      </w:r>
      <w:r>
        <w:t xml:space="preserve">(</w:t>
      </w:r>
      <w:r>
        <w:rPr>
          <w:i/>
          <w:iCs/>
        </w:rPr>
        <w:t xml:space="preserve">r</w:t>
      </w:r>
      <w:r>
        <w:t xml:space="preserve">) of the route lines:</w:t>
      </w:r>
    </w:p>
    <w:p>
      <w:pPr>
        <w:tabs>
          <w:tab w:val="center" w:pos="4513"/>
          <w:tab w:val="right" w:pos="9026"/>
        </w:tabs>
        <w:spacing w:after="160" w:before="120"/>
      </w:pPr>
      <w:r>
        <w:t xml:space="preserve">	</w:t>
      </w:r>
      <w:r>
        <w:rPr>
          <w:rFonts w:ascii="Cambria Math" w:cs="Cambria Math" w:eastAsia="Cambria Math" w:hAnsi="Cambria Math"/>
        </w:rPr>
        <w:t xml:space="preserve">φ(r</w:t>
      </w:r>
      <w:r>
        <w:rPr>
          <w:rFonts w:ascii="Cambria Math" w:cs="Cambria Math" w:eastAsia="Cambria Math" w:hAnsi="Cambria Math"/>
          <w:vertAlign w:val="subscript"/>
        </w:rPr>
        <w:t xml:space="preserve">i</w:t>
      </w:r>
      <w:r>
        <w:rPr>
          <w:rFonts w:ascii="Cambria Math" w:cs="Cambria Math" w:eastAsia="Cambria Math" w:hAnsi="Cambria Math"/>
        </w:rPr>
        <w:t xml:space="preserve">, r</w:t>
      </w:r>
      <w:r>
        <w:rPr>
          <w:rFonts w:ascii="Cambria Math" w:cs="Cambria Math" w:eastAsia="Cambria Math" w:hAnsi="Cambria Math"/>
          <w:vertAlign w:val="subscript"/>
        </w:rPr>
        <w:t xml:space="preserve">j</w:t>
      </w:r>
      <w:r>
        <w:rPr>
          <w:rFonts w:ascii="Cambria Math" w:cs="Cambria Math" w:eastAsia="Cambria Math" w:hAnsi="Cambria Math"/>
        </w:rPr>
        <w:t xml:space="preserve">) = | S(r</w:t>
      </w:r>
      <w:r>
        <w:rPr>
          <w:rFonts w:ascii="Cambria Math" w:cs="Cambria Math" w:eastAsia="Cambria Math" w:hAnsi="Cambria Math"/>
          <w:vertAlign w:val="subscript"/>
        </w:rPr>
        <w:t xml:space="preserve">i</w:t>
      </w:r>
      <w:r>
        <w:rPr>
          <w:rFonts w:ascii="Cambria Math" w:cs="Cambria Math" w:eastAsia="Cambria Math" w:hAnsi="Cambria Math"/>
        </w:rPr>
        <w:t xml:space="preserve">) ∩ S(r</w:t>
      </w:r>
      <w:r>
        <w:rPr>
          <w:rFonts w:ascii="Cambria Math" w:cs="Cambria Math" w:eastAsia="Cambria Math" w:hAnsi="Cambria Math"/>
          <w:vertAlign w:val="subscript"/>
        </w:rPr>
        <w:t xml:space="preserve">j</w:t>
      </w:r>
      <w:r>
        <w:rPr>
          <w:rFonts w:ascii="Cambria Math" w:cs="Cambria Math" w:eastAsia="Cambria Math" w:hAnsi="Cambria Math"/>
        </w:rPr>
        <w:t xml:space="preserve">) | / min( |S(r</w:t>
      </w:r>
      <w:r>
        <w:rPr>
          <w:rFonts w:ascii="Cambria Math" w:cs="Cambria Math" w:eastAsia="Cambria Math" w:hAnsi="Cambria Math"/>
          <w:vertAlign w:val="subscript"/>
        </w:rPr>
        <w:t xml:space="preserve">i</w:t>
      </w:r>
      <w:r>
        <w:rPr>
          <w:rFonts w:ascii="Cambria Math" w:cs="Cambria Math" w:eastAsia="Cambria Math" w:hAnsi="Cambria Math"/>
        </w:rPr>
        <w:t xml:space="preserve">)|, |S(r</w:t>
      </w:r>
      <w:r>
        <w:rPr>
          <w:rFonts w:ascii="Cambria Math" w:cs="Cambria Math" w:eastAsia="Cambria Math" w:hAnsi="Cambria Math"/>
          <w:vertAlign w:val="subscript"/>
        </w:rPr>
        <w:t xml:space="preserve">j</w:t>
      </w:r>
      <w:r>
        <w:rPr>
          <w:rFonts w:ascii="Cambria Math" w:cs="Cambria Math" w:eastAsia="Cambria Math" w:hAnsi="Cambria Math"/>
        </w:rPr>
        <w:t xml:space="preserve">)| )</w:t>
      </w:r>
      <w:r>
        <w:t xml:space="preserve">	(9)</w:t>
      </w:r>
    </w:p>
    <w:p>
      <w:pPr>
        <w:jc w:val="both"/>
      </w:pPr>
      <w:r>
        <w:t xml:space="preserve">A route is absorbed into a trunk only if φ ≥ θ = 0.65, its start point lies within 2.5 km of the trunk's, and the trunk leads its group; members are never merged with one another. These conditions are why few distinct corridors disappear. All three values are our assumptions, and Algorithm 1 gives the procedure.</w:t>
      </w:r>
    </w:p>
    <w:p>
      <w:pPr>
        <w:pBdr>
          <w:top w:val="single" w:color="808080" w:sz="6" w:space="4"/>
        </w:pBdr>
        <w:shd w:fill="F2F2F2" w:color="auto" w:val="clear"/>
        <w:spacing w:after="40" w:before="120"/>
        <w:ind w:left="360" w:right="360"/>
      </w:pPr>
      <w:r>
        <w:rPr>
          <w:b/>
          <w:bCs/>
          <w:sz w:val="22"/>
          <w:szCs w:val="22"/>
        </w:rPr>
        <w:t xml:space="preserve">Algorithm 1. Permit consolidation</w:t>
      </w:r>
    </w:p>
    <w:p>
      <w:pPr>
        <w:shd w:fill="F2F2F2" w:color="auto" w:val="clear"/>
        <w:spacing w:after="40" w:before="0"/>
        <w:ind w:left="360" w:right="360"/>
      </w:pPr>
      <w:r>
        <w:rPr>
          <w:b w:val="false"/>
          <w:bCs w:val="false"/>
          <w:sz w:val="22"/>
          <w:szCs w:val="22"/>
        </w:rPr>
        <w:t xml:space="preserve">Input: 644 candidate rows (614 permits and 30 e-bus routes); overlap threshold θ.</w:t>
      </w:r>
    </w:p>
    <w:p>
      <w:pPr>
        <w:shd w:fill="F2F2F2" w:color="auto" w:val="clear"/>
        <w:spacing w:after="40" w:before="0"/>
        <w:ind w:left="360" w:right="360"/>
      </w:pPr>
      <w:r>
        <w:rPr>
          <w:b w:val="false"/>
          <w:bCs w:val="false"/>
          <w:sz w:val="22"/>
          <w:szCs w:val="22"/>
        </w:rPr>
        <w:t xml:space="preserve">1. Group rows whose 80 m line buffers overlap by at least θ.</w:t>
      </w:r>
    </w:p>
    <w:p>
      <w:pPr>
        <w:shd w:fill="F2F2F2" w:color="auto" w:val="clear"/>
        <w:spacing w:after="40" w:before="0"/>
        <w:ind w:left="360" w:right="360"/>
      </w:pPr>
      <w:r>
        <w:rPr>
          <w:b w:val="false"/>
          <w:bCs w:val="false"/>
          <w:sz w:val="22"/>
          <w:szCs w:val="22"/>
        </w:rPr>
        <w:t xml:space="preserve">2. In each group, make the route with the highest index the trunk, provided it is at least 5 km long and above the 30th percentile of the index.</w:t>
      </w:r>
    </w:p>
    <w:p>
      <w:pPr>
        <w:shd w:fill="F2F2F2" w:color="auto" w:val="clear"/>
        <w:spacing w:after="40" w:before="0"/>
        <w:ind w:left="360" w:right="360"/>
      </w:pPr>
      <w:r>
        <w:rPr>
          <w:b w:val="false"/>
          <w:bCs w:val="false"/>
          <w:sz w:val="22"/>
          <w:szCs w:val="22"/>
        </w:rPr>
        <w:t xml:space="preserve">3. Absorb a member into the trunk only if at least θ of its buffer lies inside the trunk's and their start points are within 2.5 km; otherwise keep it as a feeder.</w:t>
      </w:r>
    </w:p>
    <w:p>
      <w:pPr>
        <w:shd w:fill="F2F2F2" w:color="auto" w:val="clear"/>
        <w:spacing w:after="40" w:before="0"/>
        <w:ind w:left="360" w:right="360"/>
      </w:pPr>
      <w:r>
        <w:rPr>
          <w:b w:val="false"/>
          <w:bCs w:val="false"/>
          <w:sz w:val="22"/>
          <w:szCs w:val="22"/>
        </w:rPr>
        <w:t xml:space="preserve">4. Never absorb an e-bus route, and never merge two members with each other.</w:t>
      </w:r>
    </w:p>
    <w:p>
      <w:pPr>
        <w:shd w:fill="F2F2F2" w:color="auto" w:val="clear"/>
        <w:spacing w:after="40" w:before="0"/>
        <w:ind w:left="360" w:right="360"/>
      </w:pPr>
      <w:r>
        <w:rPr>
          <w:b w:val="false"/>
          <w:bCs w:val="false"/>
          <w:sz w:val="22"/>
          <w:szCs w:val="22"/>
        </w:rPr>
        <w:t xml:space="preserve">5. Collapse rows that serve the same corridor, in either direction, into one service.</w:t>
      </w:r>
    </w:p>
    <w:p>
      <w:pPr>
        <w:pBdr>
          <w:bottom w:val="single" w:color="808080" w:sz="6" w:space="4"/>
        </w:pBdr>
        <w:shd w:fill="F2F2F2" w:color="auto" w:val="clear"/>
        <w:spacing w:after="160" w:before="0"/>
        <w:ind w:left="360" w:right="360"/>
      </w:pPr>
      <w:r>
        <w:rPr>
          <w:b w:val="false"/>
          <w:bCs w:val="false"/>
          <w:sz w:val="22"/>
          <w:szCs w:val="22"/>
        </w:rPr>
        <w:t xml:space="preserve">Output: 186 active routes (32 trunks and 154 feeders); 458 rows absorbed.</w:t>
      </w:r>
    </w:p>
    <w:p>
      <w:pPr>
        <w:jc w:val="both"/>
      </w:pPr>
      <w:r>
        <w:t xml:space="preserve">The plan keeps 156 of the 157 corridors. The merge rule is held fixed in the uncertainty analysis, and scenario S4 (Section 5), which lowers θ to 0.50 and merges connected groups, is the only test of the route set.</w:t>
      </w:r>
    </w:p>
    <w:p>
      <w:pPr>
        <w:pStyle w:val="Heading2"/>
        <w:keepNext/>
      </w:pPr>
      <w:r>
        <w:t xml:space="preserve">4.7 Hierarchy and service standards</w:t>
      </w:r>
    </w:p>
    <w:p>
      <w:pPr>
        <w:jc w:val="both"/>
      </w:pPr>
      <w:r>
        <w:t xml:space="preserve">Routes were ranked by the index and divided by Jenks natural breaks, which make each class as uniform as possible (Jenks, 1967; Fisher, 1958). The number of classes is the smallest </w:t>
      </w:r>
      <w:r>
        <w:rPr>
          <w:i/>
          <w:iCs/>
        </w:rPr>
        <w:t xml:space="preserve">k</w:t>
      </w:r>
      <w:r>
        <w:t xml:space="preserve"> whose goodness of variance fit reaches 0.80, a threshold of our choosing:</w:t>
      </w:r>
    </w:p>
    <w:p>
      <w:pPr>
        <w:tabs>
          <w:tab w:val="center" w:pos="4513"/>
          <w:tab w:val="right" w:pos="9026"/>
        </w:tabs>
        <w:spacing w:after="160" w:before="120"/>
      </w:pPr>
      <w:r>
        <w:t xml:space="preserve">	</w:t>
      </w:r>
      <w:r>
        <w:rPr>
          <w:rFonts w:ascii="Cambria Math" w:cs="Cambria Math" w:eastAsia="Cambria Math" w:hAnsi="Cambria Math"/>
        </w:rPr>
        <w:t xml:space="preserve">GVF(k) = 1 − [ Σ</w:t>
      </w:r>
      <w:r>
        <w:rPr>
          <w:rFonts w:ascii="Cambria Math" w:cs="Cambria Math" w:eastAsia="Cambria Math" w:hAnsi="Cambria Math"/>
          <w:vertAlign w:val="subscript"/>
        </w:rPr>
        <w:t xml:space="preserve">j=1..k</w:t>
      </w:r>
      <w:r>
        <w:rPr>
          <w:rFonts w:ascii="Cambria Math" w:cs="Cambria Math" w:eastAsia="Cambria Math" w:hAnsi="Cambria Math"/>
        </w:rPr>
        <w:t xml:space="preserve"> Σ</w:t>
      </w:r>
      <w:r>
        <w:rPr>
          <w:rFonts w:ascii="Cambria Math" w:cs="Cambria Math" w:eastAsia="Cambria Math" w:hAnsi="Cambria Math"/>
          <w:vertAlign w:val="subscript"/>
        </w:rPr>
        <w:t xml:space="preserve">i ∈ Cj</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bscript"/>
        </w:rPr>
        <w:t xml:space="preserve">Cj</w:t>
      </w:r>
      <w:r>
        <w:rPr>
          <w:rFonts w:ascii="Cambria Math" w:cs="Cambria Math" w:eastAsia="Cambria Math" w:hAnsi="Cambria Math"/>
        </w:rPr>
        <w:t xml:space="preserve">)</w:t>
      </w:r>
      <w:r>
        <w:rPr>
          <w:rFonts w:ascii="Cambria Math" w:cs="Cambria Math" w:eastAsia="Cambria Math" w:hAnsi="Cambria Math"/>
          <w:vertAlign w:val="superscript"/>
        </w:rPr>
        <w:t xml:space="preserve">2</w:t>
      </w:r>
      <w:r>
        <w:rPr>
          <w:rFonts w:ascii="Cambria Math" w:cs="Cambria Math" w:eastAsia="Cambria Math" w:hAnsi="Cambria Math"/>
        </w:rPr>
        <w:t xml:space="preserve"> ] / [ Σ</w:t>
      </w:r>
      <w:r>
        <w:rPr>
          <w:rFonts w:ascii="Cambria Math" w:cs="Cambria Math" w:eastAsia="Cambria Math" w:hAnsi="Cambria Math"/>
          <w:vertAlign w:val="subscript"/>
        </w:rPr>
        <w:t xml:space="preserve">i</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perscript"/>
        </w:rPr>
        <w:t xml:space="preserve">2</w:t>
      </w:r>
      <w:r>
        <w:rPr>
          <w:rFonts w:ascii="Cambria Math" w:cs="Cambria Math" w:eastAsia="Cambria Math" w:hAnsi="Cambria Math"/>
        </w:rPr>
        <w:t xml:space="preserve"> ],     k = 2, …, 7</w:t>
      </w:r>
      <w:r>
        <w:t xml:space="preserve">	(10)</w:t>
      </w:r>
    </w:p>
    <w:p>
      <w:pPr>
        <w:jc w:val="both"/>
      </w:pPr>
      <w:r>
        <w:t xml:space="preserve">Headways are policy values set independently of the index: 15 minutes on e-bus routes, 20 on other top-tier routes, 35 on the remaining urban and peri-urban routes, and 35 to 50 on rural routes according to the load implied by Eq. (8). Standards of this kind serve what Walker (2008) calls a coverage goal, which spreads service across an area whatever its ridership. Published tiers also reflect overrides for e-bus routes, district headquarters and socially designated routes, and Section 5 compares them with tiers from the index alone. Each route has one headway for the whole day.</w:t>
      </w:r>
    </w:p>
    <w:p>
      <w:pPr>
        <w:pStyle w:val="Heading2"/>
        <w:keepNext/>
      </w:pPr>
      <w:r>
        <w:t xml:space="preserve">4.8 Cycle time and fleet sizing</w:t>
      </w:r>
    </w:p>
    <w:p>
      <w:pPr>
        <w:jc w:val="both"/>
      </w:pPr>
      <w:r>
        <w:t xml:space="preserve">One-way running time is the free-flow time scaled for congestion, plus time at stops (Vuchic, 2005; Ceder, 2007):</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run</w:t>
      </w:r>
      <w:r>
        <w:rPr>
          <w:rFonts w:ascii="Cambria Math" w:cs="Cambria Math" w:eastAsia="Cambria Math" w:hAnsi="Cambria Math"/>
        </w:rPr>
        <w:t xml:space="preserve">(r) = χ(r) · [ t</w:t>
      </w:r>
      <w:r>
        <w:rPr>
          <w:rFonts w:ascii="Cambria Math" w:cs="Cambria Math" w:eastAsia="Cambria Math" w:hAnsi="Cambria Math"/>
          <w:vertAlign w:val="subscript"/>
        </w:rPr>
        <w:t xml:space="preserve">free</w:t>
      </w:r>
      <w:r>
        <w:rPr>
          <w:rFonts w:ascii="Cambria Math" w:cs="Cambria Math" w:eastAsia="Cambria Math" w:hAnsi="Cambria Math"/>
        </w:rPr>
        <w:t xml:space="preserve">(r) + J(r) ] + δ · ℓ(r) / Δ</w:t>
      </w:r>
      <w:r>
        <w:t xml:space="preserve">	(11)</w:t>
      </w:r>
    </w:p>
    <w:p>
      <w:pPr>
        <w:jc w:val="both"/>
      </w:pPr>
      <w:r>
        <w:t xml:space="preserve">Here χ is 2.2 in the zone treated as the city core and 1.4 elsewhere; the core is defined by a single line of latitude and includes 170 of the 186 routes. </w:t>
      </w:r>
      <w:r>
        <w:rPr>
          <w:i/>
          <w:iCs/>
        </w:rPr>
        <w:t xml:space="preserve">J</w:t>
      </w:r>
      <w:r>
        <w:t xml:space="preserve">(</w:t>
      </w:r>
      <w:r>
        <w:rPr>
          <w:i/>
          <w:iCs/>
        </w:rPr>
        <w:t xml:space="preserve">r</w:t>
      </w:r>
      <w:r>
        <w:t xml:space="preserve">) adds 8 minutes for a Jhelum crossing, and stops cost δ = 0.5 minutes at one every Δ = 500 m. These values are assumptions. Cycle time is then capped per kilometre:</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cyc</w:t>
      </w:r>
      <w:r>
        <w:rPr>
          <w:rFonts w:ascii="Cambria Math" w:cs="Cambria Math" w:eastAsia="Cambria Math" w:hAnsi="Cambria Math"/>
        </w:rPr>
        <w:t xml:space="preserve">(r) = min[ 2λ · t</w:t>
      </w:r>
      <w:r>
        <w:rPr>
          <w:rFonts w:ascii="Cambria Math" w:cs="Cambria Math" w:eastAsia="Cambria Math" w:hAnsi="Cambria Math"/>
          <w:vertAlign w:val="subscript"/>
        </w:rPr>
        <w:t xml:space="preserve">run</w:t>
      </w:r>
      <w:r>
        <w:rPr>
          <w:rFonts w:ascii="Cambria Math" w:cs="Cambria Math" w:eastAsia="Cambria Math" w:hAnsi="Cambria Math"/>
        </w:rPr>
        <w:t xml:space="preserve">(r),  2 · ℓ(r) · ω</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(12)</w:t>
      </w:r>
    </w:p>
    <w:p>
      <w:pPr>
        <w:jc w:val="both"/>
      </w:pPr>
      <w:r>
        <w:t xml:space="preserve">with layover factor λ = 1.10 and cap ω of 4.0, 2.5 and 1.5 minutes per kilometre for urban, peri-urban and regional routes. The cap was meant to catch implausible values but binds on 169 of the 186 routes, where Eq. (11) therefore has no effect on the fleet. The urban cap is also faster than the median pace in driver GPS, 4.62 minutes per kilometre, so the fleet is sized a second time from observed pace (Section 4.9). The fleet on route </w:t>
      </w:r>
      <w:r>
        <w:rPr>
          <w:i/>
          <w:iCs/>
        </w:rPr>
        <w:t xml:space="preserve">r</w:t>
      </w:r>
      <w:r>
        <w:t xml:space="preserve"> with headway </w:t>
      </w:r>
      <w:r>
        <w:rPr>
          <w:i/>
          <w:iCs/>
        </w:rPr>
        <w:t xml:space="preserve">h</w:t>
      </w:r>
      <w:r>
        <w:t xml:space="preserve">(</w:t>
      </w:r>
      <w:r>
        <w:rPr>
          <w:i/>
          <w:iCs/>
        </w:rPr>
        <w:t xml:space="preserve">r</w:t>
      </w:r>
      <w:r>
        <w:t xml:space="preserve">) is</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op</w:t>
      </w:r>
      <w:r>
        <w:rPr>
          <w:rFonts w:ascii="Cambria Math" w:cs="Cambria Math" w:eastAsia="Cambria Math" w:hAnsi="Cambria Math"/>
        </w:rPr>
        <w:t xml:space="preserve">(r) = ⌈ t</w:t>
      </w:r>
      <w:r>
        <w:rPr>
          <w:rFonts w:ascii="Cambria Math" w:cs="Cambria Math" w:eastAsia="Cambria Math" w:hAnsi="Cambria Math"/>
          <w:vertAlign w:val="subscript"/>
        </w:rPr>
        <w:t xml:space="preserve">cyc</w:t>
      </w:r>
      <w:r>
        <w:rPr>
          <w:rFonts w:ascii="Cambria Math" w:cs="Cambria Math" w:eastAsia="Cambria Math" w:hAnsi="Cambria Math"/>
        </w:rPr>
        <w:t xml:space="preserve">(r) / h(r) ⌉,     N(r) = max( ⌈ σ · N</w:t>
      </w:r>
      <w:r>
        <w:rPr>
          <w:rFonts w:ascii="Cambria Math" w:cs="Cambria Math" w:eastAsia="Cambria Math" w:hAnsi="Cambria Math"/>
          <w:vertAlign w:val="subscript"/>
        </w:rPr>
        <w:t xml:space="preserve">op</w:t>
      </w:r>
      <w:r>
        <w:rPr>
          <w:rFonts w:ascii="Cambria Math" w:cs="Cambria Math" w:eastAsia="Cambria Math" w:hAnsi="Cambria Math"/>
        </w:rPr>
        <w:t xml:space="preserve">(r) ⌉, N</w:t>
      </w:r>
      <w:r>
        <w:rPr>
          <w:rFonts w:ascii="Cambria Math" w:cs="Cambria Math" w:eastAsia="Cambria Math" w:hAnsi="Cambria Math"/>
          <w:vertAlign w:val="superscript"/>
        </w:rPr>
        <w:t xml:space="preserve">min</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(13)</w:t>
      </w:r>
    </w:p>
    <w:p>
      <w:pPr>
        <w:jc w:val="both"/>
      </w:pPr>
      <w:r>
        <w:t xml:space="preserve">where the spare ratio σ = 1.15 is an assumption and the minimum is two vehicles on urban and peri-urban routes and one on regional routes. On the e-bus routes, the set </w:t>
      </w:r>
      <w:r>
        <w:rPr>
          <w:i/>
          <w:iCs/>
        </w:rPr>
        <w:t xml:space="preserve">E</w:t>
      </w:r>
      <w:r>
        <w:t xml:space="preserve">, the operator's deployed fleet </w:t>
      </w:r>
      <w:r>
        <w:rPr>
          <w:i/>
          <w:iCs/>
        </w:rPr>
        <w:t xml:space="preserve">N</w:t>
      </w:r>
      <w:r>
        <w:rPr>
          <w:vertAlign w:val="superscript"/>
        </w:rPr>
        <w:t xml:space="preserve">emp</w:t>
      </w:r>
      <w:r>
        <w:t xml:space="preserve">(</w:t>
      </w:r>
      <w:r>
        <w:rPr>
          <w:i/>
          <w:iCs/>
        </w:rPr>
        <w:t xml:space="preserve">r</w:t>
      </w:r>
      <w:r>
        <w:t xml:space="preserve">) is a floor:</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total</w:t>
      </w:r>
      <w:r>
        <w:rPr>
          <w:rFonts w:ascii="Cambria Math" w:cs="Cambria Math" w:eastAsia="Cambria Math" w:hAnsi="Cambria Math"/>
        </w:rPr>
        <w:t xml:space="preserve"> = Σ</w:t>
      </w:r>
      <w:r>
        <w:rPr>
          <w:rFonts w:ascii="Cambria Math" w:cs="Cambria Math" w:eastAsia="Cambria Math" w:hAnsi="Cambria Math"/>
          <w:vertAlign w:val="subscript"/>
        </w:rPr>
        <w:t xml:space="preserve">r ∉ E</w:t>
      </w:r>
      <w:r>
        <w:rPr>
          <w:rFonts w:ascii="Cambria Math" w:cs="Cambria Math" w:eastAsia="Cambria Math" w:hAnsi="Cambria Math"/>
        </w:rPr>
        <w:t xml:space="preserve"> N(r) + Σ</w:t>
      </w:r>
      <w:r>
        <w:rPr>
          <w:rFonts w:ascii="Cambria Math" w:cs="Cambria Math" w:eastAsia="Cambria Math" w:hAnsi="Cambria Math"/>
          <w:vertAlign w:val="subscript"/>
        </w:rPr>
        <w:t xml:space="preserve">r ∈ E</w:t>
      </w:r>
      <w:r>
        <w:rPr>
          <w:rFonts w:ascii="Cambria Math" w:cs="Cambria Math" w:eastAsia="Cambria Math" w:hAnsi="Cambria Math"/>
        </w:rPr>
        <w:t xml:space="preserve"> max( N(r), N</w:t>
      </w:r>
      <w:r>
        <w:rPr>
          <w:rFonts w:ascii="Cambria Math" w:cs="Cambria Math" w:eastAsia="Cambria Math" w:hAnsi="Cambria Math"/>
          <w:vertAlign w:val="superscript"/>
        </w:rPr>
        <w:t xml:space="preserve">emp</w:t>
      </w:r>
      <w:r>
        <w:rPr>
          <w:rFonts w:ascii="Cambria Math" w:cs="Cambria Math" w:eastAsia="Cambria Math" w:hAnsi="Cambria Math"/>
        </w:rPr>
        <w:t xml:space="preserve">(r) ) = 728 + 283 = 1,011</w:t>
      </w:r>
      <w:r>
        <w:t xml:space="preserve">	(14)</w:t>
      </w:r>
    </w:p>
    <w:p>
      <w:pPr>
        <w:jc w:val="both"/>
      </w:pPr>
      <w:r>
        <w:t xml:space="preserve">Buses are assigned to the register's size classes, heavy (about 12 m), medium (about 9 m) and light (a minibus), by route length and the classes of the permits a route replaces, with heavy vehicles at most half of a trunk's fleet. The plan has 187 heavy, 754 medium and 70 light vehicles.</w:t>
      </w:r>
    </w:p>
    <w:p>
      <w:pPr>
        <w:jc w:val="both"/>
      </w:pPr>
      <w:r>
        <w:t xml:space="preserve">An independent re-implementation of Eqs. (11) to (13) reproduces the published fleet on all 186 routes, given the plan's headways, five GPS-timed cycles and e-bus floors; without the last two it matches 180 routes and gives 1,000 buses. Because the headways are policy values and demand responds to service (Holmgren, 2007), we also compute the fleet each route would need for its headway to reach a target peak load on Eq. (8), with demand held fixed.</w:t>
      </w:r>
    </w:p>
    <w:p>
      <w:pPr>
        <w:pStyle w:val="Heading2"/>
        <w:keepNext/>
      </w:pPr>
      <w:r>
        <w:t xml:space="preserve">4.9 Sensitivity and uncertainty</w:t>
      </w:r>
    </w:p>
    <w:p>
      <w:pPr>
        <w:jc w:val="both"/>
      </w:pPr>
      <w:r>
        <w:t xml:space="preserve">A one-at-a-time sweep varies each parameter over its tested range. A Monte Carlo analysis then draws twelve inputs jointly 5,000 times, and Sobol' first-order and total-order indices (Sobol', 2001; Saltelli et al., 2008, 2010), from a Saltelli design of 1,024 base samples (14,336 evaluations), apportion each output's variance among them. Catchment parameters are evaluated on a grid of walking budgets from 300 to 800 m and stop spacings from 150 to 400 m.</w:t>
      </w:r>
    </w:p>
    <w:p>
      <w:pPr>
        <w:jc w:val="both"/>
      </w:pPr>
      <w:r>
        <w:t xml:space="preserve">Because the cap hides the running-time parameters on most routes, the fleet is computed under two regimes. Regime A is the plan as specified. In regime B, urban and peri-urban routes outside the e-bus network take their cycle time from the one-way pace observed in driver GPS on 16 corridors around Srinagar: five routes are measured directly and 84 take the pooled pace, while the 30 e-bus and 67 regional routes keep their modelled cycles because no pace was observed for them. Regime B is computed from overall pace and, separately, from moving pace plus modelled dwell.</w:t>
      </w:r>
    </w:p>
    <w:p>
      <w:pPr>
        <w:jc w:val="both"/>
      </w:pPr>
      <w:r>
        <w:t xml:space="preserve">We report medians and 5th to 95th percentile ranges. These depend on the input distributions we chose, are not confidence intervals, and exclude uncertainty in the route set because the merge rule is not sampled. The analysis tests whether decisions survive plausible changes in parameters and speed, and it is not a check against demand. All code runs from frozen inputs with seed 20260823 on the OpenStreetMap extract of 6 January 2026.</w:t>
      </w:r>
    </w:p>
    <w:p>
      <w:pPr>
        <w:pStyle w:val="Heading2"/>
      </w:pPr>
      <w:r>
        <w:t xml:space="preserve">References cited in this section</w:t>
      </w:r>
    </w:p>
    <w:p>
      <w:pPr>
        <w:spacing w:after="80"/>
        <w:ind w:left="360" w:hanging="360"/>
      </w:pPr>
      <w:r>
        <w:rPr>
          <w:sz w:val="20"/>
          <w:szCs w:val="20"/>
        </w:rPr>
        <w:t xml:space="preserve">Biba, Curtin &amp; Manca (2010). A new method for determining the population with walking access to transit. </w:t>
      </w:r>
      <w:r>
        <w:rPr>
          <w:i/>
          <w:iCs/>
          <w:sz w:val="20"/>
          <w:szCs w:val="20"/>
        </w:rPr>
        <w:t xml:space="preserve">International Journal of Geographical Information Science</w:t>
      </w:r>
      <w:r>
        <w:rPr>
          <w:sz w:val="20"/>
          <w:szCs w:val="20"/>
        </w:rPr>
        <w:t xml:space="preserve">, 24(3), 347–364. https://doi.org/10.1080/13658810802646679</w:t>
      </w:r>
    </w:p>
    <w:p>
      <w:pPr>
        <w:spacing w:after="80"/>
        <w:ind w:left="360" w:hanging="360"/>
      </w:pPr>
      <w:r>
        <w:rPr>
          <w:sz w:val="20"/>
          <w:szCs w:val="20"/>
        </w:rPr>
        <w:t xml:space="preserve">Bivina, Gupta &amp; Parida (2019). Influence of microscale environmental factors on perceived walk accessibility to metro stations. </w:t>
      </w:r>
      <w:r>
        <w:rPr>
          <w:i/>
          <w:iCs/>
          <w:sz w:val="20"/>
          <w:szCs w:val="20"/>
        </w:rPr>
        <w:t xml:space="preserve">Transportation Research Part D: Transport and Environment</w:t>
      </w:r>
      <w:r>
        <w:rPr>
          <w:sz w:val="20"/>
          <w:szCs w:val="20"/>
        </w:rPr>
        <w:t xml:space="preserve">, 67, 142–155. https://doi.org/10.1016/j.trd.2018.11.007</w:t>
      </w:r>
    </w:p>
    <w:p>
      <w:pPr>
        <w:spacing w:after="80"/>
        <w:ind w:left="360" w:hanging="360"/>
      </w:pPr>
      <w:r>
        <w:rPr>
          <w:sz w:val="20"/>
          <w:szCs w:val="20"/>
        </w:rPr>
        <w:t xml:space="preserve">Ceder (2007). Public Transit Planning and Operation: Theory, Modelling and Practice. </w:t>
      </w:r>
      <w:r>
        <w:rPr>
          <w:i/>
          <w:iCs/>
          <w:sz w:val="20"/>
          <w:szCs w:val="20"/>
        </w:rPr>
        <w:t xml:space="preserve">CRC Press</w:t>
      </w:r>
      <w:r>
        <w:rPr>
          <w:sz w:val="20"/>
          <w:szCs w:val="20"/>
        </w:rPr>
        <w:t xml:space="preserve">. https://doi.org/10.1201/b12853</w:t>
      </w:r>
    </w:p>
    <w:p>
      <w:pPr>
        <w:spacing w:after="80"/>
        <w:ind w:left="360" w:hanging="360"/>
      </w:pPr>
      <w:r>
        <w:rPr>
          <w:sz w:val="20"/>
          <w:szCs w:val="20"/>
        </w:rPr>
        <w:t xml:space="preserve">El-Geneidy, Grimsrud, Wasfi, Tetreault &amp; Surprenant-Legault (2014). New evidence on walking distances to transit stops: identifying redundancies and gaps using variable service areas. </w:t>
      </w:r>
      <w:r>
        <w:rPr>
          <w:i/>
          <w:iCs/>
          <w:sz w:val="20"/>
          <w:szCs w:val="20"/>
        </w:rPr>
        <w:t xml:space="preserve">Transportation</w:t>
      </w:r>
      <w:r>
        <w:rPr>
          <w:sz w:val="20"/>
          <w:szCs w:val="20"/>
        </w:rPr>
        <w:t xml:space="preserve">, 41(1), 193–210. https://doi.org/10.1007/s11116-013-9508-z</w:t>
      </w:r>
    </w:p>
    <w:p>
      <w:pPr>
        <w:spacing w:after="80"/>
        <w:ind w:left="360" w:hanging="360"/>
      </w:pPr>
      <w:r>
        <w:rPr>
          <w:sz w:val="20"/>
          <w:szCs w:val="20"/>
        </w:rPr>
        <w:t xml:space="preserve">Fisher (1958). On grouping for maximum homogeneity. </w:t>
      </w:r>
      <w:r>
        <w:rPr>
          <w:i/>
          <w:iCs/>
          <w:sz w:val="20"/>
          <w:szCs w:val="20"/>
        </w:rPr>
        <w:t xml:space="preserve">Journal of the American Statistical Association</w:t>
      </w:r>
      <w:r>
        <w:rPr>
          <w:sz w:val="20"/>
          <w:szCs w:val="20"/>
        </w:rPr>
        <w:t xml:space="preserve">, 53(284), 789–798. https://doi.org/10.1080/01621459.1958.10501479</w:t>
      </w:r>
    </w:p>
    <w:p>
      <w:pPr>
        <w:spacing w:after="80"/>
        <w:ind w:left="360" w:hanging="360"/>
      </w:pPr>
      <w:r>
        <w:rPr>
          <w:sz w:val="20"/>
          <w:szCs w:val="20"/>
        </w:rPr>
        <w:t xml:space="preserve">Geurs &amp; van Wee (2004). Accessibility evaluation of land-use and transport strategies: review and research directions. </w:t>
      </w:r>
      <w:r>
        <w:rPr>
          <w:i/>
          <w:iCs/>
          <w:sz w:val="20"/>
          <w:szCs w:val="20"/>
        </w:rPr>
        <w:t xml:space="preserve">Journal of Transport Geography</w:t>
      </w:r>
      <w:r>
        <w:rPr>
          <w:sz w:val="20"/>
          <w:szCs w:val="20"/>
        </w:rPr>
        <w:t xml:space="preserve">, 12(2), 127–140. https://doi.org/10.1016/j.jtrangeo.2003.10.005</w:t>
      </w:r>
    </w:p>
    <w:p>
      <w:pPr>
        <w:spacing w:after="80"/>
        <w:ind w:left="360" w:hanging="360"/>
      </w:pPr>
      <w:r>
        <w:rPr>
          <w:sz w:val="20"/>
          <w:szCs w:val="20"/>
        </w:rPr>
        <w:t xml:space="preserve">Gutierrez &amp; Garcia-Palomares (2008). Distance-measure impacts on the calculation of transport service areas using GIS. </w:t>
      </w:r>
      <w:r>
        <w:rPr>
          <w:i/>
          <w:iCs/>
          <w:sz w:val="20"/>
          <w:szCs w:val="20"/>
        </w:rPr>
        <w:t xml:space="preserve">Environment and Planning B: Planning and Design</w:t>
      </w:r>
      <w:r>
        <w:rPr>
          <w:sz w:val="20"/>
          <w:szCs w:val="20"/>
        </w:rPr>
        <w:t xml:space="preserve">, 35(3), 480–503. https://doi.org/10.1068/b33043</w:t>
      </w:r>
    </w:p>
    <w:p>
      <w:pPr>
        <w:spacing w:after="80"/>
        <w:ind w:left="360" w:hanging="360"/>
      </w:pPr>
      <w:r>
        <w:rPr>
          <w:sz w:val="20"/>
          <w:szCs w:val="20"/>
        </w:rPr>
        <w:t xml:space="preserve">Holmgren (2007). Meta-analysis of public transport demand. </w:t>
      </w:r>
      <w:r>
        <w:rPr>
          <w:i/>
          <w:iCs/>
          <w:sz w:val="20"/>
          <w:szCs w:val="20"/>
        </w:rPr>
        <w:t xml:space="preserve">Transportation Research Part A: Policy and Practice</w:t>
      </w:r>
      <w:r>
        <w:rPr>
          <w:sz w:val="20"/>
          <w:szCs w:val="20"/>
        </w:rPr>
        <w:t xml:space="preserve">, 41(10), 1021–1035. https://doi.org/10.1016/j.tra.2007.06.003</w:t>
      </w:r>
    </w:p>
    <w:p>
      <w:pPr>
        <w:spacing w:after="80"/>
        <w:ind w:left="360" w:hanging="360"/>
      </w:pPr>
      <w:r>
        <w:rPr>
          <w:sz w:val="20"/>
          <w:szCs w:val="20"/>
        </w:rPr>
        <w:t xml:space="preserve">Jenks (1967). The data model concept in statistical mapping. </w:t>
      </w:r>
      <w:r>
        <w:rPr>
          <w:i/>
          <w:iCs/>
          <w:sz w:val="20"/>
          <w:szCs w:val="20"/>
        </w:rPr>
        <w:t xml:space="preserve">International Yearbook of Cartography</w:t>
      </w:r>
      <w:r>
        <w:rPr>
          <w:sz w:val="20"/>
          <w:szCs w:val="20"/>
        </w:rPr>
        <w:t xml:space="preserve">, 7, 186–190.</w:t>
      </w:r>
    </w:p>
    <w:p>
      <w:pPr>
        <w:spacing w:after="80"/>
        <w:ind w:left="360" w:hanging="360"/>
      </w:pPr>
      <w:r>
        <w:rPr>
          <w:sz w:val="20"/>
          <w:szCs w:val="20"/>
        </w:rPr>
        <w:t xml:space="preserve">Jolliffe (2002). Principal Component Analysis. </w:t>
      </w:r>
      <w:r>
        <w:rPr>
          <w:i/>
          <w:iCs/>
          <w:sz w:val="20"/>
          <w:szCs w:val="20"/>
        </w:rPr>
        <w:t xml:space="preserve">Springer</w:t>
      </w:r>
      <w:r>
        <w:rPr>
          <w:sz w:val="20"/>
          <w:szCs w:val="20"/>
        </w:rPr>
        <w:t xml:space="preserve">. https://doi.org/10.1007/b98835</w:t>
      </w:r>
    </w:p>
    <w:p>
      <w:pPr>
        <w:spacing w:after="80"/>
        <w:ind w:left="360" w:hanging="360"/>
      </w:pPr>
      <w:r>
        <w:rPr>
          <w:sz w:val="20"/>
          <w:szCs w:val="20"/>
        </w:rPr>
        <w:t xml:space="preserve">Luxen &amp; Vetter (2011). Real-time routing with OpenStreetMap data. </w:t>
      </w:r>
      <w:r>
        <w:rPr>
          <w:i/>
          <w:iCs/>
          <w:sz w:val="20"/>
          <w:szCs w:val="20"/>
        </w:rPr>
        <w:t xml:space="preserve">Proceedings of the 19th ACM SIGSPATIAL International Conference on Advances in Geographic Information Systems (GIS '11)</w:t>
      </w:r>
      <w:r>
        <w:rPr>
          <w:sz w:val="20"/>
          <w:szCs w:val="20"/>
        </w:rPr>
        <w:t xml:space="preserve">, 513–516. https://doi.org/10.1145/2093973.2094062</w:t>
      </w:r>
    </w:p>
    <w:p>
      <w:pPr>
        <w:spacing w:after="80"/>
        <w:ind w:left="360" w:hanging="360"/>
      </w:pPr>
      <w:r>
        <w:rPr>
          <w:sz w:val="20"/>
          <w:szCs w:val="20"/>
        </w:rPr>
        <w:t xml:space="preserve">Murray (2001). Strategic analysis of public transport coverage. </w:t>
      </w:r>
      <w:r>
        <w:rPr>
          <w:i/>
          <w:iCs/>
          <w:sz w:val="20"/>
          <w:szCs w:val="20"/>
        </w:rPr>
        <w:t xml:space="preserve">Socio-Economic Planning Sciences</w:t>
      </w:r>
      <w:r>
        <w:rPr>
          <w:sz w:val="20"/>
          <w:szCs w:val="20"/>
        </w:rPr>
        <w:t xml:space="preserve">, 35(3), 175–188. https://doi.org/10.1016/S0038-0121(01)00004-0</w:t>
      </w:r>
    </w:p>
    <w:p>
      <w:pPr>
        <w:spacing w:after="80"/>
        <w:ind w:left="360" w:hanging="360"/>
      </w:pPr>
      <w:r>
        <w:rPr>
          <w:sz w:val="20"/>
          <w:szCs w:val="20"/>
        </w:rPr>
        <w:t xml:space="preserve">OECD &amp; European Commission, Joint Research Centre (2008). Handbook on Constructing Composite Indicators: Methodology and User Guide. </w:t>
      </w:r>
      <w:r>
        <w:rPr>
          <w:i/>
          <w:iCs/>
          <w:sz w:val="20"/>
          <w:szCs w:val="20"/>
        </w:rPr>
        <w:t xml:space="preserve">OECD Publishing</w:t>
      </w:r>
      <w:r>
        <w:rPr>
          <w:sz w:val="20"/>
          <w:szCs w:val="20"/>
        </w:rPr>
        <w:t xml:space="preserve">. https://doi.org/10.1787/9789264043466-en</w:t>
      </w:r>
    </w:p>
    <w:p>
      <w:pPr>
        <w:spacing w:after="80"/>
        <w:ind w:left="360" w:hanging="360"/>
      </w:pPr>
      <w:r>
        <w:rPr>
          <w:sz w:val="20"/>
          <w:szCs w:val="20"/>
        </w:rPr>
        <w:t xml:space="preserve">OpenStreetMap contributors (2024). OpenStreetMap. </w:t>
      </w:r>
      <w:r>
        <w:rPr>
          <w:i/>
          <w:iCs/>
          <w:sz w:val="20"/>
          <w:szCs w:val="20"/>
        </w:rPr>
        <w:t xml:space="preserve">https://www.openstreetmap.org</w:t>
      </w:r>
      <w:r>
        <w:rPr>
          <w:sz w:val="20"/>
          <w:szCs w:val="20"/>
        </w:rPr>
        <w:t xml:space="preserve">.</w:t>
      </w:r>
    </w:p>
    <w:p>
      <w:pPr>
        <w:spacing w:after="80"/>
        <w:ind w:left="360" w:hanging="360"/>
      </w:pPr>
      <w:r>
        <w:rPr>
          <w:sz w:val="20"/>
          <w:szCs w:val="20"/>
        </w:rPr>
        <w:t xml:space="preserve">Saltelli, Annoni, Azzini, Campolongo, Ratto &amp; Tarantola (2010). Variance based sensitivity analysis of model output. Design and estimator for the total sensitivity index. </w:t>
      </w:r>
      <w:r>
        <w:rPr>
          <w:i/>
          <w:iCs/>
          <w:sz w:val="20"/>
          <w:szCs w:val="20"/>
        </w:rPr>
        <w:t xml:space="preserve">Computer Physics Communications</w:t>
      </w:r>
      <w:r>
        <w:rPr>
          <w:sz w:val="20"/>
          <w:szCs w:val="20"/>
        </w:rPr>
        <w:t xml:space="preserve">, 181(2), 259–270. https://doi.org/10.1016/j.cpc.2009.09.018</w:t>
      </w:r>
    </w:p>
    <w:p>
      <w:pPr>
        <w:spacing w:after="80"/>
        <w:ind w:left="360" w:hanging="360"/>
      </w:pPr>
      <w:r>
        <w:rPr>
          <w:sz w:val="20"/>
          <w:szCs w:val="20"/>
        </w:rPr>
        <w:t xml:space="preserve">Saltelli, Ratto, Andres, Campolongo, Cariboni, Gatelli, Saisana &amp; Tarantola (2008). Global Sensitivity Analysis: The Primer. </w:t>
      </w:r>
      <w:r>
        <w:rPr>
          <w:i/>
          <w:iCs/>
          <w:sz w:val="20"/>
          <w:szCs w:val="20"/>
        </w:rPr>
        <w:t xml:space="preserve">John Wiley &amp; Sons</w:t>
      </w:r>
      <w:r>
        <w:rPr>
          <w:sz w:val="20"/>
          <w:szCs w:val="20"/>
        </w:rPr>
        <w:t xml:space="preserve">. https://doi.org/10.1002/9780470725184</w:t>
      </w:r>
    </w:p>
    <w:p>
      <w:pPr>
        <w:spacing w:after="80"/>
        <w:ind w:left="360" w:hanging="360"/>
      </w:pPr>
      <w:r>
        <w:rPr>
          <w:sz w:val="20"/>
          <w:szCs w:val="20"/>
        </w:rPr>
        <w:t xml:space="preserve">Shannon (1948). A mathematical theory of communication. </w:t>
      </w:r>
      <w:r>
        <w:rPr>
          <w:i/>
          <w:iCs/>
          <w:sz w:val="20"/>
          <w:szCs w:val="20"/>
        </w:rPr>
        <w:t xml:space="preserve">Bell System Technical Journal</w:t>
      </w:r>
      <w:r>
        <w:rPr>
          <w:sz w:val="20"/>
          <w:szCs w:val="20"/>
        </w:rPr>
        <w:t xml:space="preserve">, 27(3), 379–423. https://doi.org/10.1002/j.1538-7305.1948.tb01338.x</w:t>
      </w:r>
    </w:p>
    <w:p>
      <w:pPr>
        <w:spacing w:after="80"/>
        <w:ind w:left="360" w:hanging="360"/>
      </w:pPr>
      <w:r>
        <w:rPr>
          <w:sz w:val="20"/>
          <w:szCs w:val="20"/>
        </w:rPr>
        <w:t xml:space="preserve">Sobol' (2001). Global sensitivity indices for nonlinear mathematical models and their Monte Carlo estimates. </w:t>
      </w:r>
      <w:r>
        <w:rPr>
          <w:i/>
          <w:iCs/>
          <w:sz w:val="20"/>
          <w:szCs w:val="20"/>
        </w:rPr>
        <w:t xml:space="preserve">Mathematics and Computers in Simulation</w:t>
      </w:r>
      <w:r>
        <w:rPr>
          <w:sz w:val="20"/>
          <w:szCs w:val="20"/>
        </w:rPr>
        <w:t xml:space="preserve">, 55(1–3), 271–280. https://doi.org/10.1016/S0378-4754(00)00270-6</w:t>
      </w:r>
    </w:p>
    <w:p>
      <w:pPr>
        <w:spacing w:after="80"/>
        <w:ind w:left="360" w:hanging="360"/>
      </w:pPr>
      <w:r>
        <w:rPr>
          <w:sz w:val="20"/>
          <w:szCs w:val="20"/>
        </w:rPr>
        <w:t xml:space="preserve">Stevens, Gaughan, Linard &amp; Tatem (2015). Disaggregating census data for population mapping using random forests with remotely-sensed and ancillary data. </w:t>
      </w:r>
      <w:r>
        <w:rPr>
          <w:i/>
          <w:iCs/>
          <w:sz w:val="20"/>
          <w:szCs w:val="20"/>
        </w:rPr>
        <w:t xml:space="preserve">PLOS ONE</w:t>
      </w:r>
      <w:r>
        <w:rPr>
          <w:sz w:val="20"/>
          <w:szCs w:val="20"/>
        </w:rPr>
        <w:t xml:space="preserve">, 10(2), e0107042. https://doi.org/10.1371/journal.pone.0107042</w:t>
      </w:r>
    </w:p>
    <w:p>
      <w:pPr>
        <w:spacing w:after="80"/>
        <w:ind w:left="360" w:hanging="360"/>
      </w:pPr>
      <w:r>
        <w:rPr>
          <w:sz w:val="20"/>
          <w:szCs w:val="20"/>
        </w:rPr>
        <w:t xml:space="preserve">Tatem (2017). WorldPop, open data for spatial demography. </w:t>
      </w:r>
      <w:r>
        <w:rPr>
          <w:i/>
          <w:iCs/>
          <w:sz w:val="20"/>
          <w:szCs w:val="20"/>
        </w:rPr>
        <w:t xml:space="preserve">Scientific Data</w:t>
      </w:r>
      <w:r>
        <w:rPr>
          <w:sz w:val="20"/>
          <w:szCs w:val="20"/>
        </w:rPr>
        <w:t xml:space="preserve">, 4, 170004. https://doi.org/10.1038/sdata.2017.4</w:t>
      </w:r>
    </w:p>
    <w:p>
      <w:pPr>
        <w:spacing w:after="80"/>
        <w:ind w:left="360" w:hanging="360"/>
      </w:pPr>
      <w:r>
        <w:rPr>
          <w:sz w:val="20"/>
          <w:szCs w:val="20"/>
        </w:rPr>
        <w:t xml:space="preserve">Vuchic (2005). Urban Transit: Operations, Planning, and Economics. </w:t>
      </w:r>
      <w:r>
        <w:rPr>
          <w:i/>
          <w:iCs/>
          <w:sz w:val="20"/>
          <w:szCs w:val="20"/>
        </w:rPr>
        <w:t xml:space="preserve">John Wiley &amp; Sons</w:t>
      </w:r>
      <w:r>
        <w:rPr>
          <w:sz w:val="20"/>
          <w:szCs w:val="20"/>
        </w:rPr>
        <w:t xml:space="preserve">.</w:t>
      </w:r>
    </w:p>
    <w:p>
      <w:pPr>
        <w:spacing w:after="80"/>
        <w:ind w:left="360" w:hanging="360"/>
      </w:pPr>
      <w:r>
        <w:rPr>
          <w:sz w:val="20"/>
          <w:szCs w:val="20"/>
        </w:rPr>
        <w:t xml:space="preserve">Walker (2008). Purpose-driven public transport: creating a clear conversation about public transport goals. </w:t>
      </w:r>
      <w:r>
        <w:rPr>
          <w:i/>
          <w:iCs/>
          <w:sz w:val="20"/>
          <w:szCs w:val="20"/>
        </w:rPr>
        <w:t xml:space="preserve">Journal of Transport Geography</w:t>
      </w:r>
      <w:r>
        <w:rPr>
          <w:sz w:val="20"/>
          <w:szCs w:val="20"/>
        </w:rPr>
        <w:t xml:space="preserve">, 16(6), 436–442. https://doi.org/10.1016/j.jtrangeo.2008.06.005</w:t>
      </w:r>
    </w:p>
    <w:p>
      <w:pPr>
        <w:spacing w:after="80"/>
        <w:ind w:left="360" w:hanging="360"/>
      </w:pPr>
      <w:r>
        <w:rPr>
          <w:sz w:val="20"/>
          <w:szCs w:val="20"/>
        </w:rPr>
        <w:t xml:space="preserve">Zou, Yun &amp; Sun (2006). Entropy method for determination of weight of evaluating indicators in fuzzy synthetic evaluation for water quality assessment. </w:t>
      </w:r>
      <w:r>
        <w:rPr>
          <w:i/>
          <w:iCs/>
          <w:sz w:val="20"/>
          <w:szCs w:val="20"/>
        </w:rPr>
        <w:t xml:space="preserve">Journal of Environmental Sciences</w:t>
      </w:r>
      <w:r>
        <w:rPr>
          <w:sz w:val="20"/>
          <w:szCs w:val="20"/>
        </w:rPr>
        <w:t xml:space="preserve">, 18(5), 1020–1023. https://doi.org/10.1016/S1001-0742(06)60032-6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Methodology</dc:title>
  <dc:creator>Kashmir bus route rationalisation study</dc:creator>
  <cp:lastModifiedBy>Un-named</cp:lastModifiedBy>
  <cp:revision>1</cp:revision>
  <dcterms:created xsi:type="dcterms:W3CDTF">2026-10-15T16:51:12.513Z</dcterms:created>
  <dcterms:modified xsi:type="dcterms:W3CDTF">2026-10-15T16:51:12.515Z</dcterms:modified>
</cp:coreProperties>
</file>

<file path=docProps/custom.xml><?xml version="1.0" encoding="utf-8"?>
<Properties xmlns="http://schemas.openxmlformats.org/officeDocument/2006/custom-properties" xmlns:vt="http://schemas.openxmlformats.org/officeDocument/2006/docPropsVTypes"/>
</file>