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Framework overview</w:t>
      </w:r>
    </w:p>
    <w:p>
      <w:pPr>
        <w:jc w:val="both"/>
      </w:pPr>
      <w:r>
        <w:t xml:space="preserve">A regional transport office in India typically holds a register of stage-carriage permits and no ticket or origin-destination data. The present study asks how far a bus network can be planned from that position. The framework takes the existing services as given and returns a network in which every route has a service tier, a headway and a fleet, without observed demand for any route it plans.</w:t>
      </w:r>
    </w:p>
    <w:p>
      <w:pPr>
        <w:jc w:val="both"/>
      </w:pPr>
      <w:r>
        <w:t xml:space="preserve">It has four stages (Fig. 4): checking the inputs, measuring the residents and destinations each route reaches on foot, merging and ranking routes, and sizing fleets and testing their sensitivity. Table 3 lists every parameter with its value, tested range and source. The open inputs are the WorldPop constrained population surface at 100 m, release R2025A (Tatem, 2017; Stevens et al., 2015), OpenStreetMap roads, footpaths, points of interest and boundaries (OpenStreetMap contributors, 2024), and a routing engine for road distance and free-flow time (Luxen and Vetter, 2011). Three inputs are not open data: the regulator's permit register, the state transport corporation's timetable for Kashmir Division, and the ridership totals of the Srinagar Smart City e-bus service, the region's only operator with electronic ticketing. Section 4.5 lists where those totals enter.</w:t>
      </w:r>
    </w:p>
    <w:p>
      <w:pPr>
        <w:jc w:val="both"/>
      </w:pPr>
      <w:r>
        <w:t xml:space="preserve">The study region Ω is the union of the ten districts of Kashmir Division.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and the region's 6,584,762 residents form the denominator of every coverage share. </w:t>
      </w:r>
      <w:r>
        <w:rPr>
          <w:i/>
          <w:iCs/>
        </w:rPr>
        <w:t xml:space="preserve">G</w:t>
      </w:r>
      <w:r>
        <w:t xml:space="preserve"> = (</w:t>
      </w:r>
      <w:r>
        <w:rPr>
          <w:i/>
          <w:iCs/>
        </w:rPr>
        <w:t xml:space="preserve">V</w:t>
      </w:r>
      <w:r>
        <w:t xml:space="preserve">, </w:t>
      </w:r>
      <w:r>
        <w:rPr>
          <w:i/>
          <w:iCs/>
        </w:rPr>
        <w:t xml:space="preserve">E</w:t>
      </w:r>
      <w:r>
        <w:t xml:space="preserve">) is the OpenStreetMap walking network with edges weighted by length, and route </w:t>
      </w:r>
      <w:r>
        <w:rPr>
          <w:i/>
          <w:iCs/>
        </w:rPr>
        <w:t xml:space="preserve">r</w:t>
      </w:r>
      <w:r>
        <w:t xml:space="preserve"> has length ℓ(</w:t>
      </w:r>
      <w:r>
        <w:rPr>
          <w:i/>
          <w:iCs/>
        </w:rPr>
        <w:t xml:space="preserve">r</w:t>
      </w:r>
      <w:r>
        <w:t xml:space="preserve">).</w:t>
      </w:r>
    </w:p>
    <w:p>
      <w:pPr>
        <w:pStyle w:val="Heading2"/>
        <w:keepNext/>
      </w:pPr>
      <w:r>
        <w:t xml:space="preserve">4.2 Data conditioning and network construction</w:t>
      </w:r>
    </w:p>
    <w:p>
      <w:pPr>
        <w:jc w:val="both"/>
      </w:pPr>
      <w:r>
        <w:t xml:space="preserve">The existing services enter as 614 rows from two sources. Of these, 445 are private stage-carriage permits from the register of the Srinagar Regional Transport Office, which records far more routes than the other offices: 453 of its 1,259 rows name both ends of a route, against 133 of 1,742 rows in the other nine Kashmir offices, which were not used. The other 169 rows are scheduled services of the Jammu and Kashmir Road Transport Corporation, transcribed from its Kashmir Division timetable, and they carry the network beyond Srinagar. Each row names an origin, a destination and a vehicle category, and about three quarters also list intermediate places. Permits were included whether or not they were still in force, so the input describes the network as it has been permitted over time; in June 2026 only 96 of the 453 route-bearing Srinagar permits were valid. Because a permit licenses a vehicle, several rows often describe the same road. Matching the two ends of each row to within 11 m, ignoring direction, reduces the 614 rows to 157 distinct corridors. Most corridors carry a single row and the busiest, Hazratbal to Lal Ded, carries 42 permits, so every reduction reported later states its unit (Section 5).</w:t>
      </w:r>
    </w:p>
    <w:p>
      <w:pPr>
        <w:jc w:val="both"/>
      </w:pPr>
      <w:r>
        <w:t xml:space="preserve">Names were geocoded against a gazetteer of 103 places. For 37 villages that no geocoder could find, the district centre was used, and 19 of the 186 final routes (93 buses) end at such a point. The population surface, an alpha release, was used as published: its ten-district total is 95.6% of the 2011 Census figure, but district ratios range from 0.71 to 1.20. The walking network has 18,533 km of edges, and two thirds of the 2,431 points of interest lie in Srinagar district, so that layer partly reflects how thoroughly each place has been mapped.</w:t>
      </w:r>
    </w:p>
    <w:p>
      <w:pPr>
        <w:jc w:val="both"/>
      </w:pPr>
      <w:r>
        <w:t xml:space="preserve">The plan evaluated in this paper is not the direct output of the planning model. Three adjustments were made before it was published, and each bears on the results that follow. The first adjustment came from a route-by-route desk review of all 186 active routes, carried out with an AI research assistant. For each route the review compared the modelled road distance with distances published on the web, mainly online distance and place directories, encyclopaedia entries and local press, and recorded the websites consulted, although not the specific pages; 93 routes passed, 88 were marked for review and 5 failed.</w:t>
      </w:r>
    </w:p>
    <w:p>
      <w:pPr>
        <w:jc w:val="both"/>
      </w:pPr>
      <w:r>
        <w:t xml:space="preserve">Where a reviewed distance differed from the modelled one by more than 15% and the place names could be confirmed, the midpoint of the published range replaced the modelled distance, the free-flow time was scaled in the same proportion, and cycle time and fleet were recomputed with the plan's own formulas. Six routes were corrected individually, four of them by moving a misplaced end point and re-routing, and 43 followed the rule. These 49 routes, 43 of which became shorter, now need 207 buses instead of 247. Another 44 flagged routes were left unchanged: 14 were within tolerance, 18 had place names that could not be confirmed, 11 were e-bus routes whose longer paths follow designed loops, and one end point could not be identified. None of the replacement distances was measured on the ground.</w:t>
      </w:r>
    </w:p>
    <w:p>
      <w:pPr>
        <w:jc w:val="both"/>
      </w:pPr>
      <w:r>
        <w:t xml:space="preserve">Second, the cycle times of five routes were replaced with times measured from driver GPS traces on the same corridors (Section 6), which raised the network fleet from 1,004 to 1,011 buses. Third, the headway rules described in Section 4.7 were not fixed in advance but revised about fifteen times in review with the transport regulator, and across these revisions the required fleet varied between 855 and 1,144 buses. Section 4.10 and Section 6 examine whether the plan's decisions hold under these adjustments.</w:t>
      </w:r>
    </w:p>
    <w:p>
      <w:pPr>
        <w:pStyle w:val="Heading2"/>
        <w:keepNext/>
      </w:pPr>
      <w:r>
        <w:t xml:space="preserve">4.3 Route catchment delineation</w:t>
      </w:r>
    </w:p>
    <w:p>
      <w:pPr>
        <w:jc w:val="both"/>
      </w:pPr>
      <w:r>
        <w:t xml:space="preserve">Coverage measures have a long history in transit planning (Murray, 2001), but straight-line buffers count people beyond rivers, lakes and walls as served (Gutierrez and Garcia-Palomares, 2008; Biba et al., 2010; El-Geneidy et al., 2014), and the street environment also shapes how far people walk (Bivina et al., 2019). Srinagar is divided by the Jhelum and its lakes, so we measured catchments on the walking network.</w:t>
      </w:r>
    </w:p>
    <w:p>
      <w:pPr>
        <w:jc w:val="both"/>
      </w:pPr>
      <w:r>
        <w:t xml:space="preserve">Notional stops every 250 m along each route were attached to their nearest network node (median distance 11 m), and a shortest-path search from all stops gave each node </w:t>
      </w:r>
      <w:r>
        <w:rPr>
          <w:i/>
          <w:iCs/>
        </w:rPr>
        <w:t xml:space="preserve">v</w:t>
      </w:r>
      <w:r>
        <w:t xml:space="preserve"> its walking distance </w:t>
      </w:r>
      <w:r>
        <w:rPr>
          <w:i/>
          <w:iCs/>
        </w:rPr>
        <w:t xml:space="preserve">d</w:t>
      </w:r>
      <w:r>
        <w:t xml:space="preserve">(</w:t>
      </w:r>
      <w:r>
        <w:rPr>
          <w:i/>
          <w:iCs/>
        </w:rPr>
        <w:t xml:space="preserve">v</w:t>
      </w:r>
      <w:r>
        <w:t xml:space="preserve">) to the nearest stop. With a walking budget </w:t>
      </w:r>
      <w:r>
        <w:rPr>
          <w:i/>
          <w:iCs/>
        </w:rPr>
        <w:t xml:space="preserve">W</w:t>
      </w:r>
      <w:r>
        <w:t xml:space="preserve"> = 400 m, the usual bus catchment (Kittelson &amp; Associates et al., 2013), and an off-network allowance τ = 100 m, one raster cell, the catchment is</w:t>
      </w:r>
    </w:p>
    <w:p>
      <w:pPr>
        <w:tabs>
          <w:tab w:val="center" w:pos="4513"/>
          <w:tab w:val="right" w:pos="9026"/>
        </w:tabs>
        <w:spacing w:after="160" w:before="120"/>
      </w:pPr>
      <w:r>
        <w:t xml:space="preserve">	</w:t>
      </w:r>
      <w:r>
        <w:rPr>
          <w:rFonts w:ascii="Cambria Math" w:cs="Cambria Math" w:eastAsia="Cambria Math" w:hAnsi="Cambria Math"/>
        </w:rPr>
        <w:t xml:space="preserve">A</w:t>
      </w:r>
      <w:r>
        <w:rPr>
          <w:rFonts w:ascii="Cambria Math" w:cs="Cambria Math" w:eastAsia="Cambria Math" w:hAnsi="Cambria Math"/>
          <w:vertAlign w:val="subscript"/>
        </w:rPr>
        <w:t xml:space="preserve">net</w:t>
      </w:r>
      <w:r>
        <w:rPr>
          <w:rFonts w:ascii="Cambria Math" w:cs="Cambria Math" w:eastAsia="Cambria Math" w:hAnsi="Cambria Math"/>
        </w:rPr>
        <w:t xml:space="preserve">(r) = ⋃</w:t>
      </w:r>
      <w:r>
        <w:rPr>
          <w:rFonts w:ascii="Cambria Math" w:cs="Cambria Math" w:eastAsia="Cambria Math" w:hAnsi="Cambria Math"/>
          <w:vertAlign w:val="subscript"/>
        </w:rPr>
        <w:t xml:space="preserve">v ∈ V : d(v) ≤ W</w:t>
      </w:r>
      <w:r>
        <w:rPr>
          <w:rFonts w:ascii="Cambria Math" w:cs="Cambria Math" w:eastAsia="Cambria Math" w:hAnsi="Cambria Math"/>
        </w:rPr>
        <w:t xml:space="preserve"> B( x</w:t>
      </w:r>
      <w:r>
        <w:rPr>
          <w:rFonts w:ascii="Cambria Math" w:cs="Cambria Math" w:eastAsia="Cambria Math" w:hAnsi="Cambria Math"/>
          <w:vertAlign w:val="subscript"/>
        </w:rPr>
        <w:t xml:space="preserve">v</w:t>
      </w:r>
      <w:r>
        <w:rPr>
          <w:rFonts w:ascii="Cambria Math" w:cs="Cambria Math" w:eastAsia="Cambria Math" w:hAnsi="Cambria Math"/>
        </w:rPr>
        <w:t xml:space="preserve"> , min(W − d(v), τ) )</w:t>
      </w:r>
      <w:r>
        <w:t xml:space="preserve">	(1)</w:t>
      </w:r>
    </w:p>
    <w:p>
      <w:pPr>
        <w:jc w:val="both"/>
      </w:pPr>
      <w:r>
        <w:t xml:space="preserve">where </w:t>
      </w:r>
      <w:r>
        <w:rPr>
          <w:i/>
          <w:iCs/>
        </w:rPr>
        <w:t xml:space="preserve">B</w:t>
      </w:r>
      <w:r>
        <w:t xml:space="preserve">(</w:t>
      </w:r>
      <w:r>
        <w:rPr>
          <w:i/>
          <w:iCs/>
        </w:rPr>
        <w:t xml:space="preserve">x</w:t>
      </w:r>
      <w:r>
        <w:t xml:space="preserve">, δ) is a disc of radius δ about </w:t>
      </w:r>
      <w:r>
        <w:rPr>
          <w:i/>
          <w:iCs/>
        </w:rPr>
        <w:t xml:space="preserve">x</w:t>
      </w:r>
      <w:r>
        <w:t xml:space="preserve">. Its residents are</w:t>
      </w:r>
    </w:p>
    <w:p>
      <w:pPr>
        <w:tabs>
          <w:tab w:val="center" w:pos="4513"/>
          <w:tab w:val="right" w:pos="9026"/>
        </w:tabs>
        <w:spacing w:after="160" w:before="120"/>
      </w:pPr>
      <w:r>
        <w:t xml:space="preserve">	</w:t>
      </w:r>
      <w:r>
        <w:rPr>
          <w:rFonts w:ascii="Cambria Math" w:cs="Cambria Math" w:eastAsia="Cambria Math" w:hAnsi="Cambria Math"/>
        </w:rPr>
        <w:t xml:space="preserve">Π(r) = Σ</w:t>
      </w:r>
      <w:r>
        <w:rPr>
          <w:rFonts w:ascii="Cambria Math" w:cs="Cambria Math" w:eastAsia="Cambria Math" w:hAnsi="Cambria Math"/>
          <w:vertAlign w:val="subscript"/>
        </w:rPr>
        <w:t xml:space="preserve">c : xc ∈ Anet(r)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t xml:space="preserve">	(2)</w:t>
      </w:r>
    </w:p>
    <w:p>
      <w:pPr>
        <w:jc w:val="both"/>
      </w:pPr>
      <w:r>
        <w:t xml:space="preserve">Catchments overlap, so for network totals each cell is divided equally among the </w:t>
      </w:r>
      <w:r>
        <w:rPr>
          <w:i/>
          <w:iCs/>
        </w:rPr>
        <w:t xml:space="preserve">n</w:t>
      </w:r>
      <w:r>
        <w:rPr>
          <w:vertAlign w:val="subscript"/>
        </w:rPr>
        <w:t xml:space="preserve">c</w:t>
      </w:r>
      <w:r>
        <w:t xml:space="preserve"> routes that reach it:</w:t>
      </w:r>
    </w:p>
    <w:p>
      <w:pPr>
        <w:tabs>
          <w:tab w:val="center" w:pos="4513"/>
          <w:tab w:val="right" w:pos="9026"/>
        </w:tabs>
        <w:spacing w:after="160" w:before="120"/>
      </w:pPr>
      <w:r>
        <w:t xml:space="preserve">	</w:t>
      </w:r>
      <w:r>
        <w:rPr>
          <w:rFonts w:ascii="Cambria Math" w:cs="Cambria Math" w:eastAsia="Cambria Math" w:hAnsi="Cambria Math"/>
        </w:rPr>
        <w:t xml:space="preserve">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rPr>
          <w:rFonts w:ascii="Cambria Math" w:cs="Cambria Math" w:eastAsia="Cambria Math" w:hAnsi="Cambria Math"/>
        </w:rPr>
        <w:t xml:space="preserve"> / n</w:t>
      </w:r>
      <w:r>
        <w:rPr>
          <w:rFonts w:ascii="Cambria Math" w:cs="Cambria Math" w:eastAsia="Cambria Math" w:hAnsi="Cambria Math"/>
          <w:vertAlign w:val="subscript"/>
        </w:rPr>
        <w:t xml:space="preserve">c</w:t>
      </w:r>
      <w:r>
        <w:rPr>
          <w:rFonts w:ascii="Cambria Math" w:cs="Cambria Math" w:eastAsia="Cambria Math" w:hAnsi="Cambria Math"/>
        </w:rPr>
        <w:t xml:space="preserve">) · 1[ x</w:t>
      </w:r>
      <w:r>
        <w:rPr>
          <w:rFonts w:ascii="Cambria Math" w:cs="Cambria Math" w:eastAsia="Cambria Math" w:hAnsi="Cambria Math"/>
          <w:vertAlign w:val="subscript"/>
        </w:rPr>
        <w:t xml:space="preserve">c</w:t>
      </w:r>
      <w:r>
        <w:rPr>
          <w:rFonts w:ascii="Cambria Math" w:cs="Cambria Math" w:eastAsia="Cambria Math" w:hAnsi="Cambria Math"/>
        </w:rPr>
        <w:t xml:space="preserve"> ∈ A</w:t>
      </w:r>
      <w:r>
        <w:rPr>
          <w:rFonts w:ascii="Cambria Math" w:cs="Cambria Math" w:eastAsia="Cambria Math" w:hAnsi="Cambria Math"/>
          <w:vertAlign w:val="subscript"/>
        </w:rPr>
        <w:t xml:space="preserve">net</w:t>
      </w:r>
      <w:r>
        <w:rPr>
          <w:rFonts w:ascii="Cambria Math" w:cs="Cambria Math" w:eastAsia="Cambria Math" w:hAnsi="Cambria Math"/>
        </w:rPr>
        <w:t xml:space="preserve">(r) ],     Σ</w:t>
      </w:r>
      <w:r>
        <w:rPr>
          <w:rFonts w:ascii="Cambria Math" w:cs="Cambria Math" w:eastAsia="Cambria Math" w:hAnsi="Cambria Math"/>
          <w:vertAlign w:val="subscript"/>
        </w:rPr>
        <w:t xml:space="preserve">r</w:t>
      </w:r>
      <w:r>
        <w:rPr>
          <w:rFonts w:ascii="Cambria Math" w:cs="Cambria Math" w:eastAsia="Cambria Math" w:hAnsi="Cambria Math"/>
        </w:rPr>
        <w:t xml:space="preserve"> π</w:t>
      </w:r>
      <w:r>
        <w:rPr>
          <w:rFonts w:ascii="Cambria Math" w:cs="Cambria Math" w:eastAsia="Cambria Math" w:hAnsi="Cambria Math"/>
          <w:vertAlign w:val="subscript"/>
        </w:rPr>
        <w:t xml:space="preserve">c</w:t>
      </w:r>
      <w:r>
        <w:rPr>
          <w:rFonts w:ascii="Cambria Math" w:cs="Cambria Math" w:eastAsia="Cambria Math" w:hAnsi="Cambria Math"/>
        </w:rPr>
        <w:t xml:space="preserve">(r) = ρ</w:t>
      </w:r>
      <w:r>
        <w:rPr>
          <w:rFonts w:ascii="Cambria Math" w:cs="Cambria Math" w:eastAsia="Cambria Math" w:hAnsi="Cambria Math"/>
          <w:vertAlign w:val="subscript"/>
        </w:rPr>
        <w:t xml:space="preserve">c</w:t>
      </w:r>
      <w:r>
        <w:t xml:space="preserve">	(3)</w:t>
      </w:r>
    </w:p>
    <w:p>
      <w:pPr>
        <w:jc w:val="both"/>
      </w:pPr>
      <w:r>
        <w:t xml:space="preserve">The shares then sum to the population of the combined catchment. Section 5.2 reports the gap between network and straight-line catchments across walking budgets, values of τ, stop spacings and rules for counting a cell.</w:t>
      </w:r>
    </w:p>
    <w:p>
      <w:pPr>
        <w:pStyle w:val="Heading2"/>
        <w:keepNext/>
      </w:pPr>
      <w:r>
        <w:t xml:space="preserve">4.4 Weighted opportunity accessibility</w:t>
      </w:r>
    </w:p>
    <w:p>
      <w:pPr>
        <w:jc w:val="both"/>
      </w:pPr>
      <w:r>
        <w:t xml:space="preserve">Destinations were measured as a cumulative-opportunity count (Geurs and van Wee, 2004): points of interest within 250 m of walking from the nearest stop, weighted by importance. The plan itself used a 250 m straight-line buffer. With </w:t>
      </w:r>
      <w:r>
        <w:rPr>
          <w:i/>
          <w:iCs/>
        </w:rPr>
        <w:t xml:space="preserve">d</w:t>
      </w:r>
      <w:r>
        <w:rPr>
          <w:vertAlign w:val="subscript"/>
        </w:rPr>
        <w:t xml:space="preserve">q</w:t>
      </w:r>
      <w:r>
        <w:t xml:space="preserve">(</w:t>
      </w:r>
      <w:r>
        <w:rPr>
          <w:i/>
          <w:iCs/>
        </w:rPr>
        <w:t xml:space="preserve">r</w:t>
      </w:r>
      <w:r>
        <w:t xml:space="preserve">) the walking distance from point </w:t>
      </w:r>
      <w:r>
        <w:rPr>
          <w:i/>
          <w:iCs/>
        </w:rPr>
        <w:t xml:space="preserve">q</w:t>
      </w:r>
      <w:r>
        <w:t xml:space="preserve"> to route </w:t>
      </w:r>
      <w:r>
        <w:rPr>
          <w:i/>
          <w:iCs/>
        </w:rPr>
        <w:t xml:space="preserve">r</w:t>
      </w:r>
      <w:r>
        <w:t xml:space="preserve">,</w:t>
      </w:r>
    </w:p>
    <w:p>
      <w:pPr>
        <w:tabs>
          <w:tab w:val="center" w:pos="4513"/>
          <w:tab w:val="right" w:pos="9026"/>
        </w:tabs>
        <w:spacing w:after="160" w:before="120"/>
      </w:pPr>
      <w:r>
        <w:t xml:space="preserve">	</w:t>
      </w:r>
      <w:r>
        <w:rPr>
          <w:rFonts w:ascii="Cambria Math" w:cs="Cambria Math" w:eastAsia="Cambria Math" w:hAnsi="Cambria Math"/>
        </w:rPr>
        <w:t xml:space="preserve">O(r) = Σ</w:t>
      </w:r>
      <w:r>
        <w:rPr>
          <w:rFonts w:ascii="Cambria Math" w:cs="Cambria Math" w:eastAsia="Cambria Math" w:hAnsi="Cambria Math"/>
          <w:vertAlign w:val="subscript"/>
        </w:rPr>
        <w:t xml:space="preserve">q ∈ Q : dq(r) ≤ 250 m</w:t>
      </w:r>
      <w:r>
        <w:rPr>
          <w:rFonts w:ascii="Cambria Math" w:cs="Cambria Math" w:eastAsia="Cambria Math" w:hAnsi="Cambria Math"/>
        </w:rPr>
        <w:t xml:space="preserve"> α</w:t>
      </w:r>
      <w:r>
        <w:rPr>
          <w:rFonts w:ascii="Cambria Math" w:cs="Cambria Math" w:eastAsia="Cambria Math" w:hAnsi="Cambria Math"/>
          <w:vertAlign w:val="subscript"/>
        </w:rPr>
        <w:t xml:space="preserve">t(q)</w:t>
      </w:r>
      <w:r>
        <w:t xml:space="preserve">	(4)</w:t>
      </w:r>
    </w:p>
    <w:p>
      <w:pPr>
        <w:jc w:val="both"/>
      </w:pPr>
      <w:r>
        <w:t xml:space="preserve">where tier </w:t>
      </w:r>
      <w:r>
        <w:rPr>
          <w:i/>
          <w:iCs/>
        </w:rPr>
        <w:t xml:space="preserve">t</w:t>
      </w:r>
      <w:r>
        <w:t xml:space="preserve">(</w:t>
      </w:r>
      <w:r>
        <w:rPr>
          <w:i/>
          <w:iCs/>
        </w:rPr>
        <w:t xml:space="preserve">q</w:t>
      </w:r>
      <w:r>
        <w:t xml:space="preserve">) carries α = 1.00 (high), 0.40 (medium) or 0.60 (seasonal). Tiers come from OpenStreetMap tags and name rules for a few dozen landmarks, and they are coarse: every place of worship and every facility tagged as a hospital is in the top tier. Because a residential population surface does not see visitors, the 8 tourist-corridor routes, the set </w:t>
      </w:r>
      <w:r>
        <w:rPr>
          <w:i/>
          <w:iCs/>
        </w:rPr>
        <w:t xml:space="preserve">T</w:t>
      </w:r>
      <w:r>
        <w:t xml:space="preserve">, receive a multiplier:</w:t>
      </w:r>
    </w:p>
    <w:p>
      <w:pPr>
        <w:tabs>
          <w:tab w:val="center" w:pos="4513"/>
          <w:tab w:val="right" w:pos="9026"/>
        </w:tabs>
        <w:spacing w:after="160" w:before="120"/>
      </w:pPr>
      <w:r>
        <w:t xml:space="preserve">	</w:t>
      </w:r>
      <w:r>
        <w:rPr>
          <w:rFonts w:ascii="Cambria Math" w:cs="Cambria Math" w:eastAsia="Cambria Math" w:hAnsi="Cambria Math"/>
        </w:rPr>
        <w:t xml:space="preserve">O</w:t>
      </w:r>
      <w:r>
        <w:rPr>
          <w:rFonts w:ascii="Cambria Math" w:cs="Cambria Math" w:eastAsia="Cambria Math" w:hAnsi="Cambria Math"/>
          <w:i/>
          <w:iCs/>
        </w:rPr>
        <w:t xml:space="preserve">(r) = μ · O(r) if r ∈ T;   O</w:t>
      </w:r>
      <w:r>
        <w:rPr>
          <w:rFonts w:ascii="Cambria Math" w:cs="Cambria Math" w:eastAsia="Cambria Math" w:hAnsi="Cambria Math"/>
        </w:rPr>
        <w:t xml:space="preserve">(r) = O(r) otherwise;     μ = 1.30</w:t>
      </w:r>
      <w:r>
        <w:t xml:space="preserve">	(5)</w:t>
      </w:r>
    </w:p>
    <w:p>
      <w:pPr>
        <w:jc w:val="both"/>
      </w:pPr>
      <w:r>
        <w:t xml:space="preserve">The weights, tier rules and μ are our assumptions, and no expert-elicited weights were obtained. In the plan, μ multiplied the resident count of the 8 routes and raised their index, but it did not enter network coverage, which uses the combined catchment.</w:t>
      </w:r>
    </w:p>
    <w:p>
      <w:pPr>
        <w:pStyle w:val="Heading2"/>
        <w:keepNext/>
      </w:pPr>
      <w:r>
        <w:t xml:space="preserve">4.5 Composite demand index</w:t>
      </w:r>
    </w:p>
    <w:p>
      <w:pPr>
        <w:jc w:val="both"/>
      </w:pPr>
      <w:r>
        <w:t xml:space="preserve">Both measures were divided by route length, population density was capped at its 95th percentile, and each was rescaled across active routes,</w:t>
      </w:r>
    </w:p>
    <w:p>
      <w:pPr>
        <w:tabs>
          <w:tab w:val="center" w:pos="4513"/>
          <w:tab w:val="right" w:pos="9026"/>
        </w:tabs>
        <w:spacing w:after="160" w:before="120"/>
      </w:pPr>
      <w:r>
        <w:t xml:space="preserve">	</w:t>
      </w:r>
      <w:r>
        <w:rPr>
          <w:rFonts w:ascii="Cambria Math" w:cs="Cambria Math" w:eastAsia="Cambria Math" w:hAnsi="Cambria Math"/>
        </w:rPr>
        <w:t xml:space="preserve">ẑ(r) = [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 / [ max</w:t>
      </w:r>
      <w:r>
        <w:rPr>
          <w:rFonts w:ascii="Cambria Math" w:cs="Cambria Math" w:eastAsia="Cambria Math" w:hAnsi="Cambria Math"/>
          <w:vertAlign w:val="subscript"/>
        </w:rPr>
        <w:t xml:space="preserve">r′</w:t>
      </w:r>
      <w:r>
        <w:rPr>
          <w:rFonts w:ascii="Cambria Math" w:cs="Cambria Math" w:eastAsia="Cambria Math" w:hAnsi="Cambria Math"/>
        </w:rPr>
        <w:t xml:space="preserve"> z(r′) − min</w:t>
      </w:r>
      <w:r>
        <w:rPr>
          <w:rFonts w:ascii="Cambria Math" w:cs="Cambria Math" w:eastAsia="Cambria Math" w:hAnsi="Cambria Math"/>
          <w:vertAlign w:val="subscript"/>
        </w:rPr>
        <w:t xml:space="preserve">r′</w:t>
      </w:r>
      <w:r>
        <w:rPr>
          <w:rFonts w:ascii="Cambria Math" w:cs="Cambria Math" w:eastAsia="Cambria Math" w:hAnsi="Cambria Math"/>
        </w:rPr>
        <w:t xml:space="preserve"> z(r′) ]</w:t>
      </w:r>
      <w:r>
        <w:t xml:space="preserve">	(6)</w:t>
      </w:r>
    </w:p>
    <w:p>
      <w:pPr>
        <w:jc w:val="both"/>
      </w:pPr>
      <w:r>
        <w:t xml:space="preserve">and combined with weight β on residents (OECD and European Commission, Joint Research Centre, 2008):</w:t>
      </w:r>
    </w:p>
    <w:p>
      <w:pPr>
        <w:tabs>
          <w:tab w:val="center" w:pos="4513"/>
          <w:tab w:val="right" w:pos="9026"/>
        </w:tabs>
        <w:spacing w:after="160" w:before="120"/>
      </w:pPr>
      <w:r>
        <w:t xml:space="preserve">	</w:t>
      </w:r>
      <w:r>
        <w:rPr>
          <w:rFonts w:ascii="Cambria Math" w:cs="Cambria Math" w:eastAsia="Cambria Math" w:hAnsi="Cambria Math"/>
        </w:rPr>
        <w:t xml:space="preserve">CDI(r) = β · ẑ</w:t>
      </w:r>
      <w:r>
        <w:rPr>
          <w:rFonts w:ascii="Cambria Math" w:cs="Cambria Math" w:eastAsia="Cambria Math" w:hAnsi="Cambria Math"/>
          <w:vertAlign w:val="subscript"/>
        </w:rPr>
        <w:t xml:space="preserve">Π</w:t>
      </w:r>
      <w:r>
        <w:rPr>
          <w:rFonts w:ascii="Cambria Math" w:cs="Cambria Math" w:eastAsia="Cambria Math" w:hAnsi="Cambria Math"/>
        </w:rPr>
        <w:t xml:space="preserve">(r) + (1 − β) · ẑ</w:t>
      </w:r>
      <w:r>
        <w:rPr>
          <w:rFonts w:ascii="Cambria Math" w:cs="Cambria Math" w:eastAsia="Cambria Math" w:hAnsi="Cambria Math"/>
          <w:vertAlign w:val="subscript"/>
        </w:rPr>
        <w:t xml:space="preserve">O</w:t>
      </w:r>
      <w:r>
        <w:rPr>
          <w:rFonts w:ascii="Cambria Math" w:cs="Cambria Math" w:eastAsia="Cambria Math" w:hAnsi="Cambria Math"/>
        </w:rPr>
        <w:t xml:space="preserve">(r),     β = 0.50</w:t>
      </w:r>
      <w:r>
        <w:t xml:space="preserve">	(7)</w:t>
      </w:r>
    </w:p>
    <w:p>
      <w:pPr>
        <w:jc w:val="both"/>
      </w:pPr>
      <w:r>
        <w:t xml:space="preserve">where ẑ</w:t>
      </w:r>
      <w:r>
        <w:rPr>
          <w:vertAlign w:val="subscript"/>
        </w:rPr>
        <w:t xml:space="preserve">Π</w:t>
      </w:r>
      <w:r>
        <w:t xml:space="preserve"> and ẑ</w:t>
      </w:r>
      <w:r>
        <w:rPr>
          <w:vertAlign w:val="subscript"/>
        </w:rPr>
        <w:t xml:space="preserve">O</w:t>
      </w:r>
      <w:r>
        <w:t xml:space="preserve"> are the rescaled values of Π(</w:t>
      </w:r>
      <w:r>
        <w:rPr>
          <w:i/>
          <w:iCs/>
        </w:rPr>
        <w:t xml:space="preserve">r</w:t>
      </w:r>
      <w:r>
        <w:t xml:space="preserve">)/ℓ(</w:t>
      </w:r>
      <w:r>
        <w:rPr>
          <w:i/>
          <w:iCs/>
        </w:rPr>
        <w:t xml:space="preserve">r</w:t>
      </w:r>
      <w:r>
        <w:t xml:space="preserve">) and </w:t>
      </w:r>
      <w:r>
        <w:rPr>
          <w:i/>
          <w:iCs/>
        </w:rPr>
        <w:t xml:space="preserve">O</w:t>
      </w:r>
      <w:r>
        <w:rPr>
          <w:i/>
          <w:iCs/>
        </w:rPr>
        <w:t xml:space="preserve">(</w:t>
      </w:r>
      <w:r>
        <w:t xml:space="preserve">r</w:t>
      </w:r>
      <w:r>
        <w:rPr>
          <w:i/>
          <w:iCs/>
        </w:rPr>
        <w:t xml:space="preserve">)/ℓ(</w:t>
      </w:r>
      <w:r>
        <w:t xml:space="preserve">r*). The components are strongly correlated (Pearson 0.88 to 0.89), so the composite adds little to either alone. With two components, principal-component weights (Jolliffe, 2002) reduce to equal weights, so we compare equal weights with Shannon-entropy weights (Shannon, 1948; Zou et al., 2006) and a sweep of β (Section 5.4).</w:t>
      </w:r>
    </w:p>
    <w:p>
      <w:pPr>
        <w:jc w:val="both"/>
      </w:pPr>
      <w:r>
        <w:t xml:space="preserve">The index indicates where demand is likely to be and does not measure it. Observed ridership enters only through the e-bus operator's totals, at five points:</w:t>
      </w:r>
    </w:p>
    <w:p>
      <w:pPr>
        <w:pStyle w:val="ListParagraph"/>
        <w:numPr>
          <w:ilvl w:val="0"/>
          <w:numId w:val="2"/>
        </w:numPr>
      </w:pPr>
      <w:r>
        <w:t xml:space="preserve">The 30 e-bus routes are kept as they are and never merged (Section 4.6).</w:t>
      </w:r>
    </w:p>
    <w:p>
      <w:pPr>
        <w:pStyle w:val="ListParagraph"/>
        <w:numPr>
          <w:ilvl w:val="0"/>
          <w:numId w:val="2"/>
        </w:numPr>
      </w:pPr>
      <w:r>
        <w:t xml:space="preserve">They run at the operator's 15-minute design headway and sit in the top tier whatever their index (Section 4.7).</w:t>
      </w:r>
    </w:p>
    <w:p>
      <w:pPr>
        <w:pStyle w:val="ListParagraph"/>
        <w:numPr>
          <w:ilvl w:val="0"/>
          <w:numId w:val="2"/>
        </w:numPr>
      </w:pPr>
      <w:r>
        <w:t xml:space="preserve">Their fleet is the larger of the computed and the deployed fleet (Section 4.8).</w:t>
      </w:r>
    </w:p>
    <w:p>
      <w:pPr>
        <w:pStyle w:val="ListParagraph"/>
        <w:numPr>
          <w:ilvl w:val="0"/>
          <w:numId w:val="2"/>
        </w:numPr>
      </w:pPr>
      <w:r>
        <w:t xml:space="preserve">The scale, mode share and trip rate of Eq. (8) are set from the operator's totals.</w:t>
      </w:r>
    </w:p>
    <w:p>
      <w:pPr>
        <w:pStyle w:val="ListParagraph"/>
        <w:numPr>
          <w:ilvl w:val="0"/>
          <w:numId w:val="2"/>
        </w:numPr>
      </w:pPr>
      <w:r>
        <w:t xml:space="preserve">On the 67 rural routes outside the e-bus network, a low estimated load lengthens the headway (Section 4.7).</w:t>
      </w:r>
    </w:p>
    <w:p>
      <w:pPr>
        <w:jc w:val="both"/>
      </w:pPr>
      <w:r>
        <w:t xml:space="preserve">The ridership estimate, used only as a plausibility check, is</w:t>
      </w:r>
    </w:p>
    <w:p>
      <w:pPr>
        <w:tabs>
          <w:tab w:val="center" w:pos="4513"/>
          <w:tab w:val="right" w:pos="9026"/>
        </w:tabs>
        <w:spacing w:after="160" w:before="120"/>
      </w:pPr>
      <w:r>
        <w:t xml:space="preserve">	</w:t>
      </w:r>
      <w:r>
        <w:rPr>
          <w:rFonts w:ascii="Cambria Math" w:cs="Cambria Math" w:eastAsia="Cambria Math" w:hAnsi="Cambria Math"/>
        </w:rPr>
        <w:t xml:space="preserve">D̃(r) = κ · g · m</w:t>
      </w:r>
      <w:r>
        <w:rPr>
          <w:rFonts w:ascii="Cambria Math" w:cs="Cambria Math" w:eastAsia="Cambria Math" w:hAnsi="Cambria Math"/>
          <w:vertAlign w:val="subscript"/>
        </w:rPr>
        <w:t xml:space="preserve">type(r)</w:t>
      </w:r>
      <w:r>
        <w:rPr>
          <w:rFonts w:ascii="Cambria Math" w:cs="Cambria Math" w:eastAsia="Cambria Math" w:hAnsi="Cambria Math"/>
        </w:rPr>
        <w:t xml:space="preserve"> · Σ</w:t>
      </w:r>
      <w:r>
        <w:rPr>
          <w:rFonts w:ascii="Cambria Math" w:cs="Cambria Math" w:eastAsia="Cambria Math" w:hAnsi="Cambria Math"/>
          <w:vertAlign w:val="subscript"/>
        </w:rPr>
        <w:t xml:space="preserve">c ∈ A(r)</w:t>
      </w:r>
      <w:r>
        <w:rPr>
          <w:rFonts w:ascii="Cambria Math" w:cs="Cambria Math" w:eastAsia="Cambria Math" w:hAnsi="Cambria Math"/>
        </w:rPr>
        <w:t xml:space="preserve"> ρ</w:t>
      </w:r>
      <w:r>
        <w:rPr>
          <w:rFonts w:ascii="Cambria Math" w:cs="Cambria Math" w:eastAsia="Cambria Math" w:hAnsi="Cambria Math"/>
          <w:vertAlign w:val="subscript"/>
        </w:rPr>
        <w:t xml:space="preserve">c</w:t>
      </w:r>
      <w:r>
        <w:rPr>
          <w:rFonts w:ascii="Cambria Math" w:cs="Cambria Math" w:eastAsia="Cambria Math" w:hAnsi="Cambria Math"/>
        </w:rPr>
        <w:t xml:space="preserve"> σ(r),     κ = 0.33</w:t>
      </w:r>
      <w:r>
        <w:t xml:space="preserve">	(8)</w:t>
      </w:r>
    </w:p>
    <w:p>
      <w:pPr>
        <w:jc w:val="both"/>
      </w:pPr>
      <w:r>
        <w:t xml:space="preserve">where </w:t>
      </w:r>
      <w:r>
        <w:rPr>
          <w:i/>
          <w:iCs/>
        </w:rPr>
        <w:t xml:space="preserve">g</w:t>
      </w:r>
      <w:r>
        <w:t xml:space="preserve"> = 1.6 trips per person per day, </w:t>
      </w:r>
      <w:r>
        <w:rPr>
          <w:i/>
          <w:iCs/>
        </w:rPr>
        <w:t xml:space="preserve">m</w:t>
      </w:r>
      <w:r>
        <w:t xml:space="preserve"> is the bus share of trips by route type (0.090 urban, 0.072 peri-urban, 0.054 regional) and σ(</w:t>
      </w:r>
      <w:r>
        <w:rPr>
          <w:i/>
          <w:iCs/>
        </w:rPr>
        <w:t xml:space="preserve">r</w:t>
      </w:r>
      <w:r>
        <w:t xml:space="preserve">) divides a corridor's residents among its routes. We fitted κ to the 11.63 million e-bus boardings of May 2025 to April 2026; since κ, </w:t>
      </w:r>
      <w:r>
        <w:rPr>
          <w:i/>
          <w:iCs/>
        </w:rPr>
        <w:t xml:space="preserve">g</w:t>
      </w:r>
      <w:r>
        <w:t xml:space="preserve"> and </w:t>
      </w:r>
      <w:r>
        <w:rPr>
          <w:i/>
          <w:iCs/>
        </w:rPr>
        <w:t xml:space="preserve">m</w:t>
      </w:r>
      <w:r>
        <w:t xml:space="preserve"> multiply, only their product is identified. The method therefore needs no observed demand for the routes it plans but uses one operator's totals, and any comparison with that operator (Section 6) is circular.</w:t>
      </w:r>
    </w:p>
    <w:p>
      <w:pPr>
        <w:pStyle w:val="Heading2"/>
        <w:keepNext/>
      </w:pPr>
      <w:r>
        <w:t xml:space="preserve">4.6 Permit consolidation</w:t>
      </w:r>
    </w:p>
    <w:p>
      <w:pPr>
        <w:jc w:val="both"/>
      </w:pPr>
      <w:r>
        <w:t xml:space="preserve">Where several services share a road, the network should run one. Overlap is measured on 80 m buffers </w:t>
      </w:r>
      <w:r>
        <w:rPr>
          <w:i/>
          <w:iCs/>
        </w:rPr>
        <w:t xml:space="preserve">S</w:t>
      </w:r>
      <w:r>
        <w:t xml:space="preserve">(</w:t>
      </w:r>
      <w:r>
        <w:rPr>
          <w:i/>
          <w:iCs/>
        </w:rPr>
        <w:t xml:space="preserve">r</w:t>
      </w:r>
      <w:r>
        <w:t xml:space="preserve">) of the route lines:</w:t>
      </w:r>
    </w:p>
    <w:p>
      <w:pPr>
        <w:tabs>
          <w:tab w:val="center" w:pos="4513"/>
          <w:tab w:val="right" w:pos="9026"/>
        </w:tabs>
        <w:spacing w:after="160" w:before="120"/>
      </w:pPr>
      <w:r>
        <w:t xml:space="preserve">	</w:t>
      </w:r>
      <w:r>
        <w:rPr>
          <w:rFonts w:ascii="Cambria Math" w:cs="Cambria Math" w:eastAsia="Cambria Math" w:hAnsi="Cambria Math"/>
        </w:rPr>
        <w:t xml:space="preserve">φ(r</w:t>
      </w:r>
      <w:r>
        <w:rPr>
          <w:rFonts w:ascii="Cambria Math" w:cs="Cambria Math" w:eastAsia="Cambria Math" w:hAnsi="Cambria Math"/>
          <w:vertAlign w:val="subscript"/>
        </w:rPr>
        <w:t xml:space="preserve">i</w:t>
      </w:r>
      <w:r>
        <w:rPr>
          <w:rFonts w:ascii="Cambria Math" w:cs="Cambria Math" w:eastAsia="Cambria Math" w:hAnsi="Cambria Math"/>
        </w:rPr>
        <w:t xml:space="preserve">, r</w:t>
      </w:r>
      <w:r>
        <w:rPr>
          <w:rFonts w:ascii="Cambria Math" w:cs="Cambria Math" w:eastAsia="Cambria Math" w:hAnsi="Cambria Math"/>
          <w:vertAlign w:val="subscript"/>
        </w:rPr>
        <w:t xml:space="preserve">j</w:t>
      </w:r>
      <w:r>
        <w:rPr>
          <w:rFonts w:ascii="Cambria Math" w:cs="Cambria Math" w:eastAsia="Cambria Math" w:hAnsi="Cambria Math"/>
        </w:rPr>
        <w:t xml:space="preserve">) = | S(r</w:t>
      </w:r>
      <w:r>
        <w:rPr>
          <w:rFonts w:ascii="Cambria Math" w:cs="Cambria Math" w:eastAsia="Cambria Math" w:hAnsi="Cambria Math"/>
          <w:vertAlign w:val="subscript"/>
        </w:rPr>
        <w:t xml:space="preserve">i</w:t>
      </w:r>
      <w:r>
        <w:rPr>
          <w:rFonts w:ascii="Cambria Math" w:cs="Cambria Math" w:eastAsia="Cambria Math" w:hAnsi="Cambria Math"/>
        </w:rPr>
        <w:t xml:space="preserve">) ∩ S(r</w:t>
      </w:r>
      <w:r>
        <w:rPr>
          <w:rFonts w:ascii="Cambria Math" w:cs="Cambria Math" w:eastAsia="Cambria Math" w:hAnsi="Cambria Math"/>
          <w:vertAlign w:val="subscript"/>
        </w:rPr>
        <w:t xml:space="preserve">j</w:t>
      </w:r>
      <w:r>
        <w:rPr>
          <w:rFonts w:ascii="Cambria Math" w:cs="Cambria Math" w:eastAsia="Cambria Math" w:hAnsi="Cambria Math"/>
        </w:rPr>
        <w:t xml:space="preserve">) | / min( |S(r</w:t>
      </w:r>
      <w:r>
        <w:rPr>
          <w:rFonts w:ascii="Cambria Math" w:cs="Cambria Math" w:eastAsia="Cambria Math" w:hAnsi="Cambria Math"/>
          <w:vertAlign w:val="subscript"/>
        </w:rPr>
        <w:t xml:space="preserve">i</w:t>
      </w:r>
      <w:r>
        <w:rPr>
          <w:rFonts w:ascii="Cambria Math" w:cs="Cambria Math" w:eastAsia="Cambria Math" w:hAnsi="Cambria Math"/>
        </w:rPr>
        <w:t xml:space="preserve">)|, |S(r</w:t>
      </w:r>
      <w:r>
        <w:rPr>
          <w:rFonts w:ascii="Cambria Math" w:cs="Cambria Math" w:eastAsia="Cambria Math" w:hAnsi="Cambria Math"/>
          <w:vertAlign w:val="subscript"/>
        </w:rPr>
        <w:t xml:space="preserve">j</w:t>
      </w:r>
      <w:r>
        <w:rPr>
          <w:rFonts w:ascii="Cambria Math" w:cs="Cambria Math" w:eastAsia="Cambria Math" w:hAnsi="Cambria Math"/>
        </w:rPr>
        <w:t xml:space="preserve">)| )</w:t>
      </w:r>
      <w:r>
        <w:t xml:space="preserve">	(9)</w:t>
      </w:r>
    </w:p>
    <w:p>
      <w:pPr>
        <w:jc w:val="both"/>
      </w:pPr>
      <w:r>
        <w:t xml:space="preserve">A route is absorbed into a trunk only if φ ≥ θ = 0.65, its start point lies within 2.5 km of the trunk's, and the trunk leads its group; members are never merged with one another. These conditions are why few distinct corridors disappear. All three values are our assumptions, and Algorithm 1 gives the procedure.</w:t>
      </w:r>
    </w:p>
    <w:p>
      <w:pPr>
        <w:pBdr>
          <w:top w:val="single" w:color="808080" w:sz="6" w:space="4"/>
        </w:pBdr>
        <w:shd w:fill="F2F2F2" w:color="auto" w:val="clear"/>
        <w:spacing w:after="40" w:before="120"/>
        <w:ind w:left="360" w:right="360"/>
      </w:pPr>
      <w:r>
        <w:rPr>
          <w:b/>
          <w:bCs/>
          <w:sz w:val="22"/>
          <w:szCs w:val="22"/>
        </w:rPr>
        <w:t xml:space="preserve">Algorithm 1. Permit consolidation</w:t>
      </w:r>
    </w:p>
    <w:p>
      <w:pPr>
        <w:shd w:fill="F2F2F2" w:color="auto" w:val="clear"/>
        <w:spacing w:after="40" w:before="0"/>
        <w:ind w:left="360" w:right="360"/>
      </w:pPr>
      <w:r>
        <w:rPr>
          <w:b w:val="false"/>
          <w:bCs w:val="false"/>
          <w:sz w:val="22"/>
          <w:szCs w:val="22"/>
        </w:rPr>
        <w:t xml:space="preserve">Input: 644 candidate rows (614 permit and timetable rows, and 30 e-bus routes); overlap threshold θ.</w:t>
      </w:r>
    </w:p>
    <w:p>
      <w:pPr>
        <w:shd w:fill="F2F2F2" w:color="auto" w:val="clear"/>
        <w:spacing w:after="40" w:before="0"/>
        <w:ind w:left="360" w:right="360"/>
      </w:pPr>
      <w:r>
        <w:rPr>
          <w:b w:val="false"/>
          <w:bCs w:val="false"/>
          <w:sz w:val="22"/>
          <w:szCs w:val="22"/>
        </w:rPr>
        <w:t xml:space="preserve">1. Group rows whose 80 m line buffers overlap by at least θ.</w:t>
      </w:r>
    </w:p>
    <w:p>
      <w:pPr>
        <w:shd w:fill="F2F2F2" w:color="auto" w:val="clear"/>
        <w:spacing w:after="40" w:before="0"/>
        <w:ind w:left="360" w:right="360"/>
      </w:pPr>
      <w:r>
        <w:rPr>
          <w:b w:val="false"/>
          <w:bCs w:val="false"/>
          <w:sz w:val="22"/>
          <w:szCs w:val="22"/>
        </w:rPr>
        <w:t xml:space="preserve">2. In each group, make the route with the highest index the trunk, provided it is at least 5 km long and above the 30th percentile of the index.</w:t>
      </w:r>
    </w:p>
    <w:p>
      <w:pPr>
        <w:shd w:fill="F2F2F2" w:color="auto" w:val="clear"/>
        <w:spacing w:after="40" w:before="0"/>
        <w:ind w:left="360" w:right="360"/>
      </w:pPr>
      <w:r>
        <w:rPr>
          <w:b w:val="false"/>
          <w:bCs w:val="false"/>
          <w:sz w:val="22"/>
          <w:szCs w:val="22"/>
        </w:rPr>
        <w:t xml:space="preserve">3. Absorb a member into the trunk only if at least θ of its buffer lies inside the trunk's and their start points are within 2.5 km; otherwise keep it as a feeder.</w:t>
      </w:r>
    </w:p>
    <w:p>
      <w:pPr>
        <w:shd w:fill="F2F2F2" w:color="auto" w:val="clear"/>
        <w:spacing w:after="40" w:before="0"/>
        <w:ind w:left="360" w:right="360"/>
      </w:pPr>
      <w:r>
        <w:rPr>
          <w:b w:val="false"/>
          <w:bCs w:val="false"/>
          <w:sz w:val="22"/>
          <w:szCs w:val="22"/>
        </w:rPr>
        <w:t xml:space="preserve">4. Never absorb an e-bus route, and never merge two members with each other.</w:t>
      </w:r>
    </w:p>
    <w:p>
      <w:pPr>
        <w:shd w:fill="F2F2F2" w:color="auto" w:val="clear"/>
        <w:spacing w:after="40" w:before="0"/>
        <w:ind w:left="360" w:right="360"/>
      </w:pPr>
      <w:r>
        <w:rPr>
          <w:b w:val="false"/>
          <w:bCs w:val="false"/>
          <w:sz w:val="22"/>
          <w:szCs w:val="22"/>
        </w:rPr>
        <w:t xml:space="preserve">5. Collapse rows that serve the same corridor, in either direction, into one service.</w:t>
      </w:r>
    </w:p>
    <w:p>
      <w:pPr>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rows absorbed.</w:t>
      </w:r>
    </w:p>
    <w:p>
      <w:pPr>
        <w:jc w:val="both"/>
      </w:pPr>
      <w:r>
        <w:t xml:space="preserve">The plan keeps 156 of the 157 corridors. The merge rule is held fixed in the uncertainty analysis, and scenario S4 (Section 5.13), which lowers θ to 0.50 and merges connected groups, is the only test of the route set.</w:t>
      </w:r>
    </w:p>
    <w:p>
      <w:pPr>
        <w:pStyle w:val="Heading2"/>
        <w:keepNext/>
      </w:pPr>
      <w:r>
        <w:t xml:space="preserve">4.7 Hierarchy and service standards</w:t>
      </w:r>
    </w:p>
    <w:p>
      <w:pPr>
        <w:jc w:val="both"/>
      </w:pPr>
      <w:r>
        <w:t xml:space="preserve">Routes were ranked by the index and divided by Jenks natural breaks, which make each class as uniform as possible (Jenks, 1967; Fisher, 1958). The number of classes is the smallest </w:t>
      </w:r>
      <w:r>
        <w:rPr>
          <w:i/>
          <w:iCs/>
        </w:rPr>
        <w:t xml:space="preserve">k</w:t>
      </w:r>
      <w:r>
        <w:t xml:space="preserve"> whose goodness of variance fit reaches 0.80, a threshold of our choosing:</w:t>
      </w:r>
    </w:p>
    <w:p>
      <w:pPr>
        <w:tabs>
          <w:tab w:val="center" w:pos="4513"/>
          <w:tab w:val="right" w:pos="9026"/>
        </w:tabs>
        <w:spacing w:after="160" w:before="120"/>
      </w:pPr>
      <w:r>
        <w:t xml:space="preserve">	</w:t>
      </w:r>
      <w:r>
        <w:rPr>
          <w:rFonts w:ascii="Cambria Math" w:cs="Cambria Math" w:eastAsia="Cambria Math" w:hAnsi="Cambria Math"/>
        </w:rPr>
        <w:t xml:space="preserve">GVF(k) = 1 − [ Σ</w:t>
      </w:r>
      <w:r>
        <w:rPr>
          <w:rFonts w:ascii="Cambria Math" w:cs="Cambria Math" w:eastAsia="Cambria Math" w:hAnsi="Cambria Math"/>
          <w:vertAlign w:val="subscript"/>
        </w:rPr>
        <w:t xml:space="preserve">j=1..k</w:t>
      </w:r>
      <w:r>
        <w:rPr>
          <w:rFonts w:ascii="Cambria Math" w:cs="Cambria Math" w:eastAsia="Cambria Math" w:hAnsi="Cambria Math"/>
        </w:rPr>
        <w:t xml:space="preserve"> Σ</w:t>
      </w:r>
      <w:r>
        <w:rPr>
          <w:rFonts w:ascii="Cambria Math" w:cs="Cambria Math" w:eastAsia="Cambria Math" w:hAnsi="Cambria Math"/>
          <w:vertAlign w:val="subscript"/>
        </w:rPr>
        <w:t xml:space="preserve">i ∈ Cj</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bscript"/>
        </w:rPr>
        <w:t xml:space="preserve">Cj</w:t>
      </w:r>
      <w:r>
        <w:rPr>
          <w:rFonts w:ascii="Cambria Math" w:cs="Cambria Math" w:eastAsia="Cambria Math" w:hAnsi="Cambria Math"/>
        </w:rPr>
        <w:t xml:space="preserve">)</w:t>
      </w:r>
      <w:r>
        <w:rPr>
          <w:rFonts w:ascii="Cambria Math" w:cs="Cambria Math" w:eastAsia="Cambria Math" w:hAnsi="Cambria Math"/>
          <w:vertAlign w:val="superscript"/>
        </w:rPr>
        <w:t xml:space="preserve">2</w:t>
      </w:r>
      <w:r>
        <w:rPr>
          <w:rFonts w:ascii="Cambria Math" w:cs="Cambria Math" w:eastAsia="Cambria Math" w:hAnsi="Cambria Math"/>
        </w:rPr>
        <w:t xml:space="preserve"> ] / [ Σ</w:t>
      </w:r>
      <w:r>
        <w:rPr>
          <w:rFonts w:ascii="Cambria Math" w:cs="Cambria Math" w:eastAsia="Cambria Math" w:hAnsi="Cambria Math"/>
          <w:vertAlign w:val="subscript"/>
        </w:rPr>
        <w:t xml:space="preserve">i</w:t>
      </w:r>
      <w:r>
        <w:rPr>
          <w:rFonts w:ascii="Cambria Math" w:cs="Cambria Math" w:eastAsia="Cambria Math" w:hAnsi="Cambria Math"/>
        </w:rPr>
        <w:t xml:space="preserve"> (y</w:t>
      </w:r>
      <w:r>
        <w:rPr>
          <w:rFonts w:ascii="Cambria Math" w:cs="Cambria Math" w:eastAsia="Cambria Math" w:hAnsi="Cambria Math"/>
          <w:vertAlign w:val="subscript"/>
        </w:rPr>
        <w:t xml:space="preserve">i</w:t>
      </w:r>
      <w:r>
        <w:rPr>
          <w:rFonts w:ascii="Cambria Math" w:cs="Cambria Math" w:eastAsia="Cambria Math" w:hAnsi="Cambria Math"/>
        </w:rPr>
        <w:t xml:space="preserve"> − ȳ)</w:t>
      </w:r>
      <w:r>
        <w:rPr>
          <w:rFonts w:ascii="Cambria Math" w:cs="Cambria Math" w:eastAsia="Cambria Math" w:hAnsi="Cambria Math"/>
          <w:vertAlign w:val="superscript"/>
        </w:rPr>
        <w:t xml:space="preserve">2</w:t>
      </w:r>
      <w:r>
        <w:rPr>
          <w:rFonts w:ascii="Cambria Math" w:cs="Cambria Math" w:eastAsia="Cambria Math" w:hAnsi="Cambria Math"/>
        </w:rPr>
        <w:t xml:space="preserve"> ],     k = 2, …, 7</w:t>
      </w:r>
      <w:r>
        <w:t xml:space="preserve">	(10)</w:t>
      </w:r>
    </w:p>
    <w:p>
      <w:pPr>
        <w:jc w:val="both"/>
      </w:pPr>
      <w:r>
        <w:t xml:space="preserve">Headways are policy values set independently of the index: 15 minutes on e-bus routes, 20 on other top-tier routes, 35 on the remaining urban and peri-urban routes, and 35 to 50 on rural routes according to the load implied by Eq. (8). Standards of this kind serve what Walker (2008) calls a coverage goal, which spreads service across an area whatever its ridership. Published tiers also reflect overrides for e-bus routes, district headquarters and socially designated routes, and Section 5.6 compares them with tiers from the index alone. Each route has one headway for the whole day.</w:t>
      </w:r>
    </w:p>
    <w:p>
      <w:pPr>
        <w:pStyle w:val="Heading2"/>
        <w:keepNext/>
      </w:pPr>
      <w:r>
        <w:t xml:space="preserve">4.8 Cycle time and fleet sizing</w:t>
      </w:r>
    </w:p>
    <w:p>
      <w:pPr>
        <w:jc w:val="both"/>
      </w:pPr>
      <w:r>
        <w:t xml:space="preserve">One-way running time is the free-flow time scaled for congestion, plus time at stops (Vuchic, 2005; Ceder, 2007):</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run</w:t>
      </w:r>
      <w:r>
        <w:rPr>
          <w:rFonts w:ascii="Cambria Math" w:cs="Cambria Math" w:eastAsia="Cambria Math" w:hAnsi="Cambria Math"/>
        </w:rPr>
        <w:t xml:space="preserve">(r) = χ(r) · [ t</w:t>
      </w:r>
      <w:r>
        <w:rPr>
          <w:rFonts w:ascii="Cambria Math" w:cs="Cambria Math" w:eastAsia="Cambria Math" w:hAnsi="Cambria Math"/>
          <w:vertAlign w:val="subscript"/>
        </w:rPr>
        <w:t xml:space="preserve">free</w:t>
      </w:r>
      <w:r>
        <w:rPr>
          <w:rFonts w:ascii="Cambria Math" w:cs="Cambria Math" w:eastAsia="Cambria Math" w:hAnsi="Cambria Math"/>
        </w:rPr>
        <w:t xml:space="preserve">(r) + J(r) ] + δ · ℓ(r) / Δ</w:t>
      </w:r>
      <w:r>
        <w:t xml:space="preserve">	(11)</w:t>
      </w:r>
    </w:p>
    <w:p>
      <w:pPr>
        <w:jc w:val="both"/>
      </w:pPr>
      <w:r>
        <w:t xml:space="preserve">Here χ is 2.2 in the zone treated as the city core and 1.4 elsewhere; the core is defined by a single line of latitude and includes 170 of the 186 routes. </w:t>
      </w:r>
      <w:r>
        <w:rPr>
          <w:i/>
          <w:iCs/>
        </w:rPr>
        <w:t xml:space="preserve">J</w:t>
      </w:r>
      <w:r>
        <w:t xml:space="preserve">(</w:t>
      </w:r>
      <w:r>
        <w:rPr>
          <w:i/>
          <w:iCs/>
        </w:rPr>
        <w:t xml:space="preserve">r</w:t>
      </w:r>
      <w:r>
        <w:t xml:space="preserve">) adds 8 minutes for a Jhelum crossing, and stops cost δ = 0.5 minutes at one every Δ = 500 m. These values are assumptions. Cycle time is then capped per kilometre:</w:t>
      </w:r>
    </w:p>
    <w:p>
      <w:pPr>
        <w:tabs>
          <w:tab w:val="center" w:pos="4513"/>
          <w:tab w:val="right" w:pos="9026"/>
        </w:tabs>
        <w:spacing w:after="160" w:before="120"/>
      </w:pPr>
      <w:r>
        <w:t xml:space="preserve">	</w:t>
      </w:r>
      <w:r>
        <w:rPr>
          <w:rFonts w:ascii="Cambria Math" w:cs="Cambria Math" w:eastAsia="Cambria Math" w:hAnsi="Cambria Math"/>
        </w:rPr>
        <w:t xml:space="preserve">t</w:t>
      </w:r>
      <w:r>
        <w:rPr>
          <w:rFonts w:ascii="Cambria Math" w:cs="Cambria Math" w:eastAsia="Cambria Math" w:hAnsi="Cambria Math"/>
          <w:vertAlign w:val="subscript"/>
        </w:rPr>
        <w:t xml:space="preserve">cyc</w:t>
      </w:r>
      <w:r>
        <w:rPr>
          <w:rFonts w:ascii="Cambria Math" w:cs="Cambria Math" w:eastAsia="Cambria Math" w:hAnsi="Cambria Math"/>
        </w:rPr>
        <w:t xml:space="preserve">(r) = min[ 2λ · t</w:t>
      </w:r>
      <w:r>
        <w:rPr>
          <w:rFonts w:ascii="Cambria Math" w:cs="Cambria Math" w:eastAsia="Cambria Math" w:hAnsi="Cambria Math"/>
          <w:vertAlign w:val="subscript"/>
        </w:rPr>
        <w:t xml:space="preserve">run</w:t>
      </w:r>
      <w:r>
        <w:rPr>
          <w:rFonts w:ascii="Cambria Math" w:cs="Cambria Math" w:eastAsia="Cambria Math" w:hAnsi="Cambria Math"/>
        </w:rPr>
        <w:t xml:space="preserve">(r),  2 · ℓ(r) · ω</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(12)</w:t>
      </w:r>
    </w:p>
    <w:p>
      <w:pPr>
        <w:jc w:val="both"/>
      </w:pPr>
      <w:r>
        <w:t xml:space="preserve">with layover factor λ = 1.10 and cap ω of 4.0, 2.5 and 1.5 minutes per kilometre for urban, peri-urban and regional routes. The cap was meant to catch implausible values but binds on 169 of the 186 routes, where Eq. (11) therefore has no effect on the fleet. The urban cap is also faster than the median pace in driver GPS, 4.62 minutes per kilometre, so the fleet is sized a second time from observed pace (Section 4.10). The fleet on route </w:t>
      </w:r>
      <w:r>
        <w:rPr>
          <w:i/>
          <w:iCs/>
        </w:rPr>
        <w:t xml:space="preserve">r</w:t>
      </w:r>
      <w:r>
        <w:t xml:space="preserve"> with headway </w:t>
      </w:r>
      <w:r>
        <w:rPr>
          <w:i/>
          <w:iCs/>
        </w:rPr>
        <w:t xml:space="preserve">h</w:t>
      </w:r>
      <w:r>
        <w:t xml:space="preserve">(</w:t>
      </w:r>
      <w:r>
        <w:rPr>
          <w:i/>
          <w:iCs/>
        </w:rPr>
        <w:t xml:space="preserve">r</w:t>
      </w:r>
      <w:r>
        <w:t xml:space="preserve">) is</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op</w:t>
      </w:r>
      <w:r>
        <w:rPr>
          <w:rFonts w:ascii="Cambria Math" w:cs="Cambria Math" w:eastAsia="Cambria Math" w:hAnsi="Cambria Math"/>
        </w:rPr>
        <w:t xml:space="preserve">(r) = ⌈ t</w:t>
      </w:r>
      <w:r>
        <w:rPr>
          <w:rFonts w:ascii="Cambria Math" w:cs="Cambria Math" w:eastAsia="Cambria Math" w:hAnsi="Cambria Math"/>
          <w:vertAlign w:val="subscript"/>
        </w:rPr>
        <w:t xml:space="preserve">cyc</w:t>
      </w:r>
      <w:r>
        <w:rPr>
          <w:rFonts w:ascii="Cambria Math" w:cs="Cambria Math" w:eastAsia="Cambria Math" w:hAnsi="Cambria Math"/>
        </w:rPr>
        <w:t xml:space="preserve">(r) / h(r) ⌉,     N(r) = max( ⌈ σ · N</w:t>
      </w:r>
      <w:r>
        <w:rPr>
          <w:rFonts w:ascii="Cambria Math" w:cs="Cambria Math" w:eastAsia="Cambria Math" w:hAnsi="Cambria Math"/>
          <w:vertAlign w:val="subscript"/>
        </w:rPr>
        <w:t xml:space="preserve">op</w:t>
      </w:r>
      <w:r>
        <w:rPr>
          <w:rFonts w:ascii="Cambria Math" w:cs="Cambria Math" w:eastAsia="Cambria Math" w:hAnsi="Cambria Math"/>
        </w:rPr>
        <w:t xml:space="preserve">(r) ⌉, N</w:t>
      </w:r>
      <w:r>
        <w:rPr>
          <w:rFonts w:ascii="Cambria Math" w:cs="Cambria Math" w:eastAsia="Cambria Math" w:hAnsi="Cambria Math"/>
          <w:vertAlign w:val="superscript"/>
        </w:rPr>
        <w:t xml:space="preserve">min</w:t>
      </w:r>
      <w:r>
        <w:rPr>
          <w:rFonts w:ascii="Cambria Math" w:cs="Cambria Math" w:eastAsia="Cambria Math" w:hAnsi="Cambria Math"/>
          <w:vertAlign w:val="subscript"/>
        </w:rPr>
        <w:t xml:space="preserve">class(r)</w:t>
      </w:r>
      <w:r>
        <w:rPr>
          <w:rFonts w:ascii="Cambria Math" w:cs="Cambria Math" w:eastAsia="Cambria Math" w:hAnsi="Cambria Math"/>
        </w:rPr>
        <w:t xml:space="preserve"> )</w:t>
      </w:r>
      <w:r>
        <w:t xml:space="preserve">	(13)</w:t>
      </w:r>
    </w:p>
    <w:p>
      <w:pPr>
        <w:jc w:val="both"/>
      </w:pPr>
      <w:r>
        <w:t xml:space="preserve">where the spare ratio σ = 1.15 is an assumption and the minimum is two vehicles on urban and peri-urban routes and one on regional routes. On the e-bus routes, the set </w:t>
      </w:r>
      <w:r>
        <w:rPr>
          <w:i/>
          <w:iCs/>
        </w:rPr>
        <w:t xml:space="preserve">E</w:t>
      </w:r>
      <w:r>
        <w:t xml:space="preserve">, the operator's deployed fleet </w:t>
      </w:r>
      <w:r>
        <w:rPr>
          <w:i/>
          <w:iCs/>
        </w:rPr>
        <w:t xml:space="preserve">N</w:t>
      </w:r>
      <w:r>
        <w:rPr>
          <w:vertAlign w:val="superscript"/>
        </w:rPr>
        <w:t xml:space="preserve">emp</w:t>
      </w:r>
      <w:r>
        <w:t xml:space="preserve">(</w:t>
      </w:r>
      <w:r>
        <w:rPr>
          <w:i/>
          <w:iCs/>
        </w:rPr>
        <w:t xml:space="preserve">r</w:t>
      </w:r>
      <w:r>
        <w:t xml:space="preserve">) is a floor:</w:t>
      </w:r>
    </w:p>
    <w:p>
      <w:pPr>
        <w:tabs>
          <w:tab w:val="center" w:pos="4513"/>
          <w:tab w:val="right" w:pos="9026"/>
        </w:tabs>
        <w:spacing w:after="160" w:before="120"/>
      </w:pPr>
      <w:r>
        <w:t xml:space="preserve">	</w:t>
      </w:r>
      <w:r>
        <w:rPr>
          <w:rFonts w:ascii="Cambria Math" w:cs="Cambria Math" w:eastAsia="Cambria Math" w:hAnsi="Cambria Math"/>
        </w:rPr>
        <w:t xml:space="preserve">N</w:t>
      </w:r>
      <w:r>
        <w:rPr>
          <w:rFonts w:ascii="Cambria Math" w:cs="Cambria Math" w:eastAsia="Cambria Math" w:hAnsi="Cambria Math"/>
          <w:vertAlign w:val="subscript"/>
        </w:rPr>
        <w:t xml:space="preserve">total</w:t>
      </w:r>
      <w:r>
        <w:rPr>
          <w:rFonts w:ascii="Cambria Math" w:cs="Cambria Math" w:eastAsia="Cambria Math" w:hAnsi="Cambria Math"/>
        </w:rPr>
        <w:t xml:space="preserve"> = Σ</w:t>
      </w:r>
      <w:r>
        <w:rPr>
          <w:rFonts w:ascii="Cambria Math" w:cs="Cambria Math" w:eastAsia="Cambria Math" w:hAnsi="Cambria Math"/>
          <w:vertAlign w:val="subscript"/>
        </w:rPr>
        <w:t xml:space="preserve">r ∉ E</w:t>
      </w:r>
      <w:r>
        <w:rPr>
          <w:rFonts w:ascii="Cambria Math" w:cs="Cambria Math" w:eastAsia="Cambria Math" w:hAnsi="Cambria Math"/>
        </w:rPr>
        <w:t xml:space="preserve"> N(r) + Σ</w:t>
      </w:r>
      <w:r>
        <w:rPr>
          <w:rFonts w:ascii="Cambria Math" w:cs="Cambria Math" w:eastAsia="Cambria Math" w:hAnsi="Cambria Math"/>
          <w:vertAlign w:val="subscript"/>
        </w:rPr>
        <w:t xml:space="preserve">r ∈ E</w:t>
      </w:r>
      <w:r>
        <w:rPr>
          <w:rFonts w:ascii="Cambria Math" w:cs="Cambria Math" w:eastAsia="Cambria Math" w:hAnsi="Cambria Math"/>
        </w:rPr>
        <w:t xml:space="preserve"> max( N(r), N</w:t>
      </w:r>
      <w:r>
        <w:rPr>
          <w:rFonts w:ascii="Cambria Math" w:cs="Cambria Math" w:eastAsia="Cambria Math" w:hAnsi="Cambria Math"/>
          <w:vertAlign w:val="superscript"/>
        </w:rPr>
        <w:t xml:space="preserve">emp</w:t>
      </w:r>
      <w:r>
        <w:rPr>
          <w:rFonts w:ascii="Cambria Math" w:cs="Cambria Math" w:eastAsia="Cambria Math" w:hAnsi="Cambria Math"/>
        </w:rPr>
        <w:t xml:space="preserve">(r) ) = 728 + 283 = 1,011</w:t>
      </w:r>
      <w:r>
        <w:t xml:space="preserve">	(14)</w:t>
      </w:r>
    </w:p>
    <w:p>
      <w:pPr>
        <w:jc w:val="both"/>
      </w:pPr>
      <w:r>
        <w:t xml:space="preserve">Buses are assigned to the register's size classes, heavy (about 12 m), medium (about 9 m) and light (a minibus), by route length and the vehicle classes of the rows a route replaces, with heavy vehicles at most half of a trunk's fleet. The plan has 187 heavy, 754 medium and 70 light vehicles.</w:t>
      </w:r>
    </w:p>
    <w:p>
      <w:pPr>
        <w:jc w:val="both"/>
      </w:pPr>
      <w:r>
        <w:t xml:space="preserve">An independent re-implementation of Eqs. (11) to (13) reproduces the published fleet on all 186 routes, given the plan's headways, five GPS-timed cycles and e-bus floors; without the last two it matches 180 routes and gives 1,000 buses. Because the headways are policy values and demand responds to service (Holmgren, 2007), we also compute the fleet each route would need for its headway to reach a target peak load on Eq. (8), with demand held fixed (Section 5.7).</w:t>
      </w:r>
    </w:p>
    <w:p>
      <w:pPr>
        <w:pStyle w:val="Heading2"/>
        <w:keepNext/>
      </w:pPr>
      <w:r>
        <w:t xml:space="preserve">4.9 Quality assurance gates</w:t>
      </w:r>
    </w:p>
    <w:p>
      <w:pPr>
        <w:jc w:val="both"/>
      </w:pPr>
      <w:r>
        <w:t xml:space="preserve">Automated checks stop the pipeline if any route lies outside the study region, more than one population total is used, a superseded figure survives, the fleet model fails to reproduce the published fleet, permits, corridors and routes do not reconcile, a route code repeats, or vehicle classes do not sum to the fleet. Two quantities are reported without a pass mark: agreement with the plan's own straight-line catchments, and the number of route ends at a district centre.</w:t>
      </w:r>
    </w:p>
    <w:p>
      <w:pPr>
        <w:pStyle w:val="Heading2"/>
        <w:keepNext/>
      </w:pPr>
      <w:r>
        <w:t xml:space="preserve">4.10 Sensitivity and uncertainty</w:t>
      </w:r>
    </w:p>
    <w:p>
      <w:pPr>
        <w:jc w:val="both"/>
      </w:pPr>
      <w:r>
        <w:t xml:space="preserve">A one-at-a-time sweep varies each parameter in Table 3 over its range. A Monte Carlo analysis then draws twelve inputs jointly 5,000 times, and Sobol' first-order and total-order indices (Sobol', 2001; Saltelli et al., 2008, 2010), from a Saltelli design of 1,024 base samples (14,336 evaluations), apportion each output's variance among them. Catchment parameters are evaluated on a grid of walking budgets from 300 to 800 m and stop spacings from 150 to 400 m.</w:t>
      </w:r>
    </w:p>
    <w:p>
      <w:pPr>
        <w:jc w:val="both"/>
      </w:pPr>
      <w:r>
        <w:t xml:space="preserve">Because the cap hides the running-time parameters on most routes, the fleet is computed under two regimes. Regime A is the plan as specified. In regime B, urban and peri-urban routes outside the e-bus network take their cycle time from the one-way pace observed in driver GPS on 16 corridors around Srinagar: five routes are measured directly and 84 take the pooled pace, while the 30 e-bus and 67 regional routes keep their modelled cycles because no pace was observed for them. Regime B is computed from overall pace and, separately, from moving pace plus modelled dwell.</w:t>
      </w:r>
    </w:p>
    <w:p>
      <w:pPr>
        <w:jc w:val="both"/>
      </w:pPr>
      <w:r>
        <w:t xml:space="preserve">We report medians and 5th to 95th percentile ranges. These depend on the input distributions we chose, are not confidence intervals, and exclude uncertainty in the route set because the merge rule is not sampled. The analysis tests whether decisions survive plausible changes in parameters and speed; how passengers experience the routes is the subject of Section 4.11. All code runs from frozen inputs with seed 20260823 on the OpenStreetMap extract of 6 January 2026, and is released with the paper.</w:t>
      </w:r>
    </w:p>
    <w:p>
      <w:pPr>
        <w:pStyle w:val="Heading2"/>
        <w:keepNext/>
      </w:pPr>
      <w:r>
        <w:t xml:space="preserve">4.11 Passenger survey</w:t>
      </w:r>
    </w:p>
    <w:p>
      <w:pPr>
        <w:jc w:val="both"/>
      </w:pPr>
      <w:r>
        <w:t xml:space="preserve">A before-and-after survey of city bus passengers in Srinagar is under way, following the design used to evaluate a major bus network reform in Santiago (Allen et al., 2019). The questionnaire, in English, Hindi and Urdu, follows the group's earlier survey work (Singh and Kathuria, 2023; Singh et al., 2025). It records the respondent and their usual trip, six facts about that trip (walking time, waiting time, number of changes, total travel time, fare and trips per week), ratings of ten service attributes on a five-point scale drawn from the bus service quality literature (Eboli and Mazzulla, 2007), and whether the trip is now better or worse. Participation is voluntary and anonymous and limited to adults, and each respondent describes the service before the changes, after them or both. The target sample of 348 was set with the finite-population formula used by Singh and Kathuria (2023), after Johnson and Wichern (2007) and Tyrinopoulos and Antoniou (2008).</w:t>
      </w:r>
    </w:p>
    <w:p>
      <w:pPr>
        <w:pStyle w:val="Heading2"/>
      </w:pPr>
      <w:r>
        <w:t xml:space="preserve">References cited in this section</w:t>
      </w:r>
    </w:p>
    <w:p>
      <w:pPr>
        <w:spacing w:after="80"/>
        <w:ind w:left="360" w:hanging="360"/>
      </w:pPr>
      <w:r>
        <w:rPr>
          <w:sz w:val="20"/>
          <w:szCs w:val="20"/>
        </w:rPr>
        <w:t xml:space="preserve">Allen, Munoz &amp; Rosell (2019). Effect of a major network reform on bus transit satisfaction. </w:t>
      </w:r>
      <w:r>
        <w:rPr>
          <w:i/>
          <w:iCs/>
          <w:sz w:val="20"/>
          <w:szCs w:val="20"/>
        </w:rPr>
        <w:t xml:space="preserve">Transportation Research Part A: Policy and Practice</w:t>
      </w:r>
      <w:r>
        <w:rPr>
          <w:sz w:val="20"/>
          <w:szCs w:val="20"/>
        </w:rPr>
        <w:t xml:space="preserve">, 124, 310–333. https://doi.org/10.1016/j.tra.2019.04.002</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Eboli &amp; Mazzulla (2007). Service quality attributes affecting customer satisfaction for bus transit. </w:t>
      </w:r>
      <w:r>
        <w:rPr>
          <w:i/>
          <w:iCs/>
          <w:sz w:val="20"/>
          <w:szCs w:val="20"/>
        </w:rPr>
        <w:t xml:space="preserve">Journal of Public Transportation</w:t>
      </w:r>
      <w:r>
        <w:rPr>
          <w:sz w:val="20"/>
          <w:szCs w:val="20"/>
        </w:rPr>
        <w:t xml:space="preserve">, 10(3), 21–34. https://doi.org/10.5038/2375-0901.10.3.2</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Johnson &amp; Wichern (2007). Applied Multivariate Statistical Analysis. </w:t>
      </w:r>
      <w:r>
        <w:rPr>
          <w:i/>
          <w:iCs/>
          <w:sz w:val="20"/>
          <w:szCs w:val="20"/>
        </w:rPr>
        <w:t xml:space="preserve">Prentice Hall</w:t>
      </w:r>
      <w:r>
        <w:rPr>
          <w:sz w:val="20"/>
          <w:szCs w:val="20"/>
        </w:rPr>
        <w:t xml:space="preserve">.</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Kittelson &amp; Associates, Parsons Brinckerhoff, KFH Group, Texas A&amp;M Transportation Institute &amp; Arup (2013). Transit Capacity and Quality of Service Manual. </w:t>
      </w:r>
      <w:r>
        <w:rPr>
          <w:i/>
          <w:iCs/>
          <w:sz w:val="20"/>
          <w:szCs w:val="20"/>
        </w:rPr>
        <w:t xml:space="preserve">Transportation Research Board of the National Academies</w:t>
      </w:r>
      <w:r>
        <w:rPr>
          <w:sz w:val="20"/>
          <w:szCs w:val="20"/>
        </w:rPr>
        <w:t xml:space="preserve">. https://doi.org/10.17226/24766</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Singh &amp; Kathuria (2023). Heterogeneity in passenger satisfaction of bus rapid transit system among age and gender groups: A PLS-SEM multi-group analysis. </w:t>
      </w:r>
      <w:r>
        <w:rPr>
          <w:i/>
          <w:iCs/>
          <w:sz w:val="20"/>
          <w:szCs w:val="20"/>
        </w:rPr>
        <w:t xml:space="preserve">Transport Policy</w:t>
      </w:r>
      <w:r>
        <w:rPr>
          <w:sz w:val="20"/>
          <w:szCs w:val="20"/>
        </w:rPr>
        <w:t xml:space="preserve">, 141, 27–41. https://doi.org/10.1016/j.tranpol.2023.07.009</w:t>
      </w:r>
    </w:p>
    <w:p>
      <w:pPr>
        <w:spacing w:after="80"/>
        <w:ind w:left="360" w:hanging="360"/>
      </w:pPr>
      <w:r>
        <w:rPr>
          <w:sz w:val="20"/>
          <w:szCs w:val="20"/>
        </w:rPr>
        <w:t xml:space="preserve">Singh, Kathuria, Kavta, Bosehans, Bell &amp; Dissanayake (2025). Exploring the tenability of shared electric mobility alternatives: Will car users adopt eHUBs? </w:t>
      </w:r>
      <w:r>
        <w:rPr>
          <w:i/>
          <w:iCs/>
          <w:sz w:val="20"/>
          <w:szCs w:val="20"/>
        </w:rPr>
        <w:t xml:space="preserve">Transport Policy</w:t>
      </w:r>
      <w:r>
        <w:rPr>
          <w:sz w:val="20"/>
          <w:szCs w:val="20"/>
        </w:rPr>
        <w:t xml:space="preserve">, 166, 1–17. https://doi.org/10.1016/j.tranpol.2025.02.013</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Tyrinopoulos &amp; Antoniou (2008). Public transit user satisfaction: Variability and policy implications. </w:t>
      </w:r>
      <w:r>
        <w:rPr>
          <w:i/>
          <w:iCs/>
          <w:sz w:val="20"/>
          <w:szCs w:val="20"/>
        </w:rPr>
        <w:t xml:space="preserve">Transport Policy</w:t>
      </w:r>
      <w:r>
        <w:rPr>
          <w:sz w:val="20"/>
          <w:szCs w:val="20"/>
        </w:rPr>
        <w:t xml:space="preserve">, 15(4), 260–272. https://doi.org/10.1016/j.tranpol.2008.06.002</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p>
      <w:pPr>
        <w:keepNext/>
        <w:spacing w:before="360"/>
      </w:pPr>
      <w:r>
        <w:rPr>
          <w:b/>
          <w:bCs/>
          <w:color w:val="7F7F7F"/>
          <w:sz w:val="20"/>
          <w:szCs w:val="20"/>
        </w:rPr>
        <w:t xml:space="preserve">Notes for the authors (not part of the section)</w:t>
      </w:r>
    </w:p>
    <w:p>
      <w:pPr>
        <w:pStyle w:val="ListParagraph"/>
        <w:numPr>
          <w:ilvl w:val="0"/>
          <w:numId w:val="3"/>
        </w:numPr>
      </w:pPr>
      <w:r>
        <w:rPr>
          <w:color w:val="7F7F7F"/>
          <w:sz w:val="20"/>
          <w:szCs w:val="20"/>
        </w:rPr>
        <w:t xml:space="preserve">Cut to the brief's 2,300 words on 16 October 2026: about 2,270 words of prose for Sections 4.1 to 4.11, excluding equations, Algorithm 1 and references. Every number, equation, citation and disclosure of the longer version is kept. Section 4.11 is new and may sit better in Section 6.</w:t>
      </w:r>
    </w:p>
    <w:p>
      <w:pPr>
        <w:pStyle w:val="ListParagraph"/>
        <w:numPr>
          <w:ilvl w:val="0"/>
          <w:numId w:val="3"/>
        </w:numPr>
      </w:pPr>
      <w:r>
        <w:rPr>
          <w:color w:val="7F7F7F"/>
          <w:sz w:val="20"/>
          <w:szCs w:val="20"/>
        </w:rPr>
        <w:t xml:space="preserve">Avny ma'am to confirm whether the paper may say the headway rules were settled in review with the transport regulator. If not, use "policy constraints supplied to the study" in Section 4.2.</w:t>
      </w:r>
    </w:p>
    <w:p>
      <w:pPr>
        <w:pStyle w:val="ListParagraph"/>
        <w:numPr>
          <w:ilvl w:val="0"/>
          <w:numId w:val="3"/>
        </w:numPr>
      </w:pPr>
      <w:r>
        <w:rPr>
          <w:color w:val="7F7F7F"/>
          <w:sz w:val="20"/>
          <w:szCs w:val="20"/>
        </w:rPr>
        <w:t xml:space="preserve">Corrected in this version: the medium class is a mid-size bus of about 9 m and the light class is the minibus. Not in the text: 62 of the 67 rural routes sit at the 50-minute maximum and 5 at 35; add a ledger row before quoting it.</w:t>
      </w:r>
    </w:p>
    <w:p>
      <w:pPr>
        <w:pStyle w:val="ListParagraph"/>
        <w:numPr>
          <w:ilvl w:val="0"/>
          <w:numId w:val="3"/>
        </w:numPr>
      </w:pPr>
      <w:r>
        <w:rPr>
          <w:color w:val="7F7F7F"/>
          <w:sz w:val="20"/>
          <w:szCs w:val="20"/>
        </w:rPr>
        <w:t xml:space="preserve">Kittelson &amp; Associates et al. (2013) is the Transit Capacity and Quality of Service Manual; add the page for the 400 m catchment.</w:t>
      </w:r>
    </w:p>
    <w:p>
      <w:pPr>
        <w:pStyle w:val="ListParagraph"/>
        <w:numPr>
          <w:ilvl w:val="0"/>
          <w:numId w:val="3"/>
        </w:numPr>
      </w:pPr>
      <w:r>
        <w:rPr>
          <w:color w:val="7F7F7F"/>
          <w:sz w:val="20"/>
          <w:szCs w:val="20"/>
        </w:rPr>
        <w:t xml:space="preserve">Prof. Kathuria to confirm for Section 4.11: the confidence level, margin of error and population figure behind 348 (at 95% and 5% the formula gives 348 for a population of about 3,700), to be added to the text; which routes changed and when; the sampling of stops, days and hours; how many respondents answer before only, after only, or both in one visit; the planned test; and the ethics approval or exemption.</w:t>
      </w:r>
    </w:p>
    <w:p>
      <w:pPr>
        <w:pStyle w:val="ListParagraph"/>
        <w:numPr>
          <w:ilvl w:val="0"/>
          <w:numId w:val="3"/>
        </w:numPr>
      </w:pPr>
      <w:r>
        <w:rPr>
          <w:color w:val="7F7F7F"/>
          <w:sz w:val="20"/>
          <w:szCs w:val="20"/>
        </w:rPr>
        <w:t xml:space="preserve">The data-availability pointer in Section 4.10 must point to an anonymised mirror during double-blind review.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2026-10-16T09:07:28.139Z</dcterms:created>
  <dcterms:modified xsi:type="dcterms:W3CDTF">2026-10-16T09:07:28.141Z</dcterms:modified>
</cp:coreProperties>
</file>

<file path=docProps/custom.xml><?xml version="1.0" encoding="utf-8"?>
<Properties xmlns="http://schemas.openxmlformats.org/officeDocument/2006/custom-properties" xmlns:vt="http://schemas.openxmlformats.org/officeDocument/2006/docPropsVTypes"/>
</file>