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3F1C" w14:textId="6BC84176" w:rsidR="00F538D1" w:rsidRPr="00F538D1" w:rsidRDefault="007C328F" w:rsidP="00F538D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COCOA </w:t>
      </w:r>
      <w:r w:rsidR="007D4C1B">
        <w:rPr>
          <w:rFonts w:ascii="Times New Roman" w:hAnsi="Times New Roman" w:cs="Times New Roman"/>
          <w:b/>
          <w:color w:val="auto"/>
          <w:sz w:val="28"/>
          <w:szCs w:val="28"/>
        </w:rPr>
        <w:t xml:space="preserve">RATING </w:t>
      </w:r>
      <w:r w:rsidR="00F538D1" w:rsidRPr="00F538D1">
        <w:rPr>
          <w:rFonts w:ascii="Times New Roman" w:hAnsi="Times New Roman" w:cs="Times New Roman"/>
          <w:b/>
          <w:color w:val="auto"/>
          <w:sz w:val="28"/>
          <w:szCs w:val="28"/>
        </w:rPr>
        <w:t>PROJECT</w:t>
      </w:r>
    </w:p>
    <w:p w14:paraId="6AA8F9A6" w14:textId="77777777" w:rsidR="00F538D1" w:rsidRPr="00F538D1" w:rsidRDefault="00F538D1" w:rsidP="00F538D1">
      <w:pPr>
        <w:jc w:val="both"/>
        <w:rPr>
          <w:rFonts w:ascii="Times New Roman" w:hAnsi="Times New Roman" w:cs="Times New Roman"/>
          <w:b/>
          <w:color w:val="auto"/>
        </w:rPr>
      </w:pPr>
      <w:r w:rsidRPr="00F538D1">
        <w:rPr>
          <w:rFonts w:ascii="Times New Roman" w:hAnsi="Times New Roman" w:cs="Times New Roman"/>
          <w:b/>
          <w:color w:val="auto"/>
        </w:rPr>
        <w:t>Introduction</w:t>
      </w:r>
    </w:p>
    <w:p w14:paraId="6F7E4565" w14:textId="65D3A6FD" w:rsidR="00F538D1" w:rsidRPr="00F538D1" w:rsidRDefault="00F538D1" w:rsidP="00F538D1">
      <w:pPr>
        <w:jc w:val="both"/>
        <w:rPr>
          <w:rFonts w:ascii="Times New Roman" w:hAnsi="Times New Roman" w:cs="Times New Roman"/>
          <w:color w:val="auto"/>
        </w:rPr>
      </w:pPr>
      <w:r w:rsidRPr="00F538D1">
        <w:rPr>
          <w:rFonts w:ascii="Times New Roman" w:hAnsi="Times New Roman" w:cs="Times New Roman"/>
          <w:color w:val="auto"/>
        </w:rPr>
        <w:t xml:space="preserve">The project is a case study compiled by Brady </w:t>
      </w:r>
      <w:proofErr w:type="spellStart"/>
      <w:r w:rsidRPr="00F538D1">
        <w:rPr>
          <w:rFonts w:ascii="Times New Roman" w:hAnsi="Times New Roman" w:cs="Times New Roman"/>
          <w:color w:val="auto"/>
        </w:rPr>
        <w:t>Brelinski</w:t>
      </w:r>
      <w:proofErr w:type="spellEnd"/>
      <w:r w:rsidRPr="00F538D1">
        <w:rPr>
          <w:rFonts w:ascii="Times New Roman" w:hAnsi="Times New Roman" w:cs="Times New Roman"/>
          <w:color w:val="auto"/>
        </w:rPr>
        <w:t xml:space="preserve"> (founding member of the Manhattan Chocolate Society) aimed at determining the </w:t>
      </w:r>
      <w:r w:rsidR="005638A6">
        <w:rPr>
          <w:rFonts w:ascii="Times New Roman" w:hAnsi="Times New Roman" w:cs="Times New Roman"/>
          <w:color w:val="auto"/>
        </w:rPr>
        <w:t xml:space="preserve">origin </w:t>
      </w:r>
      <w:r w:rsidRPr="00F538D1">
        <w:rPr>
          <w:rFonts w:ascii="Times New Roman" w:hAnsi="Times New Roman" w:cs="Times New Roman"/>
          <w:color w:val="auto"/>
        </w:rPr>
        <w:t xml:space="preserve">of best cocoa beans and countries </w:t>
      </w:r>
      <w:r w:rsidR="005638A6">
        <w:rPr>
          <w:rFonts w:ascii="Times New Roman" w:hAnsi="Times New Roman" w:cs="Times New Roman"/>
          <w:color w:val="auto"/>
        </w:rPr>
        <w:t>that produce best chocolate bars</w:t>
      </w:r>
      <w:r w:rsidRPr="00F538D1">
        <w:rPr>
          <w:rFonts w:ascii="Times New Roman" w:hAnsi="Times New Roman" w:cs="Times New Roman"/>
          <w:color w:val="auto"/>
        </w:rPr>
        <w:t>.</w:t>
      </w:r>
    </w:p>
    <w:p w14:paraId="5A3929B4" w14:textId="77777777" w:rsidR="00F538D1" w:rsidRPr="00F538D1" w:rsidRDefault="00F538D1">
      <w:pPr>
        <w:rPr>
          <w:rFonts w:ascii="Times New Roman" w:hAnsi="Times New Roman" w:cs="Times New Roman"/>
          <w:b/>
          <w:color w:val="auto"/>
        </w:rPr>
      </w:pPr>
      <w:r w:rsidRPr="00F538D1">
        <w:rPr>
          <w:rFonts w:ascii="Times New Roman" w:hAnsi="Times New Roman" w:cs="Times New Roman"/>
          <w:b/>
          <w:color w:val="auto"/>
        </w:rPr>
        <w:t>Project tool</w:t>
      </w:r>
    </w:p>
    <w:p w14:paraId="5E01BB86" w14:textId="77777777" w:rsidR="003F387F" w:rsidRPr="00F538D1" w:rsidRDefault="003F387F">
      <w:pPr>
        <w:rPr>
          <w:rFonts w:ascii="Times New Roman" w:hAnsi="Times New Roman" w:cs="Times New Roman"/>
          <w:color w:val="auto"/>
        </w:rPr>
      </w:pPr>
      <w:r w:rsidRPr="00F538D1">
        <w:rPr>
          <w:rFonts w:ascii="Times New Roman" w:hAnsi="Times New Roman" w:cs="Times New Roman"/>
          <w:color w:val="auto"/>
        </w:rPr>
        <w:t>Microsoft Excel</w:t>
      </w:r>
    </w:p>
    <w:p w14:paraId="31E2B5AD" w14:textId="26005B1B" w:rsidR="000C3BFE" w:rsidRPr="000D5E90" w:rsidRDefault="000D5E90">
      <w:pPr>
        <w:rPr>
          <w:rFonts w:ascii="Times New Roman" w:hAnsi="Times New Roman" w:cs="Times New Roman"/>
          <w:b/>
          <w:color w:val="auto"/>
        </w:rPr>
      </w:pPr>
      <w:r w:rsidRPr="000D5E90">
        <w:rPr>
          <w:rFonts w:ascii="Times New Roman" w:hAnsi="Times New Roman" w:cs="Times New Roman"/>
          <w:b/>
          <w:color w:val="auto"/>
        </w:rPr>
        <w:t>Data cleaning</w:t>
      </w:r>
      <w:r w:rsidR="001D2B60">
        <w:rPr>
          <w:rFonts w:ascii="Times New Roman" w:hAnsi="Times New Roman" w:cs="Times New Roman"/>
          <w:b/>
          <w:color w:val="auto"/>
        </w:rPr>
        <w:t xml:space="preserve"> documentation</w:t>
      </w:r>
    </w:p>
    <w:p w14:paraId="0F2037DE" w14:textId="4632B2CC" w:rsidR="000C3BFE" w:rsidRDefault="007C328F" w:rsidP="000C3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D54137" w:rsidRPr="00F538D1">
        <w:rPr>
          <w:rFonts w:ascii="Times New Roman" w:hAnsi="Times New Roman" w:cs="Times New Roman"/>
          <w:color w:val="auto"/>
        </w:rPr>
        <w:t>mpty</w:t>
      </w:r>
      <w:r>
        <w:rPr>
          <w:rFonts w:ascii="Times New Roman" w:hAnsi="Times New Roman" w:cs="Times New Roman"/>
          <w:color w:val="auto"/>
        </w:rPr>
        <w:t xml:space="preserve"> rows and</w:t>
      </w:r>
      <w:r w:rsidR="00D54137" w:rsidRPr="00F538D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rows of unknown bean origin (</w:t>
      </w:r>
      <w:r w:rsidR="0043109A">
        <w:rPr>
          <w:rFonts w:ascii="Times New Roman" w:hAnsi="Times New Roman" w:cs="Times New Roman"/>
          <w:color w:val="auto"/>
        </w:rPr>
        <w:t>Â</w:t>
      </w:r>
      <w:r>
        <w:rPr>
          <w:rFonts w:ascii="Times New Roman" w:hAnsi="Times New Roman" w:cs="Times New Roman"/>
          <w:color w:val="auto"/>
        </w:rPr>
        <w:t>)</w:t>
      </w:r>
      <w:r w:rsidR="00D216C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w</w:t>
      </w:r>
      <w:r w:rsidR="00D216C1">
        <w:rPr>
          <w:rFonts w:ascii="Times New Roman" w:hAnsi="Times New Roman" w:cs="Times New Roman"/>
          <w:color w:val="auto"/>
        </w:rPr>
        <w:t>ere</w:t>
      </w:r>
      <w:r>
        <w:rPr>
          <w:rFonts w:ascii="Times New Roman" w:hAnsi="Times New Roman" w:cs="Times New Roman"/>
          <w:color w:val="auto"/>
        </w:rPr>
        <w:t xml:space="preserve"> removed.</w:t>
      </w:r>
    </w:p>
    <w:p w14:paraId="452D86DB" w14:textId="3292731E" w:rsidR="007C328F" w:rsidRPr="00F538D1" w:rsidRDefault="0043109A" w:rsidP="000C3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The row that its bean origin column has </w:t>
      </w:r>
      <w:r w:rsidR="007C328F">
        <w:rPr>
          <w:rFonts w:ascii="Times New Roman" w:hAnsi="Times New Roman" w:cs="Times New Roman"/>
          <w:color w:val="auto"/>
        </w:rPr>
        <w:t xml:space="preserve">multiple </w:t>
      </w:r>
      <w:r>
        <w:rPr>
          <w:rFonts w:ascii="Times New Roman" w:hAnsi="Times New Roman" w:cs="Times New Roman"/>
          <w:color w:val="auto"/>
        </w:rPr>
        <w:t xml:space="preserve">countries </w:t>
      </w:r>
      <w:r w:rsidR="007C328F">
        <w:rPr>
          <w:rFonts w:ascii="Times New Roman" w:hAnsi="Times New Roman" w:cs="Times New Roman"/>
          <w:color w:val="auto"/>
        </w:rPr>
        <w:t>was removed</w:t>
      </w:r>
      <w:r>
        <w:rPr>
          <w:rFonts w:ascii="Times New Roman" w:hAnsi="Times New Roman" w:cs="Times New Roman"/>
          <w:color w:val="auto"/>
        </w:rPr>
        <w:t xml:space="preserve"> as well</w:t>
      </w:r>
      <w:r w:rsidR="007C328F">
        <w:rPr>
          <w:rFonts w:ascii="Times New Roman" w:hAnsi="Times New Roman" w:cs="Times New Roman"/>
          <w:color w:val="auto"/>
        </w:rPr>
        <w:t>, therefore a total of 125 rows was removed.</w:t>
      </w:r>
      <w:r w:rsidR="00D216C1">
        <w:rPr>
          <w:rFonts w:ascii="Times New Roman" w:hAnsi="Times New Roman" w:cs="Times New Roman"/>
          <w:color w:val="auto"/>
        </w:rPr>
        <w:t xml:space="preserve"> Worked with 1670 observations.</w:t>
      </w:r>
    </w:p>
    <w:p w14:paraId="620BE8A2" w14:textId="5E64AE36" w:rsidR="000C3BFE" w:rsidRPr="00F538D1" w:rsidRDefault="007C328F" w:rsidP="000C3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</w:t>
      </w:r>
      <w:r w:rsidR="000C3BFE" w:rsidRPr="00F538D1">
        <w:rPr>
          <w:rFonts w:ascii="Times New Roman" w:hAnsi="Times New Roman" w:cs="Times New Roman"/>
          <w:color w:val="auto"/>
        </w:rPr>
        <w:t>pelling inconsistencies</w:t>
      </w:r>
      <w:r w:rsidR="00646B46" w:rsidRPr="00F538D1">
        <w:rPr>
          <w:rFonts w:ascii="Times New Roman" w:hAnsi="Times New Roman" w:cs="Times New Roman"/>
          <w:color w:val="auto"/>
        </w:rPr>
        <w:t xml:space="preserve"> </w:t>
      </w:r>
      <w:r w:rsidR="000C3BFE" w:rsidRPr="00F538D1">
        <w:rPr>
          <w:rFonts w:ascii="Times New Roman" w:hAnsi="Times New Roman" w:cs="Times New Roman"/>
          <w:color w:val="auto"/>
        </w:rPr>
        <w:t>were fixed</w:t>
      </w:r>
      <w:r w:rsidR="0043109A">
        <w:rPr>
          <w:rFonts w:ascii="Times New Roman" w:hAnsi="Times New Roman" w:cs="Times New Roman"/>
          <w:color w:val="auto"/>
        </w:rPr>
        <w:t>.</w:t>
      </w:r>
    </w:p>
    <w:p w14:paraId="450FB976" w14:textId="2366B2F9" w:rsidR="0031088E" w:rsidRPr="005638A6" w:rsidRDefault="000C3BFE" w:rsidP="003F3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r w:rsidRPr="0031088E">
        <w:rPr>
          <w:rFonts w:ascii="Times New Roman" w:hAnsi="Times New Roman" w:cs="Times New Roman"/>
          <w:color w:val="auto"/>
        </w:rPr>
        <w:t>Th</w:t>
      </w:r>
      <w:r w:rsidR="0043109A" w:rsidRPr="0031088E">
        <w:rPr>
          <w:rFonts w:ascii="Times New Roman" w:hAnsi="Times New Roman" w:cs="Times New Roman"/>
          <w:color w:val="auto"/>
        </w:rPr>
        <w:t xml:space="preserve">e </w:t>
      </w:r>
      <w:r w:rsidRPr="0031088E">
        <w:rPr>
          <w:rFonts w:ascii="Times New Roman" w:hAnsi="Times New Roman" w:cs="Times New Roman"/>
          <w:color w:val="auto"/>
        </w:rPr>
        <w:t xml:space="preserve">rating </w:t>
      </w:r>
      <w:r w:rsidR="0043109A" w:rsidRPr="0031088E">
        <w:rPr>
          <w:rFonts w:ascii="Times New Roman" w:hAnsi="Times New Roman" w:cs="Times New Roman"/>
          <w:color w:val="auto"/>
        </w:rPr>
        <w:t>was corrected to correspond with the given rating follows</w:t>
      </w:r>
      <w:r w:rsidRPr="0031088E">
        <w:rPr>
          <w:rFonts w:ascii="Times New Roman" w:hAnsi="Times New Roman" w:cs="Times New Roman"/>
          <w:color w:val="auto"/>
        </w:rPr>
        <w:t xml:space="preserve">; </w:t>
      </w:r>
      <w:r w:rsidR="0043109A" w:rsidRPr="0031088E">
        <w:rPr>
          <w:rFonts w:ascii="Times New Roman" w:hAnsi="Times New Roman" w:cs="Times New Roman"/>
          <w:color w:val="auto"/>
        </w:rPr>
        <w:t xml:space="preserve">Rating&gt;4.5 = </w:t>
      </w:r>
      <w:r w:rsidRPr="0031088E">
        <w:rPr>
          <w:rFonts w:ascii="Times New Roman" w:hAnsi="Times New Roman" w:cs="Times New Roman"/>
          <w:color w:val="auto"/>
        </w:rPr>
        <w:t>5</w:t>
      </w:r>
      <w:r w:rsidR="0031088E" w:rsidRPr="0031088E">
        <w:rPr>
          <w:rFonts w:ascii="Times New Roman" w:hAnsi="Times New Roman" w:cs="Times New Roman"/>
          <w:color w:val="auto"/>
        </w:rPr>
        <w:t xml:space="preserve">, </w:t>
      </w:r>
      <w:r w:rsidR="0031088E">
        <w:rPr>
          <w:rFonts w:ascii="Times New Roman" w:hAnsi="Times New Roman" w:cs="Times New Roman"/>
          <w:color w:val="auto"/>
        </w:rPr>
        <w:t>r</w:t>
      </w:r>
      <w:r w:rsidR="0031088E" w:rsidRPr="0031088E">
        <w:rPr>
          <w:rFonts w:ascii="Times New Roman" w:hAnsi="Times New Roman" w:cs="Times New Roman"/>
          <w:color w:val="auto"/>
        </w:rPr>
        <w:t>ating&gt;3.75</w:t>
      </w:r>
      <w:r w:rsidR="0031088E">
        <w:rPr>
          <w:rFonts w:ascii="Times New Roman" w:hAnsi="Times New Roman" w:cs="Times New Roman"/>
          <w:color w:val="auto"/>
        </w:rPr>
        <w:t xml:space="preserve"> = </w:t>
      </w:r>
      <w:r w:rsidR="0031088E" w:rsidRPr="0031088E">
        <w:rPr>
          <w:rFonts w:ascii="Times New Roman" w:hAnsi="Times New Roman" w:cs="Times New Roman"/>
          <w:color w:val="auto"/>
        </w:rPr>
        <w:t>4, 3.75=</w:t>
      </w:r>
      <w:r w:rsidRPr="0031088E">
        <w:rPr>
          <w:rFonts w:ascii="Times New Roman" w:hAnsi="Times New Roman" w:cs="Times New Roman"/>
          <w:color w:val="auto"/>
        </w:rPr>
        <w:t>3.75</w:t>
      </w:r>
      <w:r w:rsidR="0031088E" w:rsidRPr="0031088E">
        <w:rPr>
          <w:rFonts w:ascii="Times New Roman" w:hAnsi="Times New Roman" w:cs="Times New Roman"/>
          <w:color w:val="auto"/>
        </w:rPr>
        <w:t xml:space="preserve">, </w:t>
      </w:r>
      <w:r w:rsidR="0031088E">
        <w:rPr>
          <w:rFonts w:ascii="Times New Roman" w:hAnsi="Times New Roman" w:cs="Times New Roman"/>
          <w:color w:val="auto"/>
        </w:rPr>
        <w:t>r</w:t>
      </w:r>
      <w:r w:rsidR="0031088E" w:rsidRPr="0031088E">
        <w:rPr>
          <w:rFonts w:ascii="Times New Roman" w:hAnsi="Times New Roman" w:cs="Times New Roman"/>
          <w:color w:val="auto"/>
        </w:rPr>
        <w:t>ating</w:t>
      </w:r>
      <w:r w:rsidRPr="0031088E">
        <w:rPr>
          <w:rFonts w:ascii="Times New Roman" w:hAnsi="Times New Roman" w:cs="Times New Roman"/>
          <w:color w:val="auto"/>
        </w:rPr>
        <w:t xml:space="preserve"> 3</w:t>
      </w:r>
      <w:r w:rsidR="0031088E" w:rsidRPr="0031088E">
        <w:rPr>
          <w:rFonts w:ascii="Times New Roman" w:hAnsi="Times New Roman" w:cs="Times New Roman"/>
          <w:color w:val="auto"/>
        </w:rPr>
        <w:t>&gt;2.5</w:t>
      </w:r>
      <w:r w:rsidR="0031088E">
        <w:rPr>
          <w:rFonts w:ascii="Times New Roman" w:hAnsi="Times New Roman" w:cs="Times New Roman"/>
          <w:color w:val="auto"/>
        </w:rPr>
        <w:t>=</w:t>
      </w:r>
      <w:r w:rsidR="0031088E" w:rsidRPr="0031088E">
        <w:rPr>
          <w:rFonts w:ascii="Times New Roman" w:hAnsi="Times New Roman" w:cs="Times New Roman"/>
          <w:color w:val="auto"/>
        </w:rPr>
        <w:t xml:space="preserve">3, </w:t>
      </w:r>
      <w:r w:rsidR="0031088E">
        <w:rPr>
          <w:rFonts w:ascii="Times New Roman" w:hAnsi="Times New Roman" w:cs="Times New Roman"/>
          <w:color w:val="auto"/>
        </w:rPr>
        <w:t>r</w:t>
      </w:r>
      <w:r w:rsidR="0031088E" w:rsidRPr="0031088E">
        <w:rPr>
          <w:rFonts w:ascii="Times New Roman" w:hAnsi="Times New Roman" w:cs="Times New Roman"/>
          <w:color w:val="auto"/>
        </w:rPr>
        <w:t xml:space="preserve">ating&gt;1.5,2 and </w:t>
      </w:r>
      <w:r w:rsidR="0031088E">
        <w:rPr>
          <w:rFonts w:ascii="Times New Roman" w:hAnsi="Times New Roman" w:cs="Times New Roman"/>
          <w:color w:val="auto"/>
        </w:rPr>
        <w:t>r</w:t>
      </w:r>
      <w:r w:rsidR="0031088E" w:rsidRPr="0031088E">
        <w:rPr>
          <w:rFonts w:ascii="Times New Roman" w:hAnsi="Times New Roman" w:cs="Times New Roman"/>
          <w:color w:val="auto"/>
        </w:rPr>
        <w:t>ating &lt;1.5=1</w:t>
      </w:r>
      <w:r w:rsidR="00D216C1">
        <w:rPr>
          <w:rFonts w:ascii="Times New Roman" w:hAnsi="Times New Roman" w:cs="Times New Roman"/>
          <w:color w:val="auto"/>
        </w:rPr>
        <w:t>.</w:t>
      </w:r>
    </w:p>
    <w:p w14:paraId="7ADAE70B" w14:textId="375718FF" w:rsidR="005638A6" w:rsidRPr="00F538D1" w:rsidRDefault="005638A6" w:rsidP="005638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538D1">
        <w:rPr>
          <w:rFonts w:ascii="Times New Roman" w:hAnsi="Times New Roman" w:cs="Times New Roman"/>
          <w:color w:val="auto"/>
        </w:rPr>
        <w:t xml:space="preserve">Some </w:t>
      </w:r>
      <w:proofErr w:type="gramStart"/>
      <w:r w:rsidRPr="00F538D1">
        <w:rPr>
          <w:rFonts w:ascii="Times New Roman" w:hAnsi="Times New Roman" w:cs="Times New Roman"/>
          <w:color w:val="auto"/>
        </w:rPr>
        <w:t>column</w:t>
      </w:r>
      <w:proofErr w:type="gramEnd"/>
      <w:r w:rsidRPr="00F538D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were renamed while some were added</w:t>
      </w:r>
      <w:r w:rsidR="00D216C1">
        <w:rPr>
          <w:rFonts w:ascii="Times New Roman" w:hAnsi="Times New Roman" w:cs="Times New Roman"/>
          <w:color w:val="auto"/>
        </w:rPr>
        <w:t>.</w:t>
      </w:r>
    </w:p>
    <w:p w14:paraId="4B2F9102" w14:textId="77777777" w:rsidR="005638A6" w:rsidRPr="0031088E" w:rsidRDefault="005638A6" w:rsidP="005638A6">
      <w:pPr>
        <w:pStyle w:val="ListParagraph"/>
        <w:rPr>
          <w:rFonts w:ascii="Times New Roman" w:hAnsi="Times New Roman" w:cs="Times New Roman"/>
          <w:b/>
          <w:color w:val="auto"/>
        </w:rPr>
      </w:pPr>
    </w:p>
    <w:p w14:paraId="0B9BE930" w14:textId="77777777" w:rsidR="0031088E" w:rsidRDefault="0031088E" w:rsidP="0031088E">
      <w:pPr>
        <w:pStyle w:val="ListParagraph"/>
        <w:rPr>
          <w:rFonts w:ascii="Times New Roman" w:hAnsi="Times New Roman" w:cs="Times New Roman"/>
          <w:b/>
          <w:color w:val="auto"/>
        </w:rPr>
      </w:pPr>
    </w:p>
    <w:p w14:paraId="75CD3AE0" w14:textId="77777777" w:rsidR="0031088E" w:rsidRDefault="0031088E" w:rsidP="0031088E">
      <w:pPr>
        <w:pStyle w:val="ListParagraph"/>
        <w:rPr>
          <w:rFonts w:ascii="Times New Roman" w:hAnsi="Times New Roman" w:cs="Times New Roman"/>
          <w:b/>
          <w:color w:val="auto"/>
        </w:rPr>
      </w:pPr>
    </w:p>
    <w:p w14:paraId="7CCDAD47" w14:textId="2150D22F" w:rsidR="00537B0B" w:rsidRDefault="00537B0B" w:rsidP="001D2B60">
      <w:p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DASHBOARD</w:t>
      </w:r>
    </w:p>
    <w:p w14:paraId="03DF5352" w14:textId="022CA14D" w:rsidR="00537B0B" w:rsidRDefault="00537B0B" w:rsidP="001D2B60">
      <w:p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drawing>
          <wp:inline distT="0" distB="0" distL="0" distR="0" wp14:anchorId="0534A672" wp14:editId="2E2B474F">
            <wp:extent cx="6646545" cy="3484880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E7C3" w14:textId="6493138E" w:rsidR="00537B0B" w:rsidRDefault="00537B0B" w:rsidP="001D2B60">
      <w:pPr>
        <w:rPr>
          <w:rFonts w:ascii="Times New Roman" w:hAnsi="Times New Roman" w:cs="Times New Roman"/>
          <w:b/>
          <w:color w:val="auto"/>
        </w:rPr>
      </w:pPr>
    </w:p>
    <w:p w14:paraId="7962281E" w14:textId="45A9F891" w:rsidR="00537B0B" w:rsidRDefault="00537B0B" w:rsidP="001D2B60">
      <w:pPr>
        <w:rPr>
          <w:rFonts w:ascii="Times New Roman" w:hAnsi="Times New Roman" w:cs="Times New Roman"/>
          <w:b/>
          <w:color w:val="auto"/>
        </w:rPr>
      </w:pPr>
    </w:p>
    <w:p w14:paraId="24B19B49" w14:textId="6F0CBE85" w:rsidR="00537B0B" w:rsidRDefault="00537B0B" w:rsidP="001D2B60">
      <w:pPr>
        <w:rPr>
          <w:rFonts w:ascii="Times New Roman" w:hAnsi="Times New Roman" w:cs="Times New Roman"/>
          <w:b/>
          <w:color w:val="auto"/>
        </w:rPr>
      </w:pPr>
    </w:p>
    <w:p w14:paraId="56F5E109" w14:textId="35ECC71C" w:rsidR="00537B0B" w:rsidRDefault="00537B0B" w:rsidP="001D2B60">
      <w:pPr>
        <w:rPr>
          <w:rFonts w:ascii="Times New Roman" w:hAnsi="Times New Roman" w:cs="Times New Roman"/>
          <w:b/>
          <w:color w:val="auto"/>
        </w:rPr>
      </w:pPr>
    </w:p>
    <w:p w14:paraId="579F500B" w14:textId="77777777" w:rsidR="00D216C1" w:rsidRDefault="00D216C1" w:rsidP="001D2B60">
      <w:pPr>
        <w:rPr>
          <w:rFonts w:ascii="Times New Roman" w:hAnsi="Times New Roman" w:cs="Times New Roman"/>
          <w:b/>
          <w:color w:val="auto"/>
        </w:rPr>
      </w:pPr>
    </w:p>
    <w:p w14:paraId="3B320E99" w14:textId="2794068C" w:rsidR="00537B0B" w:rsidRPr="00537B0B" w:rsidRDefault="00537B0B" w:rsidP="001D2B60">
      <w:pPr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537B0B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lastRenderedPageBreak/>
        <w:t>Analysis</w:t>
      </w:r>
    </w:p>
    <w:p w14:paraId="59DBA007" w14:textId="398ABF97" w:rsidR="0031088E" w:rsidRDefault="00537B0B" w:rsidP="001D2B60">
      <w:pPr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NB: </w:t>
      </w:r>
      <w:r w:rsidR="0031088E" w:rsidRPr="00537B0B">
        <w:rPr>
          <w:rFonts w:ascii="Times New Roman" w:hAnsi="Times New Roman" w:cs="Times New Roman"/>
          <w:bCs/>
          <w:color w:val="auto"/>
        </w:rPr>
        <w:t xml:space="preserve">The rating from 3.75 – 5 is considered Top rated for the purpose of this analysis. </w:t>
      </w:r>
      <w:proofErr w:type="spellStart"/>
      <w:r w:rsidR="0031088E" w:rsidRPr="00537B0B">
        <w:rPr>
          <w:rFonts w:ascii="Times New Roman" w:hAnsi="Times New Roman" w:cs="Times New Roman"/>
          <w:bCs/>
          <w:color w:val="auto"/>
        </w:rPr>
        <w:t>i.e</w:t>
      </w:r>
      <w:proofErr w:type="spellEnd"/>
      <w:r w:rsidR="0031088E" w:rsidRPr="00537B0B">
        <w:rPr>
          <w:rFonts w:ascii="Times New Roman" w:hAnsi="Times New Roman" w:cs="Times New Roman"/>
          <w:bCs/>
          <w:color w:val="auto"/>
        </w:rPr>
        <w:t xml:space="preserve"> the best quality</w:t>
      </w:r>
      <w:r w:rsidR="00961D83" w:rsidRPr="00537B0B">
        <w:rPr>
          <w:rFonts w:ascii="Times New Roman" w:hAnsi="Times New Roman" w:cs="Times New Roman"/>
          <w:bCs/>
          <w:color w:val="auto"/>
        </w:rPr>
        <w:t>.</w:t>
      </w:r>
    </w:p>
    <w:p w14:paraId="1AE4DBAD" w14:textId="77777777" w:rsidR="00537B0B" w:rsidRPr="00537B0B" w:rsidRDefault="00537B0B" w:rsidP="001D2B60">
      <w:pPr>
        <w:rPr>
          <w:rFonts w:ascii="Times New Roman" w:hAnsi="Times New Roman" w:cs="Times New Roman"/>
          <w:bCs/>
          <w:color w:val="auto"/>
        </w:rPr>
      </w:pPr>
    </w:p>
    <w:p w14:paraId="09642822" w14:textId="12B55203" w:rsidR="001D2B60" w:rsidRPr="00F538D1" w:rsidRDefault="001D2B60" w:rsidP="001D2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F538D1">
        <w:rPr>
          <w:rFonts w:ascii="Times New Roman" w:hAnsi="Times New Roman" w:cs="Times New Roman"/>
          <w:color w:val="auto"/>
        </w:rPr>
        <w:t xml:space="preserve">Where </w:t>
      </w:r>
      <w:r>
        <w:rPr>
          <w:rFonts w:ascii="Times New Roman" w:hAnsi="Times New Roman" w:cs="Times New Roman"/>
          <w:color w:val="auto"/>
        </w:rPr>
        <w:t>are</w:t>
      </w:r>
      <w:r w:rsidRPr="00F538D1">
        <w:rPr>
          <w:rFonts w:ascii="Times New Roman" w:hAnsi="Times New Roman" w:cs="Times New Roman"/>
          <w:color w:val="auto"/>
        </w:rPr>
        <w:t xml:space="preserve"> the best cocoa bean </w:t>
      </w:r>
      <w:r>
        <w:rPr>
          <w:rFonts w:ascii="Times New Roman" w:hAnsi="Times New Roman" w:cs="Times New Roman"/>
          <w:color w:val="auto"/>
        </w:rPr>
        <w:t>grown</w:t>
      </w:r>
      <w:r w:rsidRPr="00F538D1">
        <w:rPr>
          <w:rFonts w:ascii="Times New Roman" w:hAnsi="Times New Roman" w:cs="Times New Roman"/>
          <w:color w:val="auto"/>
        </w:rPr>
        <w:t>?</w:t>
      </w:r>
    </w:p>
    <w:p w14:paraId="39A17102" w14:textId="2FA265F7" w:rsidR="001D2B60" w:rsidRPr="001D2B60" w:rsidRDefault="001D2B60" w:rsidP="001D2B60">
      <w:pPr>
        <w:rPr>
          <w:rFonts w:ascii="Times New Roman" w:hAnsi="Times New Roman" w:cs="Times New Roman"/>
          <w:b/>
          <w:color w:val="auto"/>
        </w:rPr>
      </w:pPr>
      <w:r>
        <w:rPr>
          <w:noProof/>
        </w:rPr>
        <w:drawing>
          <wp:inline distT="0" distB="0" distL="0" distR="0" wp14:anchorId="042E8B34" wp14:editId="089EEE89">
            <wp:extent cx="6176964" cy="2955132"/>
            <wp:effectExtent l="0" t="0" r="14605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80EFC9-22B8-40B4-A500-5A445E84A9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00452A" w14:textId="74034BC6" w:rsidR="009E34FA" w:rsidRPr="001D2B60" w:rsidRDefault="00961D83" w:rsidP="001D2B60">
      <w:pPr>
        <w:rPr>
          <w:rFonts w:ascii="Times New Roman" w:hAnsi="Times New Roman" w:cs="Times New Roman"/>
          <w:color w:val="auto"/>
        </w:rPr>
      </w:pPr>
      <w:proofErr w:type="gramStart"/>
      <w:r w:rsidRPr="001D2B60">
        <w:rPr>
          <w:rFonts w:ascii="Times New Roman" w:hAnsi="Times New Roman" w:cs="Times New Roman"/>
          <w:color w:val="auto"/>
        </w:rPr>
        <w:t>.</w:t>
      </w:r>
      <w:r w:rsidR="009E34FA" w:rsidRPr="001D2B60">
        <w:rPr>
          <w:rFonts w:ascii="Times New Roman" w:hAnsi="Times New Roman" w:cs="Times New Roman"/>
          <w:color w:val="auto"/>
        </w:rPr>
        <w:t>Analysis</w:t>
      </w:r>
      <w:proofErr w:type="gramEnd"/>
      <w:r w:rsidR="009E34FA" w:rsidRPr="001D2B60">
        <w:rPr>
          <w:rFonts w:ascii="Times New Roman" w:hAnsi="Times New Roman" w:cs="Times New Roman"/>
          <w:color w:val="auto"/>
        </w:rPr>
        <w:t xml:space="preserve"> shows that the </w:t>
      </w:r>
      <w:r w:rsidRPr="001D2B60">
        <w:rPr>
          <w:rFonts w:ascii="Times New Roman" w:hAnsi="Times New Roman" w:cs="Times New Roman"/>
          <w:color w:val="auto"/>
        </w:rPr>
        <w:t xml:space="preserve">average </w:t>
      </w:r>
      <w:r w:rsidR="009E34FA" w:rsidRPr="001D2B60">
        <w:rPr>
          <w:rFonts w:ascii="Times New Roman" w:hAnsi="Times New Roman" w:cs="Times New Roman"/>
          <w:color w:val="auto"/>
        </w:rPr>
        <w:t xml:space="preserve">best cocoa bean was grown </w:t>
      </w:r>
      <w:r w:rsidRPr="001D2B60">
        <w:rPr>
          <w:rFonts w:ascii="Times New Roman" w:hAnsi="Times New Roman" w:cs="Times New Roman"/>
          <w:color w:val="auto"/>
        </w:rPr>
        <w:t>St. Lucia</w:t>
      </w:r>
      <w:r w:rsidR="00705163" w:rsidRPr="001D2B60">
        <w:rPr>
          <w:rFonts w:ascii="Times New Roman" w:hAnsi="Times New Roman" w:cs="Times New Roman"/>
          <w:color w:val="auto"/>
        </w:rPr>
        <w:t xml:space="preserve">, Tobago and Haiti all in the </w:t>
      </w:r>
      <w:r w:rsidR="001D2B60" w:rsidRPr="001D2B60">
        <w:rPr>
          <w:rFonts w:ascii="Times New Roman" w:hAnsi="Times New Roman" w:cs="Times New Roman"/>
          <w:color w:val="auto"/>
        </w:rPr>
        <w:t>Caribbean</w:t>
      </w:r>
      <w:r w:rsidR="00705163" w:rsidRPr="001D2B60">
        <w:rPr>
          <w:rFonts w:ascii="Times New Roman" w:hAnsi="Times New Roman" w:cs="Times New Roman"/>
          <w:color w:val="auto"/>
        </w:rPr>
        <w:t xml:space="preserve"> with an average rating of 4.0.</w:t>
      </w:r>
      <w:r w:rsidRPr="001D2B60">
        <w:rPr>
          <w:rFonts w:ascii="Times New Roman" w:hAnsi="Times New Roman" w:cs="Times New Roman"/>
          <w:color w:val="auto"/>
        </w:rPr>
        <w:t xml:space="preserve"> Venezuela has the single highest rated cocoa bean with a</w:t>
      </w:r>
      <w:r w:rsidR="00705163" w:rsidRPr="001D2B60">
        <w:rPr>
          <w:rFonts w:ascii="Times New Roman" w:hAnsi="Times New Roman" w:cs="Times New Roman"/>
          <w:color w:val="auto"/>
        </w:rPr>
        <w:t>n elite</w:t>
      </w:r>
      <w:r w:rsidRPr="001D2B60">
        <w:rPr>
          <w:rFonts w:ascii="Times New Roman" w:hAnsi="Times New Roman" w:cs="Times New Roman"/>
          <w:color w:val="auto"/>
        </w:rPr>
        <w:t xml:space="preserve"> rate of 5.0 but the average is below 4.0.</w:t>
      </w:r>
    </w:p>
    <w:p w14:paraId="086A42D7" w14:textId="30B20309" w:rsidR="009E34FA" w:rsidRDefault="009E34FA" w:rsidP="003F387F">
      <w:pPr>
        <w:pStyle w:val="ListParagraph"/>
        <w:rPr>
          <w:rFonts w:ascii="Times New Roman" w:hAnsi="Times New Roman" w:cs="Times New Roman"/>
          <w:color w:val="auto"/>
        </w:rPr>
      </w:pPr>
    </w:p>
    <w:p w14:paraId="382B4E61" w14:textId="77777777" w:rsidR="00987264" w:rsidRPr="00F538D1" w:rsidRDefault="00987264" w:rsidP="003F387F">
      <w:pPr>
        <w:pStyle w:val="ListParagraph"/>
        <w:rPr>
          <w:rFonts w:ascii="Times New Roman" w:hAnsi="Times New Roman" w:cs="Times New Roman"/>
          <w:color w:val="auto"/>
        </w:rPr>
      </w:pPr>
    </w:p>
    <w:p w14:paraId="6F92D8C4" w14:textId="77777777" w:rsidR="009E34FA" w:rsidRPr="00F538D1" w:rsidRDefault="009E34FA" w:rsidP="009E3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F538D1">
        <w:rPr>
          <w:rFonts w:ascii="Times New Roman" w:hAnsi="Times New Roman" w:cs="Times New Roman"/>
          <w:color w:val="auto"/>
        </w:rPr>
        <w:t>Which countries produced the highest rated bars?</w:t>
      </w:r>
    </w:p>
    <w:p w14:paraId="6DCC14A2" w14:textId="3BD5DA0D" w:rsidR="000868DD" w:rsidRDefault="00705163" w:rsidP="009E34FA">
      <w:pPr>
        <w:pStyle w:val="ListParagraph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C50F892" wp14:editId="00E5A6E5">
            <wp:extent cx="5995989" cy="2936082"/>
            <wp:effectExtent l="0" t="0" r="5080" b="1714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D7E8216-1C34-4122-8CE8-AB00DFAEAA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1B0768" w14:textId="6FA01BAF" w:rsidR="001D2B60" w:rsidRDefault="001D2B60" w:rsidP="009E34FA">
      <w:pPr>
        <w:pStyle w:val="ListParagraph"/>
        <w:rPr>
          <w:rFonts w:ascii="Times New Roman" w:hAnsi="Times New Roman" w:cs="Times New Roman"/>
          <w:color w:val="auto"/>
        </w:rPr>
      </w:pPr>
      <w:r w:rsidRPr="00F538D1">
        <w:rPr>
          <w:rFonts w:ascii="Times New Roman" w:hAnsi="Times New Roman" w:cs="Times New Roman"/>
          <w:color w:val="auto"/>
        </w:rPr>
        <w:t xml:space="preserve">Analysis shows that </w:t>
      </w:r>
      <w:r>
        <w:rPr>
          <w:rFonts w:ascii="Times New Roman" w:hAnsi="Times New Roman" w:cs="Times New Roman"/>
          <w:color w:val="auto"/>
        </w:rPr>
        <w:t>Italy, Spain followed by France has highest rated</w:t>
      </w:r>
      <w:r w:rsidRPr="00F538D1">
        <w:rPr>
          <w:rFonts w:ascii="Times New Roman" w:hAnsi="Times New Roman" w:cs="Times New Roman"/>
          <w:color w:val="auto"/>
        </w:rPr>
        <w:t xml:space="preserve"> bar</w:t>
      </w:r>
      <w:r>
        <w:rPr>
          <w:rFonts w:ascii="Times New Roman" w:hAnsi="Times New Roman" w:cs="Times New Roman"/>
          <w:color w:val="auto"/>
        </w:rPr>
        <w:t>s</w:t>
      </w:r>
      <w:r w:rsidRPr="00F538D1">
        <w:rPr>
          <w:rFonts w:ascii="Times New Roman" w:hAnsi="Times New Roman" w:cs="Times New Roman"/>
          <w:color w:val="auto"/>
        </w:rPr>
        <w:t>.</w:t>
      </w:r>
    </w:p>
    <w:p w14:paraId="6C530DF2" w14:textId="494AE30B" w:rsidR="00510CF0" w:rsidRDefault="00510CF0" w:rsidP="009E34FA">
      <w:pPr>
        <w:pStyle w:val="ListParagraph"/>
        <w:rPr>
          <w:rFonts w:ascii="Times New Roman" w:hAnsi="Times New Roman" w:cs="Times New Roman"/>
          <w:color w:val="auto"/>
        </w:rPr>
      </w:pPr>
    </w:p>
    <w:p w14:paraId="58F4E6A6" w14:textId="58CC2AD4" w:rsidR="00510CF0" w:rsidRDefault="00510CF0" w:rsidP="009E34FA">
      <w:pPr>
        <w:pStyle w:val="ListParagraph"/>
        <w:rPr>
          <w:rFonts w:ascii="Times New Roman" w:hAnsi="Times New Roman" w:cs="Times New Roman"/>
          <w:color w:val="auto"/>
        </w:rPr>
      </w:pPr>
    </w:p>
    <w:p w14:paraId="2B93DC96" w14:textId="62822A9A" w:rsidR="00537B0B" w:rsidRDefault="00537B0B" w:rsidP="009E34FA">
      <w:pPr>
        <w:pStyle w:val="ListParagraph"/>
        <w:rPr>
          <w:rFonts w:ascii="Times New Roman" w:hAnsi="Times New Roman" w:cs="Times New Roman"/>
          <w:color w:val="auto"/>
        </w:rPr>
      </w:pPr>
    </w:p>
    <w:p w14:paraId="36A9340E" w14:textId="143EDC53" w:rsidR="00537B0B" w:rsidRDefault="00537B0B" w:rsidP="009E34FA">
      <w:pPr>
        <w:pStyle w:val="ListParagraph"/>
        <w:rPr>
          <w:rFonts w:ascii="Times New Roman" w:hAnsi="Times New Roman" w:cs="Times New Roman"/>
          <w:color w:val="auto"/>
        </w:rPr>
      </w:pPr>
    </w:p>
    <w:p w14:paraId="4A970A75" w14:textId="77777777" w:rsidR="00537B0B" w:rsidRDefault="00537B0B" w:rsidP="009E34FA">
      <w:pPr>
        <w:pStyle w:val="ListParagraph"/>
        <w:rPr>
          <w:rFonts w:ascii="Times New Roman" w:hAnsi="Times New Roman" w:cs="Times New Roman"/>
          <w:color w:val="auto"/>
        </w:rPr>
      </w:pPr>
    </w:p>
    <w:p w14:paraId="25CB91FC" w14:textId="77777777" w:rsidR="00510CF0" w:rsidRPr="00F538D1" w:rsidRDefault="00510CF0" w:rsidP="00510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F538D1">
        <w:rPr>
          <w:rFonts w:ascii="Times New Roman" w:hAnsi="Times New Roman" w:cs="Times New Roman"/>
          <w:color w:val="auto"/>
        </w:rPr>
        <w:lastRenderedPageBreak/>
        <w:t>What is the relationship between cocoa solids percentage and rating?</w:t>
      </w:r>
    </w:p>
    <w:p w14:paraId="54A70083" w14:textId="0262ABF0" w:rsidR="00510CF0" w:rsidRPr="00F538D1" w:rsidRDefault="00510CF0" w:rsidP="009E34FA">
      <w:pPr>
        <w:pStyle w:val="ListParagraph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1E6AC2C6" wp14:editId="04D96452">
            <wp:extent cx="5505450" cy="235267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B2429F6-E730-443D-8EAD-DEB690E27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37CBAE" w14:textId="105F44D9" w:rsidR="00537B0B" w:rsidRPr="00987264" w:rsidRDefault="00510CF0" w:rsidP="00F538D1">
      <w:pPr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           </w:t>
      </w:r>
      <w:r w:rsidRPr="00987264">
        <w:rPr>
          <w:rFonts w:ascii="Times New Roman" w:hAnsi="Times New Roman" w:cs="Times New Roman"/>
          <w:bCs/>
          <w:color w:val="auto"/>
        </w:rPr>
        <w:t>The quality of chocolate bars is not dependent on the percentage of its Cocoa solids.</w:t>
      </w:r>
    </w:p>
    <w:p w14:paraId="6B011A00" w14:textId="51A9FC47" w:rsidR="00F538D1" w:rsidRDefault="00510CF0" w:rsidP="00F538D1">
      <w:pPr>
        <w:rPr>
          <w:rFonts w:ascii="Times New Roman" w:hAnsi="Times New Roman" w:cs="Times New Roman"/>
          <w:b/>
          <w:color w:val="auto"/>
          <w:u w:val="single"/>
        </w:rPr>
      </w:pPr>
      <w:r w:rsidRPr="00537B0B">
        <w:rPr>
          <w:rFonts w:ascii="Times New Roman" w:hAnsi="Times New Roman" w:cs="Times New Roman"/>
          <w:b/>
          <w:color w:val="auto"/>
          <w:u w:val="single"/>
        </w:rPr>
        <w:t>Extras</w:t>
      </w:r>
    </w:p>
    <w:p w14:paraId="01400225" w14:textId="0C85AE0C" w:rsidR="005638A6" w:rsidRPr="005638A6" w:rsidRDefault="005638A6" w:rsidP="00563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auto"/>
        </w:rPr>
      </w:pPr>
      <w:r w:rsidRPr="005638A6">
        <w:rPr>
          <w:rFonts w:ascii="Times New Roman" w:hAnsi="Times New Roman" w:cs="Times New Roman"/>
          <w:bCs/>
          <w:color w:val="auto"/>
        </w:rPr>
        <w:t>How the country fared generally regardless of rating</w:t>
      </w:r>
    </w:p>
    <w:p w14:paraId="1843D8B2" w14:textId="1F89F2CD" w:rsidR="00510CF0" w:rsidRDefault="00510CF0" w:rsidP="00F538D1">
      <w:pPr>
        <w:rPr>
          <w:rFonts w:ascii="Times New Roman" w:hAnsi="Times New Roman" w:cs="Times New Roman"/>
          <w:color w:val="auto"/>
        </w:rPr>
      </w:pPr>
      <w:r>
        <w:rPr>
          <w:noProof/>
        </w:rPr>
        <w:drawing>
          <wp:inline distT="0" distB="0" distL="0" distR="0" wp14:anchorId="7E7DCA37" wp14:editId="01020ED4">
            <wp:extent cx="3409950" cy="24384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70FB205-3DFD-41EC-B573-A2B5ED094E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noProof/>
        </w:rPr>
        <w:drawing>
          <wp:inline distT="0" distB="0" distL="0" distR="0" wp14:anchorId="728E8DF4" wp14:editId="5EF92BCB">
            <wp:extent cx="2962275" cy="24384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97AE4BE-5D46-41E4-B812-C573C46E51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A2F718C" w14:textId="50632174" w:rsidR="00537B0B" w:rsidRDefault="00987264" w:rsidP="00F538D1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Venezuela and </w:t>
      </w:r>
      <w:proofErr w:type="spellStart"/>
      <w:r>
        <w:rPr>
          <w:rFonts w:ascii="Times New Roman" w:hAnsi="Times New Roman" w:cs="Times New Roman"/>
          <w:color w:val="auto"/>
        </w:rPr>
        <w:t>Equador</w:t>
      </w:r>
      <w:proofErr w:type="spellEnd"/>
      <w:r>
        <w:rPr>
          <w:rFonts w:ascii="Times New Roman" w:hAnsi="Times New Roman" w:cs="Times New Roman"/>
          <w:color w:val="auto"/>
        </w:rPr>
        <w:t xml:space="preserve"> are the highest producer of Cocoa bean accounting for almost 25% while USA is the highest producer of Chocolate bars. </w:t>
      </w:r>
      <w:proofErr w:type="spellStart"/>
      <w:r>
        <w:rPr>
          <w:rFonts w:ascii="Times New Roman" w:hAnsi="Times New Roman" w:cs="Times New Roman"/>
          <w:color w:val="auto"/>
        </w:rPr>
        <w:t>Equador</w:t>
      </w:r>
      <w:proofErr w:type="spellEnd"/>
      <w:r>
        <w:rPr>
          <w:rFonts w:ascii="Times New Roman" w:hAnsi="Times New Roman" w:cs="Times New Roman"/>
          <w:color w:val="auto"/>
        </w:rPr>
        <w:t xml:space="preserve"> is one of the top producers of Cocoa beans as well as chocolate bars.</w:t>
      </w:r>
    </w:p>
    <w:p w14:paraId="06072DAB" w14:textId="08FC0573" w:rsidR="007E17E1" w:rsidRPr="005638A6" w:rsidRDefault="005638A6" w:rsidP="00563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The quantity of each category of rating in the whole dataset.</w:t>
      </w:r>
    </w:p>
    <w:p w14:paraId="0A34653D" w14:textId="5C6FBA62" w:rsidR="00987264" w:rsidRDefault="00987264" w:rsidP="00F538D1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 w:rsidR="007E17E1">
        <w:rPr>
          <w:noProof/>
        </w:rPr>
        <w:drawing>
          <wp:inline distT="0" distB="0" distL="0" distR="0" wp14:anchorId="1C843403" wp14:editId="75B23BB8">
            <wp:extent cx="4424045" cy="2076450"/>
            <wp:effectExtent l="0" t="0" r="1460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DC09BFE-E216-2070-0E8D-58B15FB33F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54E2375" w14:textId="78C4B99F" w:rsidR="007E17E1" w:rsidRDefault="007E17E1" w:rsidP="00F538D1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Only 17% of the Cocoa bean are top rated while the majority are just satisfactory</w:t>
      </w:r>
      <w:r w:rsidR="005638A6">
        <w:rPr>
          <w:rFonts w:ascii="Times New Roman" w:hAnsi="Times New Roman" w:cs="Times New Roman"/>
          <w:color w:val="auto"/>
        </w:rPr>
        <w:t xml:space="preserve"> (3.0 rated)</w:t>
      </w:r>
      <w:r>
        <w:rPr>
          <w:rFonts w:ascii="Times New Roman" w:hAnsi="Times New Roman" w:cs="Times New Roman"/>
          <w:color w:val="auto"/>
        </w:rPr>
        <w:t>.</w:t>
      </w:r>
    </w:p>
    <w:sectPr w:rsidR="007E17E1" w:rsidSect="00987264">
      <w:pgSz w:w="11907" w:h="16839" w:code="9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D023E" w14:textId="77777777" w:rsidR="00710C94" w:rsidRDefault="00710C94" w:rsidP="00510CF0">
      <w:pPr>
        <w:spacing w:after="0" w:line="240" w:lineRule="auto"/>
      </w:pPr>
      <w:r>
        <w:separator/>
      </w:r>
    </w:p>
  </w:endnote>
  <w:endnote w:type="continuationSeparator" w:id="0">
    <w:p w14:paraId="796250A3" w14:textId="77777777" w:rsidR="00710C94" w:rsidRDefault="00710C94" w:rsidP="00510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15AF" w14:textId="77777777" w:rsidR="00710C94" w:rsidRDefault="00710C94" w:rsidP="00510CF0">
      <w:pPr>
        <w:spacing w:after="0" w:line="240" w:lineRule="auto"/>
      </w:pPr>
      <w:r>
        <w:separator/>
      </w:r>
    </w:p>
  </w:footnote>
  <w:footnote w:type="continuationSeparator" w:id="0">
    <w:p w14:paraId="5B188C39" w14:textId="77777777" w:rsidR="00710C94" w:rsidRDefault="00710C94" w:rsidP="00510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0B3D"/>
    <w:multiLevelType w:val="hybridMultilevel"/>
    <w:tmpl w:val="5204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0249F"/>
    <w:multiLevelType w:val="hybridMultilevel"/>
    <w:tmpl w:val="F9502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844807">
    <w:abstractNumId w:val="0"/>
  </w:num>
  <w:num w:numId="2" w16cid:durableId="476991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53F"/>
    <w:rsid w:val="0006476F"/>
    <w:rsid w:val="000868DD"/>
    <w:rsid w:val="000C3BFE"/>
    <w:rsid w:val="000D5E90"/>
    <w:rsid w:val="00162674"/>
    <w:rsid w:val="001D2B60"/>
    <w:rsid w:val="0031088E"/>
    <w:rsid w:val="003F387F"/>
    <w:rsid w:val="0043109A"/>
    <w:rsid w:val="00510CF0"/>
    <w:rsid w:val="0051253F"/>
    <w:rsid w:val="00537B0B"/>
    <w:rsid w:val="005638A6"/>
    <w:rsid w:val="00567BFC"/>
    <w:rsid w:val="00606001"/>
    <w:rsid w:val="00646B46"/>
    <w:rsid w:val="00705163"/>
    <w:rsid w:val="00710C94"/>
    <w:rsid w:val="007C328F"/>
    <w:rsid w:val="007D4C1B"/>
    <w:rsid w:val="007E17E1"/>
    <w:rsid w:val="00810DC2"/>
    <w:rsid w:val="00822556"/>
    <w:rsid w:val="008322C3"/>
    <w:rsid w:val="00883235"/>
    <w:rsid w:val="009036FF"/>
    <w:rsid w:val="00913425"/>
    <w:rsid w:val="00961D83"/>
    <w:rsid w:val="009671F6"/>
    <w:rsid w:val="00987264"/>
    <w:rsid w:val="009E34FA"/>
    <w:rsid w:val="00B0515B"/>
    <w:rsid w:val="00B8177B"/>
    <w:rsid w:val="00BC31A8"/>
    <w:rsid w:val="00C544B1"/>
    <w:rsid w:val="00D216C1"/>
    <w:rsid w:val="00D333AF"/>
    <w:rsid w:val="00D54137"/>
    <w:rsid w:val="00E74AD8"/>
    <w:rsid w:val="00F5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CE3B"/>
  <w15:chartTrackingRefBased/>
  <w15:docId w15:val="{3FAED147-C9D7-41A2-BE98-CA54A062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color w:val="FFFFFF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B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F0"/>
  </w:style>
  <w:style w:type="paragraph" w:styleId="Footer">
    <w:name w:val="footer"/>
    <w:basedOn w:val="Normal"/>
    <w:link w:val="FooterChar"/>
    <w:uiPriority w:val="99"/>
    <w:unhideWhenUsed/>
    <w:rsid w:val="00510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nmile\Desktop\Alex%20the%20analyst\excel%20project\flavors_of_caca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nmile\Desktop\Alex%20the%20analyst\excel%20project\flavors_of_caca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nmile\Desktop\Alex%20the%20analyst\excel%20project\flavors_of_caca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nmile\Desktop\Alex%20the%20analyst\excel%20project\flavors_of_caca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nmile\Desktop\Alex%20the%20analyst\excel%20project\flavors_of_caca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nmile\Desktop\Alex%20the%20analyst\excel%20project\flavors_of_caca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[flavors_of_cacao.xlsx]top 10 origin!PivotTable2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2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2"/>
                </a:solidFill>
              </a:rPr>
              <a:t>Origin</a:t>
            </a:r>
            <a:r>
              <a:rPr lang="en-US" baseline="0">
                <a:solidFill>
                  <a:schemeClr val="bg2"/>
                </a:solidFill>
              </a:rPr>
              <a:t> of</a:t>
            </a:r>
            <a:r>
              <a:rPr lang="en-US">
                <a:solidFill>
                  <a:schemeClr val="bg2"/>
                </a:solidFill>
              </a:rPr>
              <a:t> top</a:t>
            </a:r>
            <a:r>
              <a:rPr lang="en-US" baseline="0">
                <a:solidFill>
                  <a:schemeClr val="bg2"/>
                </a:solidFill>
              </a:rPr>
              <a:t> rated</a:t>
            </a:r>
            <a:r>
              <a:rPr lang="en-US">
                <a:solidFill>
                  <a:schemeClr val="bg2"/>
                </a:solidFill>
              </a:rPr>
              <a:t> cocoa beans</a:t>
            </a:r>
          </a:p>
        </c:rich>
      </c:tx>
      <c:layout>
        <c:manualLayout>
          <c:xMode val="edge"/>
          <c:yMode val="edge"/>
          <c:x val="0.30982299634755389"/>
          <c:y val="2.6754042841419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tx2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4"/>
      </c:pivotFmt>
      <c:pivotFmt>
        <c:idx val="5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6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7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9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1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5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6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7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9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1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5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6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7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9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1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5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6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7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9"/>
        <c:spPr>
          <a:solidFill>
            <a:schemeClr val="tx2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41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42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4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4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45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46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47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4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49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1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5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6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7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9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6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61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6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6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6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65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66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67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6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69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7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71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7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7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7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75"/>
        <c:spPr>
          <a:solidFill>
            <a:schemeClr val="tx2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77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78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79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8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81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8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8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8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85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86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87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8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89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9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91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9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9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9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95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96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97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9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99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0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01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0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0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0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05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06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07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0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09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1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'top 10 origin'!$B$3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tx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404-4FB1-A4D4-33C9D0F10B09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0404-4FB1-A4D4-33C9D0F10B09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0404-4FB1-A4D4-33C9D0F10B09}"/>
              </c:ext>
            </c:extLst>
          </c:dPt>
          <c:dPt>
            <c:idx val="3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0404-4FB1-A4D4-33C9D0F10B09}"/>
              </c:ext>
            </c:extLst>
          </c:dPt>
          <c:dPt>
            <c:idx val="4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0404-4FB1-A4D4-33C9D0F10B09}"/>
              </c:ext>
            </c:extLst>
          </c:dPt>
          <c:dPt>
            <c:idx val="5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0404-4FB1-A4D4-33C9D0F10B09}"/>
              </c:ext>
            </c:extLst>
          </c:dPt>
          <c:dPt>
            <c:idx val="6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0404-4FB1-A4D4-33C9D0F10B09}"/>
              </c:ext>
            </c:extLst>
          </c:dPt>
          <c:dPt>
            <c:idx val="7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0404-4FB1-A4D4-33C9D0F10B09}"/>
              </c:ext>
            </c:extLst>
          </c:dPt>
          <c:dPt>
            <c:idx val="8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0404-4FB1-A4D4-33C9D0F10B09}"/>
              </c:ext>
            </c:extLst>
          </c:dPt>
          <c:dPt>
            <c:idx val="9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0404-4FB1-A4D4-33C9D0F10B09}"/>
              </c:ext>
            </c:extLst>
          </c:dPt>
          <c:dPt>
            <c:idx val="10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0404-4FB1-A4D4-33C9D0F10B09}"/>
              </c:ext>
            </c:extLst>
          </c:dPt>
          <c:dPt>
            <c:idx val="11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0404-4FB1-A4D4-33C9D0F10B09}"/>
              </c:ext>
            </c:extLst>
          </c:dPt>
          <c:dPt>
            <c:idx val="12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9-0404-4FB1-A4D4-33C9D0F10B09}"/>
              </c:ext>
            </c:extLst>
          </c:dPt>
          <c:dPt>
            <c:idx val="13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B-0404-4FB1-A4D4-33C9D0F10B09}"/>
              </c:ext>
            </c:extLst>
          </c:dPt>
          <c:dPt>
            <c:idx val="14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D-0404-4FB1-A4D4-33C9D0F10B09}"/>
              </c:ext>
            </c:extLst>
          </c:dPt>
          <c:dPt>
            <c:idx val="15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F-0404-4FB1-A4D4-33C9D0F10B09}"/>
              </c:ext>
            </c:extLst>
          </c:dPt>
          <c:dPt>
            <c:idx val="16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1-0404-4FB1-A4D4-33C9D0F10B09}"/>
              </c:ext>
            </c:extLst>
          </c:dPt>
          <c:dPt>
            <c:idx val="17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3-0404-4FB1-A4D4-33C9D0F10B09}"/>
              </c:ext>
            </c:extLst>
          </c:dPt>
          <c:dPt>
            <c:idx val="18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5-0404-4FB1-A4D4-33C9D0F10B09}"/>
              </c:ext>
            </c:extLst>
          </c:dPt>
          <c:dPt>
            <c:idx val="19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7-0404-4FB1-A4D4-33C9D0F10B09}"/>
              </c:ext>
            </c:extLst>
          </c:dPt>
          <c:dPt>
            <c:idx val="20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9-0404-4FB1-A4D4-33C9D0F10B09}"/>
              </c:ext>
            </c:extLst>
          </c:dPt>
          <c:dPt>
            <c:idx val="21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B-0404-4FB1-A4D4-33C9D0F10B09}"/>
              </c:ext>
            </c:extLst>
          </c:dPt>
          <c:dPt>
            <c:idx val="22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D-0404-4FB1-A4D4-33C9D0F10B09}"/>
              </c:ext>
            </c:extLst>
          </c:dPt>
          <c:dPt>
            <c:idx val="23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F-0404-4FB1-A4D4-33C9D0F10B09}"/>
              </c:ext>
            </c:extLst>
          </c:dPt>
          <c:dPt>
            <c:idx val="24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1-0404-4FB1-A4D4-33C9D0F10B09}"/>
              </c:ext>
            </c:extLst>
          </c:dPt>
          <c:dPt>
            <c:idx val="25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3-0404-4FB1-A4D4-33C9D0F10B09}"/>
              </c:ext>
            </c:extLst>
          </c:dPt>
          <c:dPt>
            <c:idx val="26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5-0404-4FB1-A4D4-33C9D0F10B09}"/>
              </c:ext>
            </c:extLst>
          </c:dPt>
          <c:dPt>
            <c:idx val="27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7-0404-4FB1-A4D4-33C9D0F10B09}"/>
              </c:ext>
            </c:extLst>
          </c:dPt>
          <c:dPt>
            <c:idx val="28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9-0404-4FB1-A4D4-33C9D0F10B09}"/>
              </c:ext>
            </c:extLst>
          </c:dPt>
          <c:dPt>
            <c:idx val="29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B-0404-4FB1-A4D4-33C9D0F10B09}"/>
              </c:ext>
            </c:extLst>
          </c:dPt>
          <c:dPt>
            <c:idx val="30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D-0404-4FB1-A4D4-33C9D0F10B09}"/>
              </c:ext>
            </c:extLst>
          </c:dPt>
          <c:dPt>
            <c:idx val="31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F-0404-4FB1-A4D4-33C9D0F10B09}"/>
              </c:ext>
            </c:extLst>
          </c:dPt>
          <c:dPt>
            <c:idx val="32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1-0404-4FB1-A4D4-33C9D0F10B09}"/>
              </c:ext>
            </c:extLst>
          </c:dPt>
          <c:dPt>
            <c:idx val="33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3-0404-4FB1-A4D4-33C9D0F10B09}"/>
              </c:ext>
            </c:extLst>
          </c:dPt>
          <c:dPt>
            <c:idx val="34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5-0404-4FB1-A4D4-33C9D0F10B09}"/>
              </c:ext>
            </c:extLst>
          </c:dPt>
          <c:cat>
            <c:strRef>
              <c:f>'top 10 origin'!$A$4:$A$39</c:f>
              <c:strCache>
                <c:ptCount val="35"/>
                <c:pt idx="0">
                  <c:v>St. Lucia</c:v>
                </c:pt>
                <c:pt idx="1">
                  <c:v>Tobago</c:v>
                </c:pt>
                <c:pt idx="2">
                  <c:v>Haiti</c:v>
                </c:pt>
                <c:pt idx="3">
                  <c:v>Mexico</c:v>
                </c:pt>
                <c:pt idx="4">
                  <c:v>Papua New Guinea</c:v>
                </c:pt>
                <c:pt idx="5">
                  <c:v>Sao Tome</c:v>
                </c:pt>
                <c:pt idx="6">
                  <c:v>Costa Rica</c:v>
                </c:pt>
                <c:pt idx="7">
                  <c:v>Ghana</c:v>
                </c:pt>
                <c:pt idx="8">
                  <c:v>Jamaica</c:v>
                </c:pt>
                <c:pt idx="9">
                  <c:v>Venezuela</c:v>
                </c:pt>
                <c:pt idx="10">
                  <c:v>Madagascar</c:v>
                </c:pt>
                <c:pt idx="11">
                  <c:v>Colombia</c:v>
                </c:pt>
                <c:pt idx="12">
                  <c:v>Peru</c:v>
                </c:pt>
                <c:pt idx="13">
                  <c:v>Guatemala</c:v>
                </c:pt>
                <c:pt idx="14">
                  <c:v>Bolivia</c:v>
                </c:pt>
                <c:pt idx="15">
                  <c:v>Ecuador</c:v>
                </c:pt>
                <c:pt idx="16">
                  <c:v>Brazil</c:v>
                </c:pt>
                <c:pt idx="17">
                  <c:v>Indonesia</c:v>
                </c:pt>
                <c:pt idx="18">
                  <c:v>Vietnam</c:v>
                </c:pt>
                <c:pt idx="19">
                  <c:v>Nicaragua</c:v>
                </c:pt>
                <c:pt idx="20">
                  <c:v>Belize</c:v>
                </c:pt>
                <c:pt idx="21">
                  <c:v>Dominican Republic</c:v>
                </c:pt>
                <c:pt idx="22">
                  <c:v>Honduras</c:v>
                </c:pt>
                <c:pt idx="23">
                  <c:v>Hawaii</c:v>
                </c:pt>
                <c:pt idx="24">
                  <c:v>Uganda</c:v>
                </c:pt>
                <c:pt idx="25">
                  <c:v>Congo</c:v>
                </c:pt>
                <c:pt idx="26">
                  <c:v>Tanzania</c:v>
                </c:pt>
                <c:pt idx="27">
                  <c:v>Philippines</c:v>
                </c:pt>
                <c:pt idx="28">
                  <c:v>Trinidad</c:v>
                </c:pt>
                <c:pt idx="29">
                  <c:v>Vanuatu</c:v>
                </c:pt>
                <c:pt idx="30">
                  <c:v>Central and S. America</c:v>
                </c:pt>
                <c:pt idx="31">
                  <c:v>Cuba</c:v>
                </c:pt>
                <c:pt idx="32">
                  <c:v>Australia</c:v>
                </c:pt>
                <c:pt idx="33">
                  <c:v>Carribean</c:v>
                </c:pt>
                <c:pt idx="34">
                  <c:v>Solomon Islands</c:v>
                </c:pt>
              </c:strCache>
            </c:strRef>
          </c:cat>
          <c:val>
            <c:numRef>
              <c:f>'top 10 origin'!$B$4:$B$39</c:f>
              <c:numCache>
                <c:formatCode>General</c:formatCode>
                <c:ptCount val="35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3.9375</c:v>
                </c:pt>
                <c:pt idx="4">
                  <c:v>3.9285714285714284</c:v>
                </c:pt>
                <c:pt idx="5">
                  <c:v>3.875</c:v>
                </c:pt>
                <c:pt idx="6">
                  <c:v>3.875</c:v>
                </c:pt>
                <c:pt idx="7">
                  <c:v>3.875</c:v>
                </c:pt>
                <c:pt idx="8">
                  <c:v>3.875</c:v>
                </c:pt>
                <c:pt idx="9">
                  <c:v>3.8657407407407409</c:v>
                </c:pt>
                <c:pt idx="10">
                  <c:v>3.8611111111111112</c:v>
                </c:pt>
                <c:pt idx="11">
                  <c:v>3.8571428571428572</c:v>
                </c:pt>
                <c:pt idx="12">
                  <c:v>3.85</c:v>
                </c:pt>
                <c:pt idx="13">
                  <c:v>3.85</c:v>
                </c:pt>
                <c:pt idx="14">
                  <c:v>3.8333333333333335</c:v>
                </c:pt>
                <c:pt idx="15">
                  <c:v>3.8303571428571428</c:v>
                </c:pt>
                <c:pt idx="16">
                  <c:v>3.8250000000000002</c:v>
                </c:pt>
                <c:pt idx="17">
                  <c:v>3.8125</c:v>
                </c:pt>
                <c:pt idx="18">
                  <c:v>3.8</c:v>
                </c:pt>
                <c:pt idx="19">
                  <c:v>3.7857142857142856</c:v>
                </c:pt>
                <c:pt idx="20">
                  <c:v>3.7857142857142856</c:v>
                </c:pt>
                <c:pt idx="21">
                  <c:v>3.7580645161290325</c:v>
                </c:pt>
                <c:pt idx="22">
                  <c:v>3.75</c:v>
                </c:pt>
                <c:pt idx="23">
                  <c:v>3.75</c:v>
                </c:pt>
                <c:pt idx="24">
                  <c:v>3.75</c:v>
                </c:pt>
                <c:pt idx="25">
                  <c:v>3.75</c:v>
                </c:pt>
                <c:pt idx="26">
                  <c:v>3.75</c:v>
                </c:pt>
                <c:pt idx="27">
                  <c:v>3.75</c:v>
                </c:pt>
                <c:pt idx="28">
                  <c:v>3.75</c:v>
                </c:pt>
                <c:pt idx="29">
                  <c:v>3.75</c:v>
                </c:pt>
                <c:pt idx="30">
                  <c:v>3.75</c:v>
                </c:pt>
                <c:pt idx="31">
                  <c:v>3.75</c:v>
                </c:pt>
                <c:pt idx="32">
                  <c:v>3.75</c:v>
                </c:pt>
                <c:pt idx="33">
                  <c:v>3.75</c:v>
                </c:pt>
                <c:pt idx="34">
                  <c:v>3.75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0404-4FB1-A4D4-33C9D0F10B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6266544"/>
        <c:axId val="606267528"/>
      </c:barChart>
      <c:catAx>
        <c:axId val="60626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267528"/>
        <c:crosses val="autoZero"/>
        <c:auto val="1"/>
        <c:lblAlgn val="ctr"/>
        <c:lblOffset val="100"/>
        <c:noMultiLvlLbl val="0"/>
      </c:catAx>
      <c:valAx>
        <c:axId val="6062675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Rating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266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65000"/>
        <a:lumOff val="35000"/>
      </a:schemeClr>
    </a:solidFill>
    <a:ln w="9525" cap="flat" cmpd="sng" algn="ctr">
      <a:solidFill>
        <a:schemeClr val="bg2">
          <a:lumMod val="90000"/>
        </a:schemeClr>
      </a:solidFill>
      <a:round/>
    </a:ln>
    <a:effectLst/>
  </c:spPr>
  <c:txPr>
    <a:bodyPr/>
    <a:lstStyle/>
    <a:p>
      <a:pPr>
        <a:defRPr>
          <a:solidFill>
            <a:schemeClr val="bg1"/>
          </a:solidFill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[flavors_of_cacao.xlsx]best chocolate bars by country!PivotTable2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2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2"/>
                </a:solidFill>
              </a:rPr>
              <a:t>Top 10 Countries with top rated bars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tx2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4"/>
        <c:spPr>
          <a:solidFill>
            <a:schemeClr val="tx2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5"/>
        <c:spPr>
          <a:solidFill>
            <a:schemeClr val="tx2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6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7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9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1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5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6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7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19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1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5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6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7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29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1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tx2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36"/>
        <c:spPr>
          <a:solidFill>
            <a:schemeClr val="tx2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37"/>
        <c:spPr>
          <a:solidFill>
            <a:schemeClr val="tx2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3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39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4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41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4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4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4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tx2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47"/>
        <c:spPr>
          <a:solidFill>
            <a:schemeClr val="tx2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48"/>
        <c:spPr>
          <a:solidFill>
            <a:schemeClr val="tx2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49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1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55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'best chocolate bars by country'!$B$3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2BC-4627-86D2-C0E0BCF88EA0}"/>
              </c:ext>
            </c:extLst>
          </c:dPt>
          <c:dPt>
            <c:idx val="1"/>
            <c:invertIfNegative val="0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2BC-4627-86D2-C0E0BCF88EA0}"/>
              </c:ext>
            </c:extLst>
          </c:dPt>
          <c:dPt>
            <c:idx val="2"/>
            <c:invertIfNegative val="0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32BC-4627-86D2-C0E0BCF88EA0}"/>
              </c:ext>
            </c:extLst>
          </c:dPt>
          <c:dPt>
            <c:idx val="3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32BC-4627-86D2-C0E0BCF88EA0}"/>
              </c:ext>
            </c:extLst>
          </c:dPt>
          <c:dPt>
            <c:idx val="4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32BC-4627-86D2-C0E0BCF88EA0}"/>
              </c:ext>
            </c:extLst>
          </c:dPt>
          <c:dPt>
            <c:idx val="5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32BC-4627-86D2-C0E0BCF88EA0}"/>
              </c:ext>
            </c:extLst>
          </c:dPt>
          <c:dPt>
            <c:idx val="6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32BC-4627-86D2-C0E0BCF88EA0}"/>
              </c:ext>
            </c:extLst>
          </c:dPt>
          <c:dPt>
            <c:idx val="7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32BC-4627-86D2-C0E0BCF88EA0}"/>
              </c:ext>
            </c:extLst>
          </c:dPt>
          <c:dPt>
            <c:idx val="8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32BC-4627-86D2-C0E0BCF88EA0}"/>
              </c:ext>
            </c:extLst>
          </c:dPt>
          <c:dPt>
            <c:idx val="9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32BC-4627-86D2-C0E0BCF88EA0}"/>
              </c:ext>
            </c:extLst>
          </c:dPt>
          <c:cat>
            <c:strRef>
              <c:f>'best chocolate bars by country'!$A$4:$A$14</c:f>
              <c:strCache>
                <c:ptCount val="10"/>
                <c:pt idx="0">
                  <c:v>U.S.A.</c:v>
                </c:pt>
                <c:pt idx="1">
                  <c:v>France</c:v>
                </c:pt>
                <c:pt idx="2">
                  <c:v>Canada</c:v>
                </c:pt>
                <c:pt idx="3">
                  <c:v>Australia</c:v>
                </c:pt>
                <c:pt idx="4">
                  <c:v>U.K.</c:v>
                </c:pt>
                <c:pt idx="5">
                  <c:v>Italy</c:v>
                </c:pt>
                <c:pt idx="6">
                  <c:v>Switzerland</c:v>
                </c:pt>
                <c:pt idx="7">
                  <c:v>Belgium</c:v>
                </c:pt>
                <c:pt idx="8">
                  <c:v>Scotland</c:v>
                </c:pt>
                <c:pt idx="9">
                  <c:v>Ecuador</c:v>
                </c:pt>
              </c:strCache>
            </c:strRef>
          </c:cat>
          <c:val>
            <c:numRef>
              <c:f>'best chocolate bars by country'!$B$4:$B$14</c:f>
              <c:numCache>
                <c:formatCode>0.00%</c:formatCode>
                <c:ptCount val="10"/>
                <c:pt idx="0">
                  <c:v>0.43983402489626555</c:v>
                </c:pt>
                <c:pt idx="1">
                  <c:v>0.15352697095435686</c:v>
                </c:pt>
                <c:pt idx="2">
                  <c:v>0.11203319502074689</c:v>
                </c:pt>
                <c:pt idx="3">
                  <c:v>5.8091286307053944E-2</c:v>
                </c:pt>
                <c:pt idx="4">
                  <c:v>5.3941908713692949E-2</c:v>
                </c:pt>
                <c:pt idx="5">
                  <c:v>5.3941908713692949E-2</c:v>
                </c:pt>
                <c:pt idx="6">
                  <c:v>4.9792531120331947E-2</c:v>
                </c:pt>
                <c:pt idx="7">
                  <c:v>3.7344398340248962E-2</c:v>
                </c:pt>
                <c:pt idx="8">
                  <c:v>2.0746887966804978E-2</c:v>
                </c:pt>
                <c:pt idx="9">
                  <c:v>2.0746887966804978E-2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32BC-4627-86D2-C0E0BCF88E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2678720"/>
        <c:axId val="512685936"/>
      </c:barChart>
      <c:catAx>
        <c:axId val="51267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685936"/>
        <c:crosses val="autoZero"/>
        <c:auto val="1"/>
        <c:lblAlgn val="ctr"/>
        <c:lblOffset val="100"/>
        <c:noMultiLvlLbl val="0"/>
      </c:catAx>
      <c:valAx>
        <c:axId val="5126859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Rating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678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65000"/>
        <a:lumOff val="3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bg1"/>
          </a:solidFill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Cocoa Solid Percentage vs</a:t>
            </a:r>
            <a:r>
              <a:rPr lang="en-US" baseline="0"/>
              <a:t> </a:t>
            </a:r>
            <a:r>
              <a:rPr lang="en-US"/>
              <a:t>Rating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'Rating vs Percentage Solid'!$E$3</c:f>
              <c:strCache>
                <c:ptCount val="1"/>
                <c:pt idx="0">
                  <c:v>Avera=ge of Rating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bg2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'Rating vs Percentage Solid'!$D$4:$D$46</c:f>
              <c:numCache>
                <c:formatCode>0%</c:formatCode>
                <c:ptCount val="43"/>
                <c:pt idx="0">
                  <c:v>0.42</c:v>
                </c:pt>
                <c:pt idx="1">
                  <c:v>0.5</c:v>
                </c:pt>
                <c:pt idx="2">
                  <c:v>0.53</c:v>
                </c:pt>
                <c:pt idx="3">
                  <c:v>0.55000000000000004</c:v>
                </c:pt>
                <c:pt idx="4">
                  <c:v>0.56000000000000005</c:v>
                </c:pt>
                <c:pt idx="5">
                  <c:v>0.56999999999999995</c:v>
                </c:pt>
                <c:pt idx="6">
                  <c:v>0.57999999999999996</c:v>
                </c:pt>
                <c:pt idx="7">
                  <c:v>0.6</c:v>
                </c:pt>
                <c:pt idx="8">
                  <c:v>0.60499999999999998</c:v>
                </c:pt>
                <c:pt idx="9">
                  <c:v>0.61</c:v>
                </c:pt>
                <c:pt idx="10">
                  <c:v>0.62</c:v>
                </c:pt>
                <c:pt idx="11">
                  <c:v>0.63</c:v>
                </c:pt>
                <c:pt idx="12">
                  <c:v>0.64</c:v>
                </c:pt>
                <c:pt idx="13">
                  <c:v>0.65</c:v>
                </c:pt>
                <c:pt idx="14">
                  <c:v>0.66</c:v>
                </c:pt>
                <c:pt idx="15">
                  <c:v>0.67</c:v>
                </c:pt>
                <c:pt idx="16">
                  <c:v>0.68</c:v>
                </c:pt>
                <c:pt idx="17">
                  <c:v>0.69</c:v>
                </c:pt>
                <c:pt idx="18">
                  <c:v>0.7</c:v>
                </c:pt>
                <c:pt idx="19">
                  <c:v>0.71</c:v>
                </c:pt>
                <c:pt idx="20">
                  <c:v>0.72</c:v>
                </c:pt>
                <c:pt idx="21">
                  <c:v>0.72499999999999998</c:v>
                </c:pt>
                <c:pt idx="22">
                  <c:v>0.73</c:v>
                </c:pt>
                <c:pt idx="23">
                  <c:v>0.73499999999999999</c:v>
                </c:pt>
                <c:pt idx="24">
                  <c:v>0.74</c:v>
                </c:pt>
                <c:pt idx="25">
                  <c:v>0.75</c:v>
                </c:pt>
                <c:pt idx="26">
                  <c:v>0.76</c:v>
                </c:pt>
                <c:pt idx="27">
                  <c:v>0.77</c:v>
                </c:pt>
                <c:pt idx="28">
                  <c:v>0.78</c:v>
                </c:pt>
                <c:pt idx="29">
                  <c:v>0.79</c:v>
                </c:pt>
                <c:pt idx="30">
                  <c:v>0.8</c:v>
                </c:pt>
                <c:pt idx="31">
                  <c:v>0.81</c:v>
                </c:pt>
                <c:pt idx="32">
                  <c:v>0.82</c:v>
                </c:pt>
                <c:pt idx="33">
                  <c:v>0.83</c:v>
                </c:pt>
                <c:pt idx="34">
                  <c:v>0.84</c:v>
                </c:pt>
                <c:pt idx="35">
                  <c:v>0.85</c:v>
                </c:pt>
                <c:pt idx="36">
                  <c:v>0.86</c:v>
                </c:pt>
                <c:pt idx="37">
                  <c:v>0.87</c:v>
                </c:pt>
                <c:pt idx="38">
                  <c:v>0.88</c:v>
                </c:pt>
                <c:pt idx="39">
                  <c:v>0.89</c:v>
                </c:pt>
                <c:pt idx="40">
                  <c:v>0.9</c:v>
                </c:pt>
                <c:pt idx="41">
                  <c:v>0.91</c:v>
                </c:pt>
                <c:pt idx="42">
                  <c:v>1</c:v>
                </c:pt>
              </c:numCache>
            </c:numRef>
          </c:xVal>
          <c:yVal>
            <c:numRef>
              <c:f>'Rating vs Percentage Solid'!$E$4:$E$46</c:f>
              <c:numCache>
                <c:formatCode>General</c:formatCode>
                <c:ptCount val="43"/>
                <c:pt idx="0">
                  <c:v>3</c:v>
                </c:pt>
                <c:pt idx="1">
                  <c:v>3.75</c:v>
                </c:pt>
                <c:pt idx="2">
                  <c:v>2</c:v>
                </c:pt>
                <c:pt idx="3">
                  <c:v>2.78571428571429</c:v>
                </c:pt>
                <c:pt idx="4">
                  <c:v>3</c:v>
                </c:pt>
                <c:pt idx="5">
                  <c:v>3</c:v>
                </c:pt>
                <c:pt idx="6">
                  <c:v>2.6666666666666665</c:v>
                </c:pt>
                <c:pt idx="7">
                  <c:v>2.8888888888888888</c:v>
                </c:pt>
                <c:pt idx="8">
                  <c:v>3</c:v>
                </c:pt>
                <c:pt idx="9">
                  <c:v>2.6</c:v>
                </c:pt>
                <c:pt idx="10">
                  <c:v>2.8611111111111112</c:v>
                </c:pt>
                <c:pt idx="11">
                  <c:v>3.4772727272727271</c:v>
                </c:pt>
                <c:pt idx="12">
                  <c:v>3.088709677419355</c:v>
                </c:pt>
                <c:pt idx="13">
                  <c:v>2.9486301369863015</c:v>
                </c:pt>
                <c:pt idx="14">
                  <c:v>3.125</c:v>
                </c:pt>
                <c:pt idx="15">
                  <c:v>3.24</c:v>
                </c:pt>
                <c:pt idx="16">
                  <c:v>3.2159090909090908</c:v>
                </c:pt>
                <c:pt idx="17">
                  <c:v>3.35</c:v>
                </c:pt>
                <c:pt idx="18">
                  <c:v>3.1049528301886791</c:v>
                </c:pt>
                <c:pt idx="19">
                  <c:v>2.8870967741935485</c:v>
                </c:pt>
                <c:pt idx="20">
                  <c:v>3.0653409090909092</c:v>
                </c:pt>
                <c:pt idx="21">
                  <c:v>2.5</c:v>
                </c:pt>
                <c:pt idx="22">
                  <c:v>2.9934210526315788</c:v>
                </c:pt>
                <c:pt idx="23">
                  <c:v>2</c:v>
                </c:pt>
                <c:pt idx="24">
                  <c:v>3.0957446808510638</c:v>
                </c:pt>
                <c:pt idx="25">
                  <c:v>3.0275119617224879</c:v>
                </c:pt>
                <c:pt idx="26">
                  <c:v>2.7717391304347827</c:v>
                </c:pt>
                <c:pt idx="27">
                  <c:v>2.9545454545454546</c:v>
                </c:pt>
                <c:pt idx="28">
                  <c:v>3.125</c:v>
                </c:pt>
                <c:pt idx="29">
                  <c:v>3</c:v>
                </c:pt>
                <c:pt idx="30">
                  <c:v>2.953846153846154</c:v>
                </c:pt>
                <c:pt idx="31">
                  <c:v>2.8</c:v>
                </c:pt>
                <c:pt idx="32">
                  <c:v>2.921875</c:v>
                </c:pt>
                <c:pt idx="33">
                  <c:v>3</c:v>
                </c:pt>
                <c:pt idx="34">
                  <c:v>2.5</c:v>
                </c:pt>
                <c:pt idx="35">
                  <c:v>2.875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2.5</c:v>
                </c:pt>
                <c:pt idx="40">
                  <c:v>2.84375</c:v>
                </c:pt>
                <c:pt idx="41">
                  <c:v>1.5</c:v>
                </c:pt>
                <c:pt idx="42">
                  <c:v>2.375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59-43DE-B599-30EBD71248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0336240"/>
        <c:axId val="610343784"/>
      </c:scatterChart>
      <c:valAx>
        <c:axId val="610336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Cocoa Solid Percentage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43784"/>
        <c:crosses val="autoZero"/>
        <c:crossBetween val="midCat"/>
      </c:valAx>
      <c:valAx>
        <c:axId val="610343784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Rating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36240"/>
        <c:crosses val="autoZero"/>
        <c:crossBetween val="midCat"/>
      </c:valAx>
      <c:spPr>
        <a:solidFill>
          <a:schemeClr val="tx1">
            <a:lumMod val="65000"/>
            <a:lumOff val="35000"/>
          </a:schemeClr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65000"/>
        <a:lumOff val="3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bg1"/>
          </a:solidFill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[flavors_of_cacao.xlsx]ORIGIN PERCENT!PivotTable1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Origin of Cocoa bean by country</a:t>
            </a:r>
          </a:p>
        </c:rich>
      </c:tx>
      <c:layout>
        <c:manualLayout>
          <c:xMode val="edge"/>
          <c:yMode val="edge"/>
          <c:x val="8.5679555418701148E-2"/>
          <c:y val="1.32890365448504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</c:pivotFmt>
      <c:pivotFmt>
        <c:idx val="4"/>
        <c:spPr>
          <a:solidFill>
            <a:schemeClr val="tx2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5"/>
        <c:spPr>
          <a:solidFill>
            <a:schemeClr val="bg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tx2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7"/>
        <c:spPr>
          <a:solidFill>
            <a:schemeClr val="bg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tx2">
              <a:lumMod val="40000"/>
              <a:lumOff val="60000"/>
            </a:schemeClr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'ORIGIN PERCENT'!$B$2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dPt>
            <c:idx val="8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0A7-4F69-AD54-A917AD1A50C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'ORIGIN PERCENT'!$A$3:$A$13</c:f>
              <c:strCache>
                <c:ptCount val="10"/>
                <c:pt idx="0">
                  <c:v>Papua New Guinea</c:v>
                </c:pt>
                <c:pt idx="1">
                  <c:v>Belize</c:v>
                </c:pt>
                <c:pt idx="2">
                  <c:v>Bolivia</c:v>
                </c:pt>
                <c:pt idx="3">
                  <c:v>Brazil</c:v>
                </c:pt>
                <c:pt idx="4">
                  <c:v>Nicaragua</c:v>
                </c:pt>
                <c:pt idx="5">
                  <c:v>Madagascar</c:v>
                </c:pt>
                <c:pt idx="6">
                  <c:v>Peru</c:v>
                </c:pt>
                <c:pt idx="7">
                  <c:v>Dominican Republic</c:v>
                </c:pt>
                <c:pt idx="8">
                  <c:v>Ecuador</c:v>
                </c:pt>
                <c:pt idx="9">
                  <c:v>Venezuela</c:v>
                </c:pt>
              </c:strCache>
            </c:strRef>
          </c:cat>
          <c:val>
            <c:numRef>
              <c:f>'ORIGIN PERCENT'!$B$3:$B$13</c:f>
              <c:numCache>
                <c:formatCode>0.00%</c:formatCode>
                <c:ptCount val="10"/>
                <c:pt idx="0">
                  <c:v>2.5149700598802376E-2</c:v>
                </c:pt>
                <c:pt idx="1">
                  <c:v>2.9341317365269431E-2</c:v>
                </c:pt>
                <c:pt idx="2">
                  <c:v>3.413173652694608E-2</c:v>
                </c:pt>
                <c:pt idx="3">
                  <c:v>3.4730538922155663E-2</c:v>
                </c:pt>
                <c:pt idx="4">
                  <c:v>3.5928143712574828E-2</c:v>
                </c:pt>
                <c:pt idx="5">
                  <c:v>8.6826347305389365E-2</c:v>
                </c:pt>
                <c:pt idx="6">
                  <c:v>9.880239520958102E-2</c:v>
                </c:pt>
                <c:pt idx="7">
                  <c:v>9.9401197604790603E-2</c:v>
                </c:pt>
                <c:pt idx="8">
                  <c:v>0.11556886227544934</c:v>
                </c:pt>
                <c:pt idx="9">
                  <c:v>0.12814371257485049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A7-4F69-AD54-A917AD1A50C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97919912"/>
        <c:axId val="597920568"/>
      </c:barChart>
      <c:catAx>
        <c:axId val="597919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920568"/>
        <c:crosses val="autoZero"/>
        <c:auto val="1"/>
        <c:lblAlgn val="ctr"/>
        <c:lblOffset val="100"/>
        <c:noMultiLvlLbl val="0"/>
      </c:catAx>
      <c:valAx>
        <c:axId val="597920568"/>
        <c:scaling>
          <c:orientation val="minMax"/>
        </c:scaling>
        <c:delete val="1"/>
        <c:axPos val="b"/>
        <c:numFmt formatCode="0.00%" sourceLinked="1"/>
        <c:majorTickMark val="none"/>
        <c:minorTickMark val="none"/>
        <c:tickLblPos val="nextTo"/>
        <c:crossAx val="597919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65000"/>
        <a:lumOff val="3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bg1"/>
          </a:solidFill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[flavors_of_cacao.xlsx]Country produced percentage!PivotTable1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>
                    <a:lumMod val="9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</a:t>
            </a:r>
            <a:r>
              <a:rPr lang="en-US" baseline="0"/>
              <a:t>Chocolate bars producing Countries</a:t>
            </a:r>
          </a:p>
        </c:rich>
      </c:tx>
      <c:layout>
        <c:manualLayout>
          <c:xMode val="edge"/>
          <c:yMode val="edge"/>
          <c:x val="2.5145669291338574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>
                      <a:lumMod val="9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tx2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>
                      <a:lumMod val="9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tx2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6"/>
        <c:spPr>
          <a:solidFill>
            <a:schemeClr val="bg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>
                      <a:lumMod val="9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tx2">
              <a:lumMod val="40000"/>
              <a:lumOff val="60000"/>
            </a:schemeClr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'Country produced percentage'!$B$2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dPt>
            <c:idx val="5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565-4ED9-BBDA-16FE870FA33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bg1">
                        <a:lumMod val="9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'Country produced percentage'!$A$3:$A$13</c:f>
              <c:strCache>
                <c:ptCount val="10"/>
                <c:pt idx="0">
                  <c:v>Germany</c:v>
                </c:pt>
                <c:pt idx="1">
                  <c:v>Belgium</c:v>
                </c:pt>
                <c:pt idx="2">
                  <c:v>Switzerland</c:v>
                </c:pt>
                <c:pt idx="3">
                  <c:v>Australia</c:v>
                </c:pt>
                <c:pt idx="4">
                  <c:v>Italy</c:v>
                </c:pt>
                <c:pt idx="5">
                  <c:v>Ecuador</c:v>
                </c:pt>
                <c:pt idx="6">
                  <c:v>U.K.</c:v>
                </c:pt>
                <c:pt idx="7">
                  <c:v>Canada</c:v>
                </c:pt>
                <c:pt idx="8">
                  <c:v>France</c:v>
                </c:pt>
                <c:pt idx="9">
                  <c:v>U.S.A.</c:v>
                </c:pt>
              </c:strCache>
            </c:strRef>
          </c:cat>
          <c:val>
            <c:numRef>
              <c:f>'Country produced percentage'!$B$3:$B$13</c:f>
              <c:numCache>
                <c:formatCode>0.00%</c:formatCode>
                <c:ptCount val="10"/>
                <c:pt idx="0">
                  <c:v>2.0359281437125742E-2</c:v>
                </c:pt>
                <c:pt idx="1">
                  <c:v>2.0958083832335321E-2</c:v>
                </c:pt>
                <c:pt idx="2">
                  <c:v>2.0958083832335321E-2</c:v>
                </c:pt>
                <c:pt idx="3">
                  <c:v>2.6347305389221535E-2</c:v>
                </c:pt>
                <c:pt idx="4">
                  <c:v>3.1137724550898169E-2</c:v>
                </c:pt>
                <c:pt idx="5">
                  <c:v>3.2335329341317331E-2</c:v>
                </c:pt>
                <c:pt idx="6">
                  <c:v>5.6886227544910226E-2</c:v>
                </c:pt>
                <c:pt idx="7">
                  <c:v>6.4071856287425219E-2</c:v>
                </c:pt>
                <c:pt idx="8">
                  <c:v>8.143712574850312E-2</c:v>
                </c:pt>
                <c:pt idx="9">
                  <c:v>0.43113772455090077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565-4ED9-BBDA-16FE870FA33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834253024"/>
        <c:axId val="834259256"/>
      </c:barChart>
      <c:catAx>
        <c:axId val="8342530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>
                    <a:lumMod val="9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259256"/>
        <c:crosses val="autoZero"/>
        <c:auto val="1"/>
        <c:lblAlgn val="ctr"/>
        <c:lblOffset val="100"/>
        <c:noMultiLvlLbl val="0"/>
      </c:catAx>
      <c:valAx>
        <c:axId val="834259256"/>
        <c:scaling>
          <c:orientation val="minMax"/>
        </c:scaling>
        <c:delete val="1"/>
        <c:axPos val="b"/>
        <c:numFmt formatCode="0.00%" sourceLinked="1"/>
        <c:majorTickMark val="none"/>
        <c:minorTickMark val="none"/>
        <c:tickLblPos val="nextTo"/>
        <c:crossAx val="834253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65000"/>
        <a:lumOff val="3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bg1">
              <a:lumMod val="95000"/>
            </a:schemeClr>
          </a:solidFill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[flavors_of_cacao.xlsx]bean quality segmentation!PivotTable2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Quantity of bean by Rating</a:t>
            </a:r>
          </a:p>
        </c:rich>
      </c:tx>
      <c:layout>
        <c:manualLayout>
          <c:xMode val="edge"/>
          <c:yMode val="edge"/>
          <c:x val="0.17852010998983961"/>
          <c:y val="3.6697247706422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tx2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tx2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tx2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'bean quality segmentation'!$B$3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58-4500-999B-251F20EE4D1B}"/>
              </c:ext>
            </c:extLst>
          </c:dPt>
          <c:dPt>
            <c:idx val="4"/>
            <c:invertIfNegative val="0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2D58-4500-999B-251F20EE4D1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bg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'bean quality segmentation'!$A$4:$A$10</c:f>
              <c:strCache>
                <c:ptCount val="6"/>
                <c:pt idx="0">
                  <c:v>Elite</c:v>
                </c:pt>
                <c:pt idx="1">
                  <c:v>Unpleasant</c:v>
                </c:pt>
                <c:pt idx="2">
                  <c:v>Premium</c:v>
                </c:pt>
                <c:pt idx="3">
                  <c:v>Dissapointing</c:v>
                </c:pt>
                <c:pt idx="4">
                  <c:v>Praiseworthy</c:v>
                </c:pt>
                <c:pt idx="5">
                  <c:v>Satisfactory</c:v>
                </c:pt>
              </c:strCache>
            </c:strRef>
          </c:cat>
          <c:val>
            <c:numRef>
              <c:f>'bean quality segmentation'!$B$4:$B$10</c:f>
              <c:numCache>
                <c:formatCode>General</c:formatCode>
                <c:ptCount val="6"/>
                <c:pt idx="0">
                  <c:v>1</c:v>
                </c:pt>
                <c:pt idx="1">
                  <c:v>6</c:v>
                </c:pt>
                <c:pt idx="2">
                  <c:v>89</c:v>
                </c:pt>
                <c:pt idx="3">
                  <c:v>162</c:v>
                </c:pt>
                <c:pt idx="4">
                  <c:v>196</c:v>
                </c:pt>
                <c:pt idx="5">
                  <c:v>1216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58-4500-999B-251F20EE4D1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605124616"/>
        <c:axId val="605121664"/>
      </c:barChart>
      <c:catAx>
        <c:axId val="6051246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121664"/>
        <c:crosses val="autoZero"/>
        <c:auto val="1"/>
        <c:lblAlgn val="ctr"/>
        <c:lblOffset val="100"/>
        <c:noMultiLvlLbl val="0"/>
      </c:catAx>
      <c:valAx>
        <c:axId val="6051216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05124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75000"/>
        <a:lumOff val="2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bg1">
              <a:lumMod val="85000"/>
            </a:schemeClr>
          </a:solidFill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ponmile</cp:lastModifiedBy>
  <cp:revision>18</cp:revision>
  <dcterms:created xsi:type="dcterms:W3CDTF">2023-01-21T20:22:00Z</dcterms:created>
  <dcterms:modified xsi:type="dcterms:W3CDTF">2023-01-23T03:38:00Z</dcterms:modified>
</cp:coreProperties>
</file>