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</w:pPr>
      <w:r>
        <w:rPr>
          <w:b/>
          <w:bCs/>
          <w:color w:val="1C7293"/>
          <w:sz w:val="20"/>
          <w:szCs w:val="20"/>
        </w:rPr>
        <w:t xml:space="preserve">AI x CITY CLIMATE ACTION HACKATHON 2026</w:t>
      </w:r>
    </w:p>
    <w:p>
      <w:pPr>
        <w:spacing w:after="200"/>
      </w:pPr>
      <w:r>
        <w:rPr>
          <w:b/>
          <w:bCs/>
          <w:color w:val="0B2545"/>
          <w:sz w:val="64"/>
          <w:szCs w:val="64"/>
        </w:rPr>
        <w:t xml:space="preserve">EVSwap</w:t>
      </w:r>
    </w:p>
    <w:p>
      <w:pPr>
        <w:spacing w:after="60"/>
      </w:pPr>
      <w:r>
        <w:rPr>
          <w:b/>
          <w:bCs/>
          <w:color w:val="1C7293"/>
          <w:sz w:val="32"/>
          <w:szCs w:val="32"/>
        </w:rPr>
        <w:t xml:space="preserve">6-Month Pilot Plan</w:t>
      </w:r>
    </w:p>
    <w:p>
      <w:pPr>
        <w:spacing w:after="500"/>
      </w:pPr>
      <w:r>
        <w:rPr>
          <w:i/>
          <w:iCs/>
          <w:color w:val="5C6B7A"/>
          <w:sz w:val="22"/>
          <w:szCs w:val="22"/>
        </w:rPr>
        <w:t xml:space="preserve">AI-guided e-mobility charging/swap siting for Nairobi — from a ranked pipeline to built infrastructure serving over a million residents.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Submitted by:</w:t>
      </w:r>
    </w:p>
    <w:p>
      <w:pPr>
        <w:spacing w:after="20"/>
      </w:pPr>
      <w:r>
        <w:rPr>
          <w:sz w:val="20"/>
          <w:szCs w:val="20"/>
        </w:rPr>
        <w:t xml:space="preserve">Priscila Adhiambo — GIS Engineer / Urban Planner</w:t>
      </w:r>
    </w:p>
    <w:p>
      <w:pPr>
        <w:spacing w:after="20"/>
      </w:pPr>
      <w:r>
        <w:rPr>
          <w:sz w:val="20"/>
          <w:szCs w:val="20"/>
        </w:rPr>
        <w:t xml:space="preserve">Fauzia Omala — Software Engineer</w:t>
      </w:r>
    </w:p>
    <w:p>
      <w:pPr>
        <w:spacing w:after="20"/>
      </w:pPr>
      <w:r>
        <w:rPr>
          <w:sz w:val="20"/>
          <w:szCs w:val="20"/>
        </w:rPr>
        <w:t xml:space="preserve">Chibuike Nwafor — AI/ML Engineer</w:t>
      </w:r>
    </w:p>
    <w:p>
      <w:pPr>
        <w:spacing w:after="20"/>
      </w:pPr>
      <w:r>
        <w:rPr>
          <w:sz w:val="20"/>
          <w:szCs w:val="20"/>
        </w:rPr>
        <w:t xml:space="preserve">Benard Kimani — Software Engineer</w:t>
      </w:r>
    </w:p>
    <w:p>
      <w:pPr>
        <w:spacing w:after="20"/>
      </w:pPr>
      <w:r>
        <w:rPr>
          <w:sz w:val="20"/>
          <w:szCs w:val="20"/>
        </w:rPr>
        <w:t xml:space="preserve">Lynne Adhiambo — Urban Designer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B2545"/>
          <w:sz w:val="30"/>
          <w:szCs w:val="30"/>
        </w:rPr>
        <w:t xml:space="preserve">1. Overview &amp; Objective</w:t>
      </w:r>
    </w:p>
    <w:p>
      <w:pPr>
        <w:spacing w:after="160"/>
      </w:pPr>
      <w:r>
        <w:rPr>
          <w:i w:val="false"/>
          <w:iCs w:val="false"/>
          <w:color w:val="1A2332"/>
          <w:sz w:val="22"/>
          <w:szCs w:val="22"/>
        </w:rPr>
        <w:t xml:space="preserve">This Pilot Plan operationalizes the top-20 site recommendations produced by the EVSwap need-analysis pipeline into built, physical e-mobility charging and swap infrastructure across Nairobi, over a 6-month period.</w:t>
      </w:r>
    </w:p>
    <w:p>
      <w:pPr>
        <w:spacing w:after="160"/>
      </w:pPr>
      <w:r>
        <w:rPr>
          <w:i w:val="false"/>
          <w:iCs w:val="false"/>
          <w:color w:val="1A2332"/>
          <w:sz w:val="22"/>
          <w:szCs w:val="22"/>
        </w:rPr>
        <w:t xml:space="preserve">The pipeline has already identified, ranked, and phased these sites using verified population, transit-frequency, and existing-infrastructure data. This plan converts that ranked list into a concrete sequence of on-ground activities — site verification, stakeholder engagement, permitting, procurement, and installation — organized into three 2-month blocks aligned to the pipeline's own Phase 1 prioritization.</w:t>
      </w:r>
    </w:p>
    <w:p>
      <w:pPr>
        <w:spacing w:after="160"/>
      </w:pPr>
      <w:r>
        <w:rPr>
          <w:i w:val="false"/>
          <w:iCs w:val="false"/>
          <w:color w:val="1A2332"/>
          <w:sz w:val="22"/>
          <w:szCs w:val="22"/>
        </w:rPr>
        <w:t xml:space="preserve">Primary objective: validate and begin construction on the 20 highest-need sites, directly serving an estimated 1,004,338 residents today (growing to ~1.19M by mid-2026), while proving the pipeline's replicability for future phases and other cities.</w:t>
      </w:r>
    </w:p>
    <w:p>
      <w:pPr>
        <w:pStyle w:val="Heading1"/>
        <w:spacing w:after="160" w:before="360"/>
      </w:pPr>
      <w:r>
        <w:rPr>
          <w:b/>
          <w:bCs/>
          <w:color w:val="0B2545"/>
          <w:sz w:val="30"/>
          <w:szCs w:val="30"/>
        </w:rPr>
        <w:t xml:space="preserve">2. Team &amp; Roles</w:t>
      </w:r>
    </w:p>
    <w:p>
      <w:pPr>
        <w:spacing w:after="160"/>
      </w:pPr>
      <w:r>
        <w:rPr>
          <w:i w:val="false"/>
          <w:iCs w:val="false"/>
          <w:color w:val="1A2332"/>
          <w:sz w:val="22"/>
          <w:szCs w:val="22"/>
        </w:rPr>
        <w:t xml:space="preserve">A five-person core team, spanning the technical pipeline, the two decision-support applications (planner dashboard and EVSwap driver app), and on-ground urban design and planning liaison.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shd w:fill="0B25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shd w:fill="0B25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560"/>
            <w:shd w:fill="0B25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Pilot Responsibilities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Priscila Adhiambo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GIS Engineer / Urban Planner</w:t>
            </w:r>
          </w:p>
        </w:tc>
        <w:tc>
          <w:tcPr>
            <w:tcW w:type="dxa" w:w="4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Leads on-ground site verification for all 20 sites; liaises with Nairobi City County planning &amp; transport departments on land tenure, zoning, and permitting; validates H3/GIS outputs against surveyed ground truth.</w:t>
            </w:r>
          </w:p>
        </w:tc>
      </w:tr>
      <w:tr>
        <w:tc>
          <w:tcPr>
            <w:tcW w:type="dxa" w:w="2600"/>
            <w:shd w:fill="F0F4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Fauzia Omala</w:t>
            </w:r>
          </w:p>
        </w:tc>
        <w:tc>
          <w:tcPr>
            <w:tcW w:type="dxa" w:w="2200"/>
            <w:shd w:fill="F0F4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Software Engineer</w:t>
            </w:r>
          </w:p>
        </w:tc>
        <w:tc>
          <w:tcPr>
            <w:tcW w:type="dxa" w:w="4560"/>
            <w:shd w:fill="F0F4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Maintains and hardens the OpenLayers/Kepler decision-support dashboard for county planner use; keeps the data pipeline (GTFS, WorldPop, infra refresh) reliable as new stations come online.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Chibuike Nwafor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AI/ML Engineer</w:t>
            </w:r>
          </w:p>
        </w:tc>
        <w:tc>
          <w:tcPr>
            <w:tcW w:type="dxa" w:w="4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Owns the need-score and growth-forecast models; refreshes LLM-generated site rationales as pilot data updates; monitors for model drift as verified infrastructure changes coverage_norm.</w:t>
            </w:r>
          </w:p>
        </w:tc>
      </w:tr>
      <w:tr>
        <w:tc>
          <w:tcPr>
            <w:tcW w:type="dxa" w:w="2600"/>
            <w:shd w:fill="F0F4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Benard Kimani</w:t>
            </w:r>
          </w:p>
        </w:tc>
        <w:tc>
          <w:tcPr>
            <w:tcW w:type="dxa" w:w="2200"/>
            <w:shd w:fill="F0F4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Software Engineer</w:t>
            </w:r>
          </w:p>
        </w:tc>
        <w:tc>
          <w:tcPr>
            <w:tcW w:type="dxa" w:w="4560"/>
            <w:shd w:fill="F0F4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Builds and deploys the EVSwap driver-facing app; integrates newly-verified pilot stations into live station data; manages the driver-facing beta and public release.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Lynne Adhiambo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Urban Designer</w:t>
            </w:r>
          </w:p>
        </w:tc>
        <w:tc>
          <w:tcPr>
            <w:tcW w:type="dxa" w:w="4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Leads community and stakeholder engagement at each site; develops placemaking/accessibility/safety guidelines for physical installations; coordinates resident and operator feedback sessions.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B2545"/>
          <w:sz w:val="30"/>
          <w:szCs w:val="30"/>
        </w:rPr>
        <w:t xml:space="preserve">3. 6-Month Timeline</w:t>
      </w:r>
    </w:p>
    <w:p>
      <w:pPr>
        <w:spacing w:after="160"/>
      </w:pPr>
      <w:r>
        <w:rPr>
          <w:i w:val="false"/>
          <w:iCs w:val="false"/>
          <w:color w:val="1A2332"/>
          <w:sz w:val="22"/>
          <w:szCs w:val="22"/>
        </w:rPr>
        <w:t xml:space="preserve">The rollout follows the pipeline's own phasing: the 20 Phase-1 (“needed now”) sites are split into three 2-month blocks by need-score rank, so the highest-need, highest-population sites are validated and built first.</w:t>
      </w:r>
    </w:p>
    <w:p>
      <w:pPr>
        <w:pStyle w:val="Heading2"/>
        <w:spacing w:after="120" w:before="260"/>
      </w:pPr>
      <w:r>
        <w:rPr>
          <w:b/>
          <w:bCs/>
          <w:color w:val="1C7293"/>
          <w:sz w:val="24"/>
          <w:szCs w:val="24"/>
        </w:rPr>
        <w:t xml:space="preserve">Months 1–2 — 7 Sites (Highest Need)</w:t>
      </w:r>
    </w:p>
    <w:p>
      <w:pPr>
        <w:spacing w:after="160"/>
      </w:pPr>
      <w:r>
        <w:rPr>
          <w:i w:val="false"/>
          <w:iCs w:val="false"/>
          <w:color w:val="1A2332"/>
          <w:sz w:val="22"/>
          <w:szCs w:val="22"/>
        </w:rPr>
        <w:t xml:space="preserve">Focus: partner alignment, ground-truthing the top-ranked sites, and hardening both applications ahead of scale.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Kickoff &amp; partner alignment: confirm engagement with Nairobi City County transport department and relevant operators (Roam, BasiGo, Ampersand) for the 7 highest-ranked sites.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On-ground site verification survey for all 7 sites (Priscila) — confirm land availability, grid-connection feasibility, and land tenure against the pipeline's centroid recommendations.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Community and stakeholder engagement sessions at each site (Lynne) — resident and operator feedback, informal-settlement input where applicable.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Finalize siting specifications and submit permitting applications for the 7 sites.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Harden the OpenLayers/Kepler decision-support dashboard for handoff to county planners (Fauzia); refresh the need-score model with any newly-verified infrastructure (Chibuike).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Begin EVSwap driver-app build-out, integrating the first verified stations into live station data (Benard).</w:t>
      </w:r>
    </w:p>
    <w:p>
      <w:pPr>
        <w:spacing w:after="160"/>
      </w:pPr>
      <w:r>
        <w:rPr>
          <w:i/>
          <w:iCs/>
          <w:color w:val="5C6B7A"/>
          <w:sz w:val="22"/>
          <w:szCs w:val="22"/>
        </w:rPr>
        <w:t xml:space="preserve">Milestone: 7 sites ground-truthed and permitted; dashboard handoff-ready; EVSwap alpha wired to real station data.</w:t>
      </w:r>
    </w:p>
    <w:p>
      <w:pPr>
        <w:pStyle w:val="Heading2"/>
        <w:spacing w:after="120" w:before="260"/>
      </w:pPr>
      <w:r>
        <w:rPr>
          <w:b/>
          <w:bCs/>
          <w:color w:val="1C7293"/>
          <w:sz w:val="24"/>
          <w:szCs w:val="24"/>
        </w:rPr>
        <w:t xml:space="preserve">Months 3–4 — 7 Sites (Continued)</w:t>
      </w:r>
    </w:p>
    <w:p>
      <w:pPr>
        <w:spacing w:after="160"/>
      </w:pPr>
      <w:r>
        <w:rPr>
          <w:i w:val="false"/>
          <w:iCs w:val="false"/>
          <w:color w:val="1A2332"/>
          <w:sz w:val="22"/>
          <w:szCs w:val="22"/>
        </w:rPr>
        <w:t xml:space="preserve">Focus: procurement, construction start on the first block, and driver-app beta testing.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Site verification and permitting for the next 7 ranked sites (Priscila).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Procurement: identify and contract installation partners per infrastructure type — bus-charging depot, e-bike/motorcycle swap hub, or car charging point.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Construction begins on the Months 1–2 sites as permits clear.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Monitoring dashboard v1: track installation progress against the pipeline's ranked recommendations (Fauzia).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LLM insight refresh incorporating updated growth and coverage data as the first stations come online (Chibuike).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EVSwap driver-app beta test with a small cohort of e-bike and matatu drivers in the Phase-1 corridor (Benard, with Lynne on user feedback).</w:t>
      </w:r>
    </w:p>
    <w:p>
      <w:pPr>
        <w:spacing w:after="160"/>
      </w:pPr>
      <w:r>
        <w:rPr>
          <w:i/>
          <w:iCs/>
          <w:color w:val="5C6B7A"/>
          <w:sz w:val="22"/>
          <w:szCs w:val="22"/>
        </w:rPr>
        <w:t xml:space="preserve">Milestone: construction underway on Months 1–2 sites; 14 of 20 sites verified and permitted; EVSwap in closed beta.</w:t>
      </w:r>
    </w:p>
    <w:p>
      <w:pPr>
        <w:pStyle w:val="Heading2"/>
        <w:spacing w:after="120" w:before="260"/>
      </w:pPr>
      <w:r>
        <w:rPr>
          <w:b/>
          <w:bCs/>
          <w:color w:val="1C7293"/>
          <w:sz w:val="24"/>
          <w:szCs w:val="24"/>
        </w:rPr>
        <w:t xml:space="preserve">Months 5–6 — 6 Sites (Completion)</w:t>
      </w:r>
    </w:p>
    <w:p>
      <w:pPr>
        <w:spacing w:after="160"/>
      </w:pPr>
      <w:r>
        <w:rPr>
          <w:i w:val="false"/>
          <w:iCs w:val="false"/>
          <w:color w:val="1A2332"/>
          <w:sz w:val="22"/>
          <w:szCs w:val="22"/>
        </w:rPr>
        <w:t xml:space="preserve">Focus: complete the full 20-site rollout, launch both applications publicly, and report on pilot outcomes.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Site verification and permitting for the final 6 ranked sites (Priscila).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Construction completes across all 20 sites.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Cross-phase impact review: compare predicted need/coverage against actual installed infrastructure and early usage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Public launch of the decision-support dashboard for Nairobi City County planning use (Fauzia).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EVSwap public release within the pilot corridor (Benard).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Final pilot report and handoff package prepared for scaling to Phase 2/3 hexagons — or replication in another city (all team members).</w:t>
      </w:r>
    </w:p>
    <w:p>
      <w:pPr>
        <w:spacing w:after="160"/>
      </w:pPr>
      <w:r>
        <w:rPr>
          <w:i/>
          <w:iCs/>
          <w:color w:val="5C6B7A"/>
          <w:sz w:val="22"/>
          <w:szCs w:val="22"/>
        </w:rPr>
        <w:t xml:space="preserve">Milestone: all 20 sites verified, permitted, and under or complete construction; both applications publicly live; final pilot report delivered.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B2545"/>
          <w:sz w:val="30"/>
          <w:szCs w:val="30"/>
        </w:rPr>
        <w:t xml:space="preserve">4. Milestones &amp;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shd w:fill="0B25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3780"/>
            <w:shd w:fill="0B25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780"/>
            <w:shd w:fill="0B25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Owner(s)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Months 1–2</w:t>
            </w:r>
          </w:p>
        </w:tc>
        <w:tc>
          <w:tcPr>
            <w:tcW w:type="dxa" w:w="37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7 sites ground-truthed &amp; permitted; dashboard handoff-ready; EVSwap wired to real data</w:t>
            </w:r>
          </w:p>
        </w:tc>
        <w:tc>
          <w:tcPr>
            <w:tcW w:type="dxa" w:w="37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Priscila, Fauzia, Chibuike, Benard, Lynne</w:t>
            </w:r>
          </w:p>
        </w:tc>
      </w:tr>
      <w:tr>
        <w:tc>
          <w:tcPr>
            <w:tcW w:type="dxa" w:w="1800"/>
            <w:shd w:fill="F0F4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Months 3–4</w:t>
            </w:r>
          </w:p>
        </w:tc>
        <w:tc>
          <w:tcPr>
            <w:tcW w:type="dxa" w:w="3780"/>
            <w:shd w:fill="F0F4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14/20 sites verified; construction started on first block; EVSwap closed beta</w:t>
            </w:r>
          </w:p>
        </w:tc>
        <w:tc>
          <w:tcPr>
            <w:tcW w:type="dxa" w:w="3780"/>
            <w:shd w:fill="F0F4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Priscila, Fauzia, Chibuike, Benard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Months 5–6</w:t>
            </w:r>
          </w:p>
        </w:tc>
        <w:tc>
          <w:tcPr>
            <w:tcW w:type="dxa" w:w="37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All 20 sites complete or under construction; public dashboard + EVSwap launch; final report</w:t>
            </w:r>
          </w:p>
        </w:tc>
        <w:tc>
          <w:tcPr>
            <w:tcW w:type="dxa" w:w="37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Full team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0B2545"/>
          <w:sz w:val="30"/>
          <w:szCs w:val="30"/>
        </w:rPr>
        <w:t xml:space="preserve">5. Success Metrics</w:t>
      </w:r>
    </w:p>
    <w:p>
      <w:pPr>
        <w:spacing w:after="160"/>
      </w:pPr>
      <w:r>
        <w:rPr>
          <w:i w:val="false"/>
          <w:iCs w:val="false"/>
          <w:color w:val="1A2332"/>
          <w:sz w:val="22"/>
          <w:szCs w:val="22"/>
        </w:rPr>
        <w:t xml:space="preserve">Kept to what the pipeline and pilot can actually measure — no unsourced emissions or ridership estimates.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Sites recommended vs. sites successfully sited (target: 20/20 Phase-1 sites permitted, 6-month horizon).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Residents within service catchment of newly-sited infrastructure (baseline: 1,004,338 today, ~1.19M projected by mid-2026).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EVSwap driver-app adoption within the pilot corridor (beta cohort size, public release download/usage count).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Decision-support dashboard adoption by county planning staff (active users, sessions).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Data pipeline reproducibility: time-to-first-output when re-run against a second city's open data (replicability proof point).</w:t>
      </w:r>
    </w:p>
    <w:p>
      <w:pPr>
        <w:pStyle w:val="Heading1"/>
        <w:spacing w:after="160" w:before="360"/>
      </w:pPr>
      <w:r>
        <w:rPr>
          <w:b/>
          <w:bCs/>
          <w:color w:val="0B2545"/>
          <w:sz w:val="30"/>
          <w:szCs w:val="30"/>
        </w:rPr>
        <w:t xml:space="preserve">6.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B25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shd w:fill="0B25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120"/>
            <w:shd w:fill="0B25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Land tenure / permitting delays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Site construction slips past the 6-month window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Early, parallel engagement with county departments starting Month 1; permitting begins before construction procurement</w:t>
            </w:r>
          </w:p>
        </w:tc>
      </w:tr>
      <w:tr>
        <w:tc>
          <w:tcPr>
            <w:tcW w:type="dxa" w:w="3120"/>
            <w:shd w:fill="F0F4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Underlying data goes stale (WorldPop, GTFS updates)</w:t>
            </w:r>
          </w:p>
        </w:tc>
        <w:tc>
          <w:tcPr>
            <w:tcW w:type="dxa" w:w="3120"/>
            <w:shd w:fill="F0F4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Need-score rankings drift from ground reality</w:t>
            </w:r>
          </w:p>
        </w:tc>
        <w:tc>
          <w:tcPr>
            <w:tcW w:type="dxa" w:w="3120"/>
            <w:shd w:fill="F0F4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Pipeline is scripted and versioned end-to-end; re-run steps 01–15 against refreshed source data at each 2-month checkpoint</w:t>
            </w:r>
          </w:p>
        </w:tc>
      </w:tr>
      <w:tr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Operator coordination (Roam, BasiGo, Ampersand, etc.)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Installation partner availability bottlenecks a site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Named-operator outreach begins Month 1; procurement in Months 3–4 spreads sites across multiple operators by infrastructure type</w:t>
            </w:r>
          </w:p>
        </w:tc>
      </w:tr>
      <w:tr>
        <w:tc>
          <w:tcPr>
            <w:tcW w:type="dxa" w:w="3120"/>
            <w:shd w:fill="F0F4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Funding gap for full 20-site build-out</w:t>
            </w:r>
          </w:p>
        </w:tc>
        <w:tc>
          <w:tcPr>
            <w:tcW w:type="dxa" w:w="3120"/>
            <w:shd w:fill="F0F4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Pilot completes fewer than 20 sites in 6 months</w:t>
            </w:r>
          </w:p>
        </w:tc>
        <w:tc>
          <w:tcPr>
            <w:tcW w:type="dxa" w:w="3120"/>
            <w:shd w:fill="F0F4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Phased ask allows partial funding to still complete Months 1–2 sites; pursue matched funding via UTM city-pairing and C40 coalition partners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0B2545"/>
          <w:sz w:val="30"/>
          <w:szCs w:val="30"/>
        </w:rPr>
        <w:t xml:space="preserve">7. The Ask</w:t>
      </w:r>
    </w:p>
    <w:p>
      <w:pPr>
        <w:spacing w:after="160"/>
      </w:pPr>
      <w:r>
        <w:rPr>
          <w:i w:val="false"/>
          <w:iCs w:val="false"/>
          <w:color w:val="1A2332"/>
          <w:sz w:val="22"/>
          <w:szCs w:val="22"/>
        </w:rPr>
        <w:t xml:space="preserve">Pilot funding and partnership to validate and build the top 20 Phase-1 sites over 6 months — turning a ranked, AI-assisted siting analysis into physical infrastructure serving over a million Nairobi residents, and a proven, replicable methodology for the next city.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2026-08-30T13:07:56.348Z</dcterms:created>
  <dcterms:modified xsi:type="dcterms:W3CDTF">2026-08-30T13:07:56.361Z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