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993"/>
        <w:gridCol w:w="5295"/>
        <w:gridCol w:w="2613"/>
      </w:tblGrid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Data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Versão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Descrição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Autor(es)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6</w:t>
            </w: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/12/2021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1.0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Especificar etapas, fluxos de eventos, cenários e casos de testes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Prisciliane Valeska Alves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Caso de uso: Navegabilidade do sistema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Fluxo Básico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FB1 – O usuário abre a tela inicial do sistema no navegador;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FB2 – O usuário clica no menu Cursos;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FB3 – O usuário clica no submenu Cursos livres;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FB4 – O usuário rola a tela até encontrar o curso programador Front-End;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FB5 – O usuário escolhe a unidade de Bauru no curso programador Front-End;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FB6 – O usuário procura o botão registrar interesse;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FB7 – O usuário clica no botão registrar interesse;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FB8 – O usuário preenche os dados para registrar o interesse;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FB9 – O usuário clica no check “Li e estou de acordo com as políticas de privacidade”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FB10 – O usuário clica no check “Não sou robô”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FB11 – O usuário clica no botão enviar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Fluxo alternativo 1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FA1.1 – O usuário abre a tela inicial do sistema no navegador;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FA1.2 – O usuário clica no menu Cursos;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FA1.3 – O usuário clica no submenu Cursos livres;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FA1.4 – O usuário rola a tela até encontrar o curso Eletricista Instalador Residencial;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FA1.5 – O usuário escolhe a unidade de Bauru no curso Eletricista Instalador Residencial;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FA1.6 – O usuário clica no botão registrar interesse;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FA1.7 – O usuário preenche os dados para registrar o interesse;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FA1.8 – O usuário clica no check “Li e estou de acordo com as políticas de privacidade”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FA1.9 - O usuário clica no check “Não sou robô”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/>
        <w:t>FA1.10 – O usuário clica no botão enviar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1ª Etapa – Levantamento dos fluxos de eventos: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1314450" cy="3200400"/>
            <wp:effectExtent l="0" t="0" r="0" b="0"/>
            <wp:docPr id="1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Fluxo e fluxo alternativo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8"/>
        <w:gridCol w:w="5227"/>
      </w:tblGrid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Cenário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Fluxo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1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FB1 – FB11</w:t>
            </w:r>
          </w:p>
        </w:tc>
      </w:tr>
      <w:tr>
        <w:trPr/>
        <w:tc>
          <w:tcPr>
            <w:tcW w:w="52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2</w:t>
            </w:r>
          </w:p>
        </w:tc>
        <w:tc>
          <w:tcPr>
            <w:tcW w:w="5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FB3 – FA1.3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3ª Etapa – Definição da tabela de casos de testes: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  <w:gridCol w:w="2614"/>
        <w:gridCol w:w="2614"/>
        <w:gridCol w:w="2613"/>
      </w:tblGrid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Cenário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Caso de teste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Entradas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游明朝" w:cs=""/>
                <w:b/>
                <w:bCs/>
                <w:kern w:val="0"/>
                <w:sz w:val="22"/>
                <w:szCs w:val="22"/>
                <w:lang w:val="pt-BR" w:eastAsia="ja-JP" w:bidi="ar-SA"/>
              </w:rPr>
              <w:t>Resultados esperados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1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 – Entrar no sistema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Acessar a página do online.senai.sp.br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da página principal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CT2 – Clicar no menu Cursos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menu cursos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do menu de cursos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CT3 – Clicar no submenu Cursos livres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submenu Cursos livres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Abrir os cursos livres na página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CT4 – Rolar a tela para encontrar programador Front-End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Rolar a tela até encontrar o curso programador front-end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Encontrar o curso programador front-end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CT5 – Clicar na unidade de Bauru dentro do curso programador front-end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na unidade de Bauru dentro do curso de programador Front-End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de uma nova aba no navegador com o descritivo do curso programador front-end contendo o botão registrar interesse disponível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CT6 – Rolar a tela para procurar o botão de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Rolar a tela para encontrar o botão de registrar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Encontrar o botão de registro de interesse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CT7 – Clicar no botão registrar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de registro de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de uma nova aba com formulário de registro de interesse no curso de programador Front-end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CT8 – Preenchimento de dados para o registro de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Preencher todos os dados do formulário para registro de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Preenchimento completo dos dados para o envio do interesse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CT9 – Clique no aceite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check de aceite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Check de interesse habilitado para o click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CT10 – Click no não sou robô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check de não sou robô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Check de não sou robô habilitado para o click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CT11 – Clique no botão Enviar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enviar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Botão enviar habilitado para clique e mensagem informando que o registro de interesse foi efetivado com sucesso.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Cenário 2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CT12 – Rolar a tela para encontrar curso Eletricista Instalador Residencial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Rolar a tela até encontrar o curso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Encontrar o curso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CT13 – Clicar na unidade de Bauru dentro do curso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na unidade de Bauru dentro do curso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de uma nova aba no navegador com o descritivo do curso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CT14 – Rolar a tela para procurar o botão de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Rolar a tela para encontrar o botão de registrar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Encontrar o botão de registro de interesse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CT15 – Clicar no botão registrar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de registro de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Abertura de uma nova aba com formulário de registro de interesse no curso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CT16 – Preenchimento de dados para o registro de interesse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Preencher todos os dados do formulário para registro de interesse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Preenchimento completo dos dados para o envio do interesse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CT17 – Clique no aceite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check de aceite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Check de interesse habilitado para o click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CT18 – Click no não sou robô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check de não sou robô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Check de não sou robô habilitado para o click</w:t>
            </w:r>
          </w:p>
        </w:tc>
      </w:tr>
      <w:tr>
        <w:trPr/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CT19 – Clique no botão Enviar</w:t>
            </w:r>
          </w:p>
        </w:tc>
        <w:tc>
          <w:tcPr>
            <w:tcW w:w="26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Clique no botão enviar</w:t>
            </w:r>
          </w:p>
        </w:tc>
        <w:tc>
          <w:tcPr>
            <w:tcW w:w="2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游明朝" w:cs=""/>
                <w:kern w:val="0"/>
                <w:sz w:val="22"/>
                <w:szCs w:val="22"/>
                <w:lang w:val="pt-BR" w:eastAsia="ja-JP" w:bidi="ar-SA"/>
              </w:rPr>
            </w:pPr>
            <w:r>
              <w:rPr>
                <w:rFonts w:eastAsia="游明朝" w:cs=""/>
                <w:kern w:val="0"/>
                <w:sz w:val="22"/>
                <w:szCs w:val="22"/>
                <w:lang w:val="pt-BR" w:eastAsia="ja-JP" w:bidi="ar-SA"/>
              </w:rPr>
              <w:t>Botão enviar habilitado para clique e mensagem informando que o registro de interesse foi efetivado com sucesso.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pt-B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e6da6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ce6da6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ce6da6"/>
    <w:rPr>
      <w:b/>
      <w:bCs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rsid w:val="00a02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2e33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5600e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ce6da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ce6da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ce6da6"/>
    <w:pPr/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LibreOffice/7.2.1.2$Windows_X86_64 LibreOffice_project/87b77fad49947c1441b67c559c339af8f3517e22</Application>
  <AppVersion>15.0000</AppVersion>
  <Pages>3</Pages>
  <Words>768</Words>
  <Characters>3774</Characters>
  <CharactersWithSpaces>4457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2021-12-14T00:00:00Z</dcterms:created>
  <dc:creator>Richard Brosler</dc:creator>
  <dc:description/>
  <dc:language>pt-BR</dc:language>
  <cp:lastModifiedBy/>
  <dcterms:modified xsi:type="dcterms:W3CDTF">2021-12-17T08:35:17Z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