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Ethical AI Framework</w:t>
      </w:r>
    </w:p>
    <w:p>
      <w:pPr>
        <w:spacing w:after="40"/>
      </w:pPr>
      <w:r>
        <w:rPr>
          <w:i/>
          <w:iCs/>
        </w:rPr>
        <w:t xml:space="preserve">BAN6800 Final Project — CQC Engagement Prediction System</w:t>
      </w:r>
    </w:p>
    <w:p>
      <w:pPr>
        <w:spacing w:after="320"/>
      </w:pPr>
      <w:r>
        <w:rPr>
          <w:i/>
          <w:iCs/>
          <w:sz w:val="20"/>
          <w:szCs w:val="20"/>
        </w:rPr>
        <w:t xml:space="preserve">Priscilla Oluwandara Silva | Amari Eden Living and Programs</w:t>
      </w:r>
    </w:p>
    <w:p>
      <w:pPr>
        <w:pStyle w:val="Heading1"/>
        <w:spacing w:after="140" w:before="280"/>
      </w:pPr>
      <w:r>
        <w:t xml:space="preserve">1. Algorithmic Impact Assessment</w:t>
      </w:r>
    </w:p>
    <w:p>
      <w:pPr>
        <w:pStyle w:val="Heading2"/>
        <w:spacing w:after="100" w:before="200"/>
      </w:pPr>
      <w:r>
        <w:t xml:space="preserve">1.1 Purpose and Scope</w:t>
      </w:r>
    </w:p>
    <w:p>
      <w:pPr>
        <w:spacing w:after="160"/>
      </w:pPr>
      <w:r>
        <w:t xml:space="preserve">This system predicts whether a senior care facility is likely to be rated 'high-engagement' or 'needs improvement,' using four quality-of-care indicators (Safe, Effective, Caring, Well-led). It is built and validated as a UK Care Quality Commission (CQC) proof-of-concept (Care Quality Commission, 2026), intended to transfer methodologically to Amari Eden Living and Programs' own senior wellness data once collected.</w:t>
      </w:r>
    </w:p>
    <w:p>
      <w:pPr>
        <w:pStyle w:val="Heading2"/>
        <w:spacing w:after="100" w:before="200"/>
      </w:pPr>
      <w:r>
        <w:t xml:space="preserve">1.2 Who Is Affected</w:t>
      </w:r>
    </w:p>
    <w:p>
      <w:pPr>
        <w:spacing w:after="160"/>
      </w:pPr>
      <w:r>
        <w:t xml:space="preserve">Three groups are directly or indirectly affected by this system's use:</w:t>
      </w:r>
    </w:p>
    <w:p>
      <w:pPr>
        <w:pStyle w:val="ListParagraph"/>
        <w:numPr>
          <w:ilvl w:val="0"/>
          <w:numId w:val="2"/>
        </w:numPr>
        <w:spacing w:after="80"/>
      </w:pPr>
      <w:r>
        <w:t xml:space="preserve">Senior participants (indirect) — the population whose engagement outcomes are the ultimate subject of prediction, though they never interact with the system directly</w:t>
      </w:r>
    </w:p>
    <w:p>
      <w:pPr>
        <w:pStyle w:val="ListParagraph"/>
        <w:numPr>
          <w:ilvl w:val="0"/>
          <w:numId w:val="2"/>
        </w:numPr>
        <w:spacing w:after="80"/>
      </w:pPr>
      <w:r>
        <w:t xml:space="preserve">Program directors and coordinators (direct) — receive model output as decision support for resource allocation</w:t>
      </w:r>
    </w:p>
    <w:p>
      <w:pPr>
        <w:pStyle w:val="ListParagraph"/>
        <w:numPr>
          <w:ilvl w:val="0"/>
          <w:numId w:val="2"/>
        </w:numPr>
        <w:spacing w:after="80"/>
      </w:pPr>
      <w:r>
        <w:t xml:space="preserve">Funders and regulators (secondary) — may use aggregated findings to inform funding or oversight decisions</w:t>
      </w:r>
    </w:p>
    <w:p>
      <w:pPr>
        <w:pStyle w:val="Heading2"/>
        <w:spacing w:after="100" w:before="200"/>
      </w:pPr>
      <w:r>
        <w:t xml:space="preserve">1.3 Potential Harms Identified</w:t>
      </w:r>
    </w:p>
    <w:p>
      <w:pPr>
        <w:spacing w:after="160"/>
      </w:pPr>
      <w:r>
        <w:t xml:space="preserve">Three categories of harm were identified and are tracked in the project's Risk Register (Module 1, revised for the Final Project):</w:t>
      </w:r>
    </w:p>
    <w:p>
      <w:pPr>
        <w:pStyle w:val="ListParagraph"/>
        <w:numPr>
          <w:ilvl w:val="0"/>
          <w:numId w:val="2"/>
        </w:numPr>
        <w:spacing w:after="80"/>
      </w:pPr>
      <w:r>
        <w:t xml:space="preserve">Mission drift — resource-allocation recommendations quietly favoring easier-to-serve facilities over higher-need ones</w:t>
      </w:r>
    </w:p>
    <w:p>
      <w:pPr>
        <w:pStyle w:val="ListParagraph"/>
        <w:numPr>
          <w:ilvl w:val="0"/>
          <w:numId w:val="2"/>
        </w:numPr>
        <w:spacing w:after="80"/>
      </w:pPr>
      <w:r>
        <w:t xml:space="preserve">Regional/institutional bias — residual unevenness in prediction error rates across regions (equalized odds difference of 0.304), despite passing the primary disparate impact threshold</w:t>
      </w:r>
    </w:p>
    <w:p>
      <w:pPr>
        <w:pStyle w:val="ListParagraph"/>
        <w:numPr>
          <w:ilvl w:val="0"/>
          <w:numId w:val="2"/>
        </w:numPr>
        <w:spacing w:after="80"/>
      </w:pPr>
      <w:r>
        <w:t xml:space="preserve">Recommendation misuse — a decision-maker treating a probabilistic prediction as a mandate rather than a starting point for judgment</w:t>
      </w:r>
    </w:p>
    <w:p>
      <w:pPr>
        <w:pStyle w:val="Heading2"/>
        <w:spacing w:after="100" w:before="200"/>
      </w:pPr>
      <w:r>
        <w:t xml:space="preserve">1.4 Severity and Likelihood</w:t>
      </w:r>
    </w:p>
    <w:p>
      <w:pPr>
        <w:spacing w:after="160"/>
      </w:pPr>
      <w:r>
        <w:t xml:space="preserve">Mission drift and recommendation misuse are assessed as moderate-likelihood, high-severity risks if unmitigated, since both directly affect resource access for vulnerable populations. Regional bias is assessed as confirmed-present (not hypothetical) at a reduced but non-zero severity, given the measured 0.304 equalized odds gap. All three carry active, documented mitigations (see Risk Register, Module 1).</w:t>
      </w:r>
    </w:p>
    <w:p>
      <w:pPr>
        <w:pStyle w:val="Heading1"/>
        <w:spacing w:after="140" w:before="280"/>
      </w:pPr>
      <w:r>
        <w:t xml:space="preserve">2. Regulatory Compliance Report</w:t>
      </w:r>
    </w:p>
    <w:p>
      <w:pPr>
        <w:pStyle w:val="Heading2"/>
        <w:spacing w:after="100" w:before="200"/>
      </w:pPr>
      <w:r>
        <w:t xml:space="preserve">2.1 Applicable Frameworks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c>
          <w:tcPr>
            <w:tcW w:type="dxa" w:w="2000"/>
            <w:shd w:fill="50808E" w:val="clear"/>
          </w:tcPr>
          <w:p>
            <w:r>
              <w:rPr>
                <w:b/>
                <w:bCs/>
                <w:sz w:val="20"/>
                <w:szCs w:val="20"/>
              </w:rPr>
              <w:t xml:space="preserve">Framework</w:t>
            </w:r>
          </w:p>
        </w:tc>
        <w:tc>
          <w:tcPr>
            <w:tcW w:type="dxa" w:w="4500"/>
            <w:shd w:fill="50808E" w:val="clear"/>
          </w:tcPr>
          <w:p>
            <w:r>
              <w:rPr>
                <w:b/>
                <w:bCs/>
                <w:sz w:val="20"/>
                <w:szCs w:val="20"/>
              </w:rPr>
              <w:t xml:space="preserve">Relevance</w:t>
            </w:r>
          </w:p>
        </w:tc>
        <w:tc>
          <w:tcPr>
            <w:tcW w:type="dxa" w:w="3000"/>
            <w:shd w:fill="50808E" w:val="clear"/>
          </w:tcPr>
          <w:p>
            <w:r>
              <w:rPr>
                <w:b/>
                <w:bCs/>
                <w:sz w:val="20"/>
                <w:szCs w:val="20"/>
              </w:rPr>
              <w:t xml:space="preserve">Status</w:t>
            </w:r>
          </w:p>
        </w:tc>
      </w:tr>
      <w:tr>
        <w:tc>
          <w:tcPr>
            <w:tcW w:type="dxa" w:w="2000"/>
          </w:tcPr>
          <w:p>
            <w:r>
              <w:rPr>
                <w:b w:val="false"/>
                <w:bCs w:val="false"/>
                <w:sz w:val="20"/>
                <w:szCs w:val="20"/>
              </w:rPr>
              <w:t xml:space="preserve">PIPEDA (Canada)</w:t>
            </w:r>
          </w:p>
        </w:tc>
        <w:tc>
          <w:tcPr>
            <w:tcW w:type="dxa" w:w="4500"/>
          </w:tcPr>
          <w:p>
            <w:r>
              <w:rPr>
                <w:b w:val="false"/>
                <w:bCs w:val="false"/>
                <w:sz w:val="20"/>
                <w:szCs w:val="20"/>
              </w:rPr>
              <w:t xml:space="preserve">Governs personal data handling for Amari Eden as a Canadian organization, once it begins collecting its own personal data (Government of Canada, 2000)</w:t>
            </w:r>
          </w:p>
        </w:tc>
        <w:tc>
          <w:tcPr>
            <w:tcW w:type="dxa" w:w="3000"/>
          </w:tcPr>
          <w:p>
            <w:r>
              <w:rPr>
                <w:b w:val="false"/>
                <w:bCs w:val="false"/>
                <w:sz w:val="20"/>
                <w:szCs w:val="20"/>
              </w:rPr>
              <w:t xml:space="preserve">Applicable — no personal data collected yet; formalize before Amari Eden's own data collection begins</w:t>
            </w:r>
          </w:p>
        </w:tc>
      </w:tr>
      <w:tr>
        <w:tc>
          <w:tcPr>
            <w:tcW w:type="dxa" w:w="2000"/>
          </w:tcPr>
          <w:p>
            <w:r>
              <w:rPr>
                <w:b w:val="false"/>
                <w:bCs w:val="false"/>
                <w:sz w:val="20"/>
                <w:szCs w:val="20"/>
              </w:rPr>
              <w:t xml:space="preserve">UK Open Government Licence</w:t>
            </w:r>
          </w:p>
        </w:tc>
        <w:tc>
          <w:tcPr>
            <w:tcW w:type="dxa" w:w="4500"/>
          </w:tcPr>
          <w:p>
            <w:r>
              <w:rPr>
                <w:b w:val="false"/>
                <w:bCs w:val="false"/>
                <w:sz w:val="20"/>
                <w:szCs w:val="20"/>
              </w:rPr>
              <w:t xml:space="preserve">Governs use of the CQC dataset itself, which is UK public-sector regulatory data, not personal data</w:t>
            </w:r>
          </w:p>
        </w:tc>
        <w:tc>
          <w:tcPr>
            <w:tcW w:type="dxa" w:w="3000"/>
          </w:tcPr>
          <w:p>
            <w:r>
              <w:rPr>
                <w:b w:val="false"/>
                <w:bCs w:val="false"/>
                <w:sz w:val="20"/>
                <w:szCs w:val="20"/>
              </w:rPr>
              <w:t xml:space="preserve">Complied — CQC data is public, attributed, and used within the terms of the Open Government Licence (UK Government, n.d.)</w:t>
            </w:r>
          </w:p>
        </w:tc>
      </w:tr>
      <w:tr>
        <w:tc>
          <w:tcPr>
            <w:tcW w:type="dxa" w:w="2000"/>
          </w:tcPr>
          <w:p>
            <w:r>
              <w:rPr>
                <w:b w:val="false"/>
                <w:bCs w:val="false"/>
                <w:sz w:val="20"/>
                <w:szCs w:val="20"/>
              </w:rPr>
              <w:t xml:space="preserve">HIPAA (US)</w:t>
            </w:r>
          </w:p>
        </w:tc>
        <w:tc>
          <w:tcPr>
            <w:tcW w:type="dxa" w:w="4500"/>
          </w:tcPr>
          <w:p>
            <w:r>
              <w:rPr>
                <w:b w:val="false"/>
                <w:bCs w:val="false"/>
                <w:sz w:val="20"/>
                <w:szCs w:val="20"/>
              </w:rPr>
              <w:t xml:space="preserve">Governs US health data specifically</w:t>
            </w:r>
          </w:p>
        </w:tc>
        <w:tc>
          <w:tcPr>
            <w:tcW w:type="dxa" w:w="3000"/>
          </w:tcPr>
          <w:p>
            <w:r>
              <w:rPr>
                <w:b w:val="false"/>
                <w:bCs w:val="false"/>
                <w:sz w:val="20"/>
                <w:szCs w:val="20"/>
              </w:rPr>
              <w:t xml:space="preserve">Not applicable — no US health data processed</w:t>
            </w:r>
          </w:p>
        </w:tc>
      </w:tr>
      <w:tr>
        <w:tc>
          <w:tcPr>
            <w:tcW w:type="dxa" w:w="2000"/>
          </w:tcPr>
          <w:p>
            <w:r>
              <w:rPr>
                <w:b w:val="false"/>
                <w:bCs w:val="false"/>
                <w:sz w:val="20"/>
                <w:szCs w:val="20"/>
              </w:rPr>
              <w:t xml:space="preserve">GDPR (EU)</w:t>
            </w:r>
          </w:p>
        </w:tc>
        <w:tc>
          <w:tcPr>
            <w:tcW w:type="dxa" w:w="4500"/>
          </w:tcPr>
          <w:p>
            <w:r>
              <w:rPr>
                <w:b w:val="false"/>
                <w:bCs w:val="false"/>
                <w:sz w:val="20"/>
                <w:szCs w:val="20"/>
              </w:rPr>
              <w:t xml:space="preserve">Governs EU residents' personal data</w:t>
            </w:r>
          </w:p>
        </w:tc>
        <w:tc>
          <w:tcPr>
            <w:tcW w:type="dxa" w:w="3000"/>
          </w:tcPr>
          <w:p>
            <w:r>
              <w:rPr>
                <w:b w:val="false"/>
                <w:bCs w:val="false"/>
                <w:sz w:val="20"/>
                <w:szCs w:val="20"/>
              </w:rPr>
              <w:t xml:space="preserve">Not applicable — no EU resident data processed</w:t>
            </w:r>
          </w:p>
        </w:tc>
      </w:tr>
      <w:tr>
        <w:tc>
          <w:tcPr>
            <w:tcW w:type="dxa" w:w="2000"/>
          </w:tcPr>
          <w:p>
            <w:r>
              <w:rPr>
                <w:b w:val="false"/>
                <w:bCs w:val="false"/>
                <w:sz w:val="20"/>
                <w:szCs w:val="20"/>
              </w:rPr>
              <w:t xml:space="preserve">CCPA (California)</w:t>
            </w:r>
          </w:p>
        </w:tc>
        <w:tc>
          <w:tcPr>
            <w:tcW w:type="dxa" w:w="4500"/>
          </w:tcPr>
          <w:p>
            <w:r>
              <w:rPr>
                <w:b w:val="false"/>
                <w:bCs w:val="false"/>
                <w:sz w:val="20"/>
                <w:szCs w:val="20"/>
              </w:rPr>
              <w:t xml:space="preserve">Governs California consumer data</w:t>
            </w:r>
          </w:p>
        </w:tc>
        <w:tc>
          <w:tcPr>
            <w:tcW w:type="dxa" w:w="3000"/>
          </w:tcPr>
          <w:p>
            <w:r>
              <w:rPr>
                <w:b w:val="false"/>
                <w:bCs w:val="false"/>
                <w:sz w:val="20"/>
                <w:szCs w:val="20"/>
              </w:rPr>
              <w:t xml:space="preserve">Not applicable — no California consumer data processed</w:t>
            </w:r>
          </w:p>
        </w:tc>
      </w:tr>
    </w:tbl>
    <w:p>
      <w:pPr>
        <w:spacing w:after="200"/>
      </w:pPr>
    </w:p>
    <w:p>
      <w:pPr>
        <w:pStyle w:val="Heading2"/>
        <w:spacing w:after="100" w:before="200"/>
      </w:pPr>
      <w:r>
        <w:t xml:space="preserve">2.2 Honest Note on Scope</w:t>
      </w:r>
    </w:p>
    <w:p>
      <w:pPr>
        <w:spacing w:after="160"/>
      </w:pPr>
      <w:r>
        <w:t xml:space="preserve">This system currently uses only public, non-personal regulatory data (CQC). No individual-level data has been collected from Amari Eden participants at this stage. This compliance assessment will need to be revisited and substantially expanded once Amari Eden begins collecting its own session-level observation data (per the Session Observation Form built for this project), since that data — while facility/program-level, not identifying individual residents by name — will require a formal PIPEDA-compliant data handling policy before collection begins, not after.</w:t>
      </w:r>
    </w:p>
    <w:p>
      <w:pPr>
        <w:pStyle w:val="Heading1"/>
        <w:spacing w:after="140" w:before="280"/>
      </w:pPr>
      <w:r>
        <w:t xml:space="preserve">3. Public Trust Statement</w:t>
      </w:r>
    </w:p>
    <w:p>
      <w:pPr>
        <w:spacing w:after="160"/>
      </w:pPr>
      <w:r>
        <w:t xml:space="preserve">Amari Eden Living and Programs is committed to using predictive analytics as a tool for augmenting, not replacing, human judgment in senior program design. This commitment is operationalized as follows:</w:t>
      </w:r>
    </w:p>
    <w:p>
      <w:pPr>
        <w:pStyle w:val="ListParagraph"/>
        <w:numPr>
          <w:ilvl w:val="0"/>
          <w:numId w:val="2"/>
        </w:numPr>
        <w:spacing w:after="80"/>
      </w:pPr>
      <w:r>
        <w:t xml:space="preserve">Every model prediction is accompanied by its own stated limitations, not presented as a bare number</w:t>
      </w:r>
    </w:p>
    <w:p>
      <w:pPr>
        <w:pStyle w:val="ListParagraph"/>
        <w:numPr>
          <w:ilvl w:val="0"/>
          <w:numId w:val="2"/>
        </w:numPr>
        <w:spacing w:after="80"/>
      </w:pPr>
      <w:r>
        <w:t xml:space="preserve">No prediction is used to automatically approve, deny, or reduce resources for any facility or program without human review</w:t>
      </w:r>
    </w:p>
    <w:p>
      <w:pPr>
        <w:pStyle w:val="ListParagraph"/>
        <w:numPr>
          <w:ilvl w:val="0"/>
          <w:numId w:val="2"/>
        </w:numPr>
        <w:spacing w:after="80"/>
      </w:pPr>
      <w:r>
        <w:t xml:space="preserve">Fairness performance is disclosed honestly, including where it falls short of an ideal standard (the equalized odds gap), rather than presenting only favorable metrics</w:t>
      </w:r>
    </w:p>
    <w:p>
      <w:pPr>
        <w:pStyle w:val="ListParagraph"/>
        <w:numPr>
          <w:ilvl w:val="0"/>
          <w:numId w:val="2"/>
        </w:numPr>
        <w:spacing w:after="80"/>
      </w:pPr>
      <w:r>
        <w:t xml:space="preserve">The system's current basis (UK proof-of-concept data) is disclosed prominently everywhere its findings are presented, so no stakeholder mistakes UK findings for validated Canadian results</w:t>
      </w:r>
    </w:p>
    <w:p>
      <w:pPr>
        <w:spacing w:after="160"/>
      </w:pPr>
      <w:r>
        <w:t xml:space="preserve">This statement itself is a living commitment: it will be revisited whenever the system's data source, scope, or deployment context changes materially.</w:t>
      </w:r>
    </w:p>
    <w:p>
      <w:pPr>
        <w:pStyle w:val="Heading1"/>
        <w:spacing w:after="140" w:before="280"/>
      </w:pPr>
      <w:r>
        <w:t xml:space="preserve">4. Ethical Governance Structure</w:t>
      </w:r>
    </w:p>
    <w:p>
      <w:pPr>
        <w:pStyle w:val="Heading2"/>
        <w:spacing w:after="100" w:before="200"/>
      </w:pPr>
      <w:r>
        <w:t xml:space="preserve">4.1 Oversight Body</w:t>
      </w:r>
    </w:p>
    <w:p>
      <w:pPr>
        <w:spacing w:after="160"/>
      </w:pPr>
      <w:r>
        <w:t xml:space="preserve">Consistent with Module 1's original design for an early-stage venture without an existing internal compliance function, ongoing oversight is structured as a lightweight but real human-in-the-loop review process: every resource-allocation recommendation is reviewed by a person before reaching a client organization, explicitly checking for mission-drift patterns, supplemented by periodic review from an external advisor with public-health or gerontology expertise.</w:t>
      </w:r>
    </w:p>
    <w:p>
      <w:pPr>
        <w:pStyle w:val="Heading2"/>
        <w:spacing w:after="100" w:before="200"/>
      </w:pPr>
      <w:r>
        <w:t xml:space="preserve">4.2 Escalation Path</w:t>
      </w:r>
    </w:p>
    <w:p>
      <w:pPr>
        <w:spacing w:after="160"/>
      </w:pPr>
      <w:r>
        <w:t xml:space="preserve">If a facility, funder, or participant raises a concern about a specific prediction or its use, the escalation path is: (1) the program director reviews the specific case and its underlying inputs, (2) if the concern relates to a systemic pattern rather than a single case, it is escalated to the external advisor for review, (3) if a genuine fairness or mission-drift failure is confirmed, the finding is documented and the model's use is paused pending investigation, per the Incident Response Plan defined in the accompanying Integrated Data Analytics Project Report (Section 7: Implementation and Monitoring Plan).</w:t>
      </w:r>
    </w:p>
    <w:p>
      <w:pPr>
        <w:pStyle w:val="Heading2"/>
        <w:spacing w:after="100" w:before="200"/>
      </w:pPr>
      <w:r>
        <w:t xml:space="preserve">4.3 Review Cadence</w:t>
      </w:r>
    </w:p>
    <w:p>
      <w:pPr>
        <w:spacing w:after="160"/>
      </w:pPr>
      <w:r>
        <w:t xml:space="preserve">The full fairness and performance profile (Module 4's metrics: ROC-AUC, disparate impact ratio, and equalized odds difference, computed using Fairlearn (Fairlearn, 2026) and tracked via the MLflow Model Registry (MLflow, 2026)) should be re-evaluated at minimum quarterly once the system is in active use, and immediately upon any change to the underlying data source or model version.</w:t>
      </w:r>
    </w:p>
    <w:p>
      <w:pPr>
        <w:pStyle w:val="Heading1"/>
        <w:spacing w:after="140" w:before="280"/>
      </w:pPr>
      <w:r>
        <w:t xml:space="preserve">References</w:t>
      </w:r>
    </w:p>
    <w:p>
      <w:pPr>
        <w:spacing w:after="160"/>
      </w:pPr>
      <w:r>
        <w:t xml:space="preserve">Care Quality Commission. 2026. Care directory with ratings (04 August 2026) [Data set]. CQC. https://www.cqc.org.uk/system/files/2026-08/04_August_2026_Latest_ratings.ods</w:t>
      </w:r>
    </w:p>
    <w:p>
      <w:pPr>
        <w:spacing w:after="160"/>
      </w:pPr>
      <w:r>
        <w:t xml:space="preserve">Fairlearn. 2026. Fairlearn (Version 0.14.0) [Computer software]. https://fairlearn.org</w:t>
      </w:r>
    </w:p>
    <w:p>
      <w:pPr>
        <w:spacing w:after="160"/>
      </w:pPr>
      <w:r>
        <w:t xml:space="preserve">Government of Canada. 2000. Personal Information Protection and Electronic Documents Act (PIPEDA).</w:t>
      </w:r>
    </w:p>
    <w:p>
      <w:pPr>
        <w:spacing w:after="160"/>
      </w:pPr>
      <w:r>
        <w:t xml:space="preserve">MLflow. 2026. MLflow [Computer software]. https://mlflow.org</w:t>
      </w:r>
    </w:p>
    <w:p>
      <w:pPr>
        <w:spacing w:after="160"/>
      </w:pPr>
      <w:r>
        <w:t xml:space="preserve">UK Government. n.d. Open Government Licence for public sector information. https://www.nationalarchives.gov.uk/doc/open-government-licence/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2026-08-31T23:02:04.171Z</dcterms:created>
  <dcterms:modified xsi:type="dcterms:W3CDTF">2026-08-31T23:02:04.171Z</dcterms:modified>
</cp:coreProperties>
</file>

<file path=docProps/custom.xml><?xml version="1.0" encoding="utf-8"?>
<Properties xmlns="http://schemas.openxmlformats.org/officeDocument/2006/custom-properties" xmlns:vt="http://schemas.openxmlformats.org/officeDocument/2006/docPropsVTypes"/>
</file>