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r>
        <w:rPr>
          <w:sz w:val="48"/>
          <w:szCs w:val="48"/>
        </w:rPr>
        <w:t xml:space="preserve"/>
      </w:r>
    </w:p>
    <w:p>
      <w:pPr>
        <w:jc w:val="center"/>
      </w:pPr>
      <w:r>
        <w:rPr>
          <w:b/>
          <w:bCs/>
          <w:color w:val="1B3A6B"/>
          <w:sz w:val="52"/>
          <w:szCs w:val="52"/>
        </w:rPr>
        <w:t xml:space="preserve">BHARAT COMMERCIAL BANK LIMITED</w:t>
      </w:r>
    </w:p>
    <w:p>
      <w:pPr>
        <w:spacing w:before="80"/>
      </w:pPr>
      <w:r>
        <w:t xml:space="preserve"/>
      </w:r>
    </w:p>
    <w:p>
      <w:pPr>
        <w:jc w:val="center"/>
      </w:pPr>
      <w:r>
        <w:rPr>
          <w:i/>
          <w:iCs/>
          <w:color w:val="6B7280"/>
          <w:sz w:val="22"/>
          <w:szCs w:val="22"/>
        </w:rPr>
        <w:t xml:space="preserve">Regulated by Reserve Bank of India</w:t>
      </w:r>
    </w:p>
    <w:p>
      <w:pPr>
        <w:spacing w:before="240"/>
      </w:pPr>
      <w:r>
        <w:t xml:space="preserve"/>
      </w:r>
    </w:p>
    <w:p>
      <w:pPr>
        <w:jc w:val="center"/>
      </w:pPr>
      <w:r>
        <w:rPr>
          <w:b/>
          <w:bCs/>
          <w:color w:val="1E40AF"/>
          <w:sz w:val="44"/>
          <w:szCs w:val="44"/>
        </w:rPr>
        <w:t xml:space="preserve">CREDIT CARD COMPLIANCE POLICY</w:t>
      </w:r>
    </w:p>
    <w:p>
      <w:pPr>
        <w:spacing w:before="80"/>
      </w:pPr>
      <w:r>
        <w:t xml:space="preserve"/>
      </w:r>
    </w:p>
    <w:p>
      <w:pPr>
        <w:jc w:val="center"/>
      </w:pPr>
      <w:r>
        <w:rPr>
          <w:color w:val="B45309"/>
          <w:sz w:val="28"/>
          <w:szCs w:val="28"/>
        </w:rPr>
        <w:t xml:space="preserve">─────────────────────────────────</w:t>
      </w:r>
    </w:p>
    <w:p>
      <w:pPr>
        <w:spacing w:before="160"/>
      </w:pPr>
      <w:r>
        <w:t xml:space="preserve"/>
      </w:r>
    </w:p>
    <w:tbl>
      <w:tblPr>
        <w:tblW w:type="dxa" w:w="9200"/>
        <w:tblBorders>
          <w:top w:val="single" w:color="CBD5E1" w:sz="2"/>
          <w:left w:val="single" w:color="CBD5E1" w:sz="2"/>
          <w:bottom w:val="single" w:color="CBD5E1" w:sz="2"/>
          <w:right w:val="single" w:color="CBD5E1" w:sz="2"/>
          <w:insideH w:val="single" w:color="auto" w:sz="4"/>
          <w:insideV w:val="single" w:color="auto" w:sz="4"/>
        </w:tblBorders>
      </w:tblPr>
      <w:tblGrid>
        <w:gridCol w:w="3200"/>
        <w:gridCol w:w="6000"/>
      </w:tblGrid>
      <w:tr>
        <w:trPr>
          <w:tblHeader/>
        </w:trPr>
        <w:tc>
          <w:tcPr>
            <w:tcW w:type="dxa" w:w="3200"/>
            <w:shd w:fill="1B3A6B" w:color="auto" w:val="clear"/>
            <w:tcMar>
              <w:top w:type="dxa" w:w="80"/>
              <w:left w:type="dxa" w:w="120"/>
              <w:bottom w:type="dxa" w:w="80"/>
              <w:right w:type="dxa" w:w="120"/>
            </w:tcMar>
          </w:tcPr>
          <w:p>
            <w:pPr>
              <w:jc w:val="center"/>
            </w:pPr>
            <w:r>
              <w:rPr>
                <w:b/>
                <w:bCs/>
                <w:color w:val="FFFFFF"/>
                <w:sz w:val="18"/>
                <w:szCs w:val="18"/>
              </w:rPr>
              <w:t xml:space="preserve">Document Attribute</w:t>
            </w:r>
          </w:p>
        </w:tc>
        <w:tc>
          <w:tcPr>
            <w:tcW w:type="dxa" w:w="6000"/>
            <w:shd w:fill="1B3A6B" w:color="auto" w:val="clear"/>
            <w:tcMar>
              <w:top w:type="dxa" w:w="80"/>
              <w:left w:type="dxa" w:w="120"/>
              <w:bottom w:type="dxa" w:w="80"/>
              <w:right w:type="dxa" w:w="120"/>
            </w:tcMar>
          </w:tcPr>
          <w:p>
            <w:pPr>
              <w:jc w:val="center"/>
            </w:pPr>
            <w:r>
              <w:rPr>
                <w:b/>
                <w:bCs/>
                <w:color w:val="FFFFFF"/>
                <w:sz w:val="18"/>
                <w:szCs w:val="18"/>
              </w:rPr>
              <w:t xml:space="preserve">Details</w:t>
            </w:r>
          </w:p>
        </w:tc>
      </w:tr>
      <w:tr>
        <w:tc>
          <w:tcPr>
            <w:tcW w:type="dxa" w:w="3200"/>
            <w:shd w:fill="F0F4FF" w:color="auto" w:val="clear"/>
            <w:tcMar>
              <w:top w:type="dxa" w:w="80"/>
              <w:left w:type="dxa" w:w="120"/>
              <w:bottom w:type="dxa" w:w="80"/>
              <w:right w:type="dxa" w:w="120"/>
            </w:tcMar>
          </w:tcPr>
          <w:p>
            <w:pPr>
              <w:jc w:val="left"/>
            </w:pPr>
            <w:r>
              <w:rPr>
                <w:color w:val="1F2937"/>
                <w:sz w:val="18"/>
                <w:szCs w:val="18"/>
              </w:rPr>
              <w:t xml:space="preserve">Policy Reference</w:t>
            </w:r>
          </w:p>
        </w:tc>
        <w:tc>
          <w:tcPr>
            <w:tcW w:type="dxa" w:w="6000"/>
            <w:shd w:fill="F0F4FF" w:color="auto" w:val="clear"/>
            <w:tcMar>
              <w:top w:type="dxa" w:w="80"/>
              <w:left w:type="dxa" w:w="120"/>
              <w:bottom w:type="dxa" w:w="80"/>
              <w:right w:type="dxa" w:w="120"/>
            </w:tcMar>
          </w:tcPr>
          <w:p>
            <w:pPr>
              <w:jc w:val="center"/>
            </w:pPr>
            <w:r>
              <w:rPr>
                <w:color w:val="1F2937"/>
                <w:sz w:val="18"/>
                <w:szCs w:val="18"/>
              </w:rPr>
              <w:t xml:space="preserve">BCB/COMP/CC/2024-25/001</w:t>
            </w:r>
          </w:p>
        </w:tc>
      </w:tr>
      <w:tr>
        <w:tc>
          <w:tcPr>
            <w:tcW w:type="dxa" w:w="3200"/>
            <w:shd w:fill="FFFFFF" w:color="auto" w:val="clear"/>
            <w:tcMar>
              <w:top w:type="dxa" w:w="80"/>
              <w:left w:type="dxa" w:w="120"/>
              <w:bottom w:type="dxa" w:w="80"/>
              <w:right w:type="dxa" w:w="120"/>
            </w:tcMar>
          </w:tcPr>
          <w:p>
            <w:pPr>
              <w:jc w:val="left"/>
            </w:pPr>
            <w:r>
              <w:rPr>
                <w:color w:val="1F2937"/>
                <w:sz w:val="18"/>
                <w:szCs w:val="18"/>
              </w:rPr>
              <w:t xml:space="preserve">Version</w:t>
            </w:r>
          </w:p>
        </w:tc>
        <w:tc>
          <w:tcPr>
            <w:tcW w:type="dxa" w:w="6000"/>
            <w:shd w:fill="FFFFFF" w:color="auto" w:val="clear"/>
            <w:tcMar>
              <w:top w:type="dxa" w:w="80"/>
              <w:left w:type="dxa" w:w="120"/>
              <w:bottom w:type="dxa" w:w="80"/>
              <w:right w:type="dxa" w:w="120"/>
            </w:tcMar>
          </w:tcPr>
          <w:p>
            <w:pPr>
              <w:jc w:val="center"/>
            </w:pPr>
            <w:r>
              <w:rPr>
                <w:color w:val="1F2937"/>
                <w:sz w:val="18"/>
                <w:szCs w:val="18"/>
              </w:rPr>
              <w:t xml:space="preserve">2.3</w:t>
            </w:r>
          </w:p>
        </w:tc>
      </w:tr>
      <w:tr>
        <w:tc>
          <w:tcPr>
            <w:tcW w:type="dxa" w:w="3200"/>
            <w:shd w:fill="F0F4FF" w:color="auto" w:val="clear"/>
            <w:tcMar>
              <w:top w:type="dxa" w:w="80"/>
              <w:left w:type="dxa" w:w="120"/>
              <w:bottom w:type="dxa" w:w="80"/>
              <w:right w:type="dxa" w:w="120"/>
            </w:tcMar>
          </w:tcPr>
          <w:p>
            <w:pPr>
              <w:jc w:val="left"/>
            </w:pPr>
            <w:r>
              <w:rPr>
                <w:color w:val="1F2937"/>
                <w:sz w:val="18"/>
                <w:szCs w:val="18"/>
              </w:rPr>
              <w:t xml:space="preserve">Status</w:t>
            </w:r>
          </w:p>
        </w:tc>
        <w:tc>
          <w:tcPr>
            <w:tcW w:type="dxa" w:w="6000"/>
            <w:shd w:fill="F0F4FF" w:color="auto" w:val="clear"/>
            <w:tcMar>
              <w:top w:type="dxa" w:w="80"/>
              <w:left w:type="dxa" w:w="120"/>
              <w:bottom w:type="dxa" w:w="80"/>
              <w:right w:type="dxa" w:w="120"/>
            </w:tcMar>
          </w:tcPr>
          <w:p>
            <w:pPr>
              <w:jc w:val="center"/>
            </w:pPr>
            <w:r>
              <w:rPr>
                <w:color w:val="1F2937"/>
                <w:sz w:val="18"/>
                <w:szCs w:val="18"/>
              </w:rPr>
              <w:t xml:space="preserve">ACTIVE</w:t>
            </w:r>
          </w:p>
        </w:tc>
      </w:tr>
      <w:tr>
        <w:tc>
          <w:tcPr>
            <w:tcW w:type="dxa" w:w="3200"/>
            <w:shd w:fill="FFFFFF" w:color="auto" w:val="clear"/>
            <w:tcMar>
              <w:top w:type="dxa" w:w="80"/>
              <w:left w:type="dxa" w:w="120"/>
              <w:bottom w:type="dxa" w:w="80"/>
              <w:right w:type="dxa" w:w="120"/>
            </w:tcMar>
          </w:tcPr>
          <w:p>
            <w:pPr>
              <w:jc w:val="left"/>
            </w:pPr>
            <w:r>
              <w:rPr>
                <w:color w:val="1F2937"/>
                <w:sz w:val="18"/>
                <w:szCs w:val="18"/>
              </w:rPr>
              <w:t xml:space="preserve">Effective Date</w:t>
            </w:r>
          </w:p>
        </w:tc>
        <w:tc>
          <w:tcPr>
            <w:tcW w:type="dxa" w:w="6000"/>
            <w:shd w:fill="FFFFFF" w:color="auto" w:val="clear"/>
            <w:tcMar>
              <w:top w:type="dxa" w:w="80"/>
              <w:left w:type="dxa" w:w="120"/>
              <w:bottom w:type="dxa" w:w="80"/>
              <w:right w:type="dxa" w:w="120"/>
            </w:tcMar>
          </w:tcPr>
          <w:p>
            <w:pPr>
              <w:jc w:val="center"/>
            </w:pPr>
            <w:r>
              <w:rPr>
                <w:color w:val="1F2937"/>
                <w:sz w:val="18"/>
                <w:szCs w:val="18"/>
              </w:rPr>
              <w:t xml:space="preserve">01 April 2024</w:t>
            </w:r>
          </w:p>
        </w:tc>
      </w:tr>
      <w:tr>
        <w:tc>
          <w:tcPr>
            <w:tcW w:type="dxa" w:w="3200"/>
            <w:shd w:fill="F0F4FF" w:color="auto" w:val="clear"/>
            <w:tcMar>
              <w:top w:type="dxa" w:w="80"/>
              <w:left w:type="dxa" w:w="120"/>
              <w:bottom w:type="dxa" w:w="80"/>
              <w:right w:type="dxa" w:w="120"/>
            </w:tcMar>
          </w:tcPr>
          <w:p>
            <w:pPr>
              <w:jc w:val="left"/>
            </w:pPr>
            <w:r>
              <w:rPr>
                <w:color w:val="1F2937"/>
                <w:sz w:val="18"/>
                <w:szCs w:val="18"/>
              </w:rPr>
              <w:t xml:space="preserve">Next Review Date</w:t>
            </w:r>
          </w:p>
        </w:tc>
        <w:tc>
          <w:tcPr>
            <w:tcW w:type="dxa" w:w="6000"/>
            <w:shd w:fill="F0F4FF" w:color="auto" w:val="clear"/>
            <w:tcMar>
              <w:top w:type="dxa" w:w="80"/>
              <w:left w:type="dxa" w:w="120"/>
              <w:bottom w:type="dxa" w:w="80"/>
              <w:right w:type="dxa" w:w="120"/>
            </w:tcMar>
          </w:tcPr>
          <w:p>
            <w:pPr>
              <w:jc w:val="center"/>
            </w:pPr>
            <w:r>
              <w:rPr>
                <w:color w:val="1F2937"/>
                <w:sz w:val="18"/>
                <w:szCs w:val="18"/>
              </w:rPr>
              <w:t xml:space="preserve">31 March 2025</w:t>
            </w:r>
          </w:p>
        </w:tc>
      </w:tr>
      <w:tr>
        <w:tc>
          <w:tcPr>
            <w:tcW w:type="dxa" w:w="3200"/>
            <w:shd w:fill="FFFFFF" w:color="auto" w:val="clear"/>
            <w:tcMar>
              <w:top w:type="dxa" w:w="80"/>
              <w:left w:type="dxa" w:w="120"/>
              <w:bottom w:type="dxa" w:w="80"/>
              <w:right w:type="dxa" w:w="120"/>
            </w:tcMar>
          </w:tcPr>
          <w:p>
            <w:pPr>
              <w:jc w:val="left"/>
            </w:pPr>
            <w:r>
              <w:rPr>
                <w:color w:val="1F2937"/>
                <w:sz w:val="18"/>
                <w:szCs w:val="18"/>
              </w:rPr>
              <w:t xml:space="preserve">Prepared By</w:t>
            </w:r>
          </w:p>
        </w:tc>
        <w:tc>
          <w:tcPr>
            <w:tcW w:type="dxa" w:w="6000"/>
            <w:shd w:fill="FFFFFF" w:color="auto" w:val="clear"/>
            <w:tcMar>
              <w:top w:type="dxa" w:w="80"/>
              <w:left w:type="dxa" w:w="120"/>
              <w:bottom w:type="dxa" w:w="80"/>
              <w:right w:type="dxa" w:w="120"/>
            </w:tcMar>
          </w:tcPr>
          <w:p>
            <w:pPr>
              <w:jc w:val="center"/>
            </w:pPr>
            <w:r>
              <w:rPr>
                <w:color w:val="1F2937"/>
                <w:sz w:val="18"/>
                <w:szCs w:val="18"/>
              </w:rPr>
              <w:t xml:space="preserve">Compliance Department – Retail Banking</w:t>
            </w:r>
          </w:p>
        </w:tc>
      </w:tr>
      <w:tr>
        <w:tc>
          <w:tcPr>
            <w:tcW w:type="dxa" w:w="3200"/>
            <w:shd w:fill="F0F4FF" w:color="auto" w:val="clear"/>
            <w:tcMar>
              <w:top w:type="dxa" w:w="80"/>
              <w:left w:type="dxa" w:w="120"/>
              <w:bottom w:type="dxa" w:w="80"/>
              <w:right w:type="dxa" w:w="120"/>
            </w:tcMar>
          </w:tcPr>
          <w:p>
            <w:pPr>
              <w:jc w:val="left"/>
            </w:pPr>
            <w:r>
              <w:rPr>
                <w:color w:val="1F2937"/>
                <w:sz w:val="18"/>
                <w:szCs w:val="18"/>
              </w:rPr>
              <w:t xml:space="preserve">Approved By</w:t>
            </w:r>
          </w:p>
        </w:tc>
        <w:tc>
          <w:tcPr>
            <w:tcW w:type="dxa" w:w="6000"/>
            <w:shd w:fill="F0F4FF" w:color="auto" w:val="clear"/>
            <w:tcMar>
              <w:top w:type="dxa" w:w="80"/>
              <w:left w:type="dxa" w:w="120"/>
              <w:bottom w:type="dxa" w:w="80"/>
              <w:right w:type="dxa" w:w="120"/>
            </w:tcMar>
          </w:tcPr>
          <w:p>
            <w:pPr>
              <w:jc w:val="center"/>
            </w:pPr>
            <w:r>
              <w:rPr>
                <w:color w:val="1F2937"/>
                <w:sz w:val="18"/>
                <w:szCs w:val="18"/>
              </w:rPr>
              <w:t xml:space="preserve">Board Risk &amp; Compliance Committee (BRCC)</w:t>
            </w:r>
          </w:p>
        </w:tc>
      </w:tr>
      <w:tr>
        <w:tc>
          <w:tcPr>
            <w:tcW w:type="dxa" w:w="3200"/>
            <w:shd w:fill="FFFFFF" w:color="auto" w:val="clear"/>
            <w:tcMar>
              <w:top w:type="dxa" w:w="80"/>
              <w:left w:type="dxa" w:w="120"/>
              <w:bottom w:type="dxa" w:w="80"/>
              <w:right w:type="dxa" w:w="120"/>
            </w:tcMar>
          </w:tcPr>
          <w:p>
            <w:pPr>
              <w:jc w:val="left"/>
            </w:pPr>
            <w:r>
              <w:rPr>
                <w:color w:val="1F2937"/>
                <w:sz w:val="18"/>
                <w:szCs w:val="18"/>
              </w:rPr>
              <w:t xml:space="preserve">Regulatory Basis</w:t>
            </w:r>
          </w:p>
        </w:tc>
        <w:tc>
          <w:tcPr>
            <w:tcW w:type="dxa" w:w="6000"/>
            <w:shd w:fill="FFFFFF" w:color="auto" w:val="clear"/>
            <w:tcMar>
              <w:top w:type="dxa" w:w="80"/>
              <w:left w:type="dxa" w:w="120"/>
              <w:bottom w:type="dxa" w:w="80"/>
              <w:right w:type="dxa" w:w="120"/>
            </w:tcMar>
          </w:tcPr>
          <w:p>
            <w:pPr>
              <w:jc w:val="center"/>
            </w:pPr>
            <w:r>
              <w:rPr>
                <w:color w:val="1F2937"/>
                <w:sz w:val="18"/>
                <w:szCs w:val="18"/>
              </w:rPr>
              <w:t xml:space="preserve">RBI Master Direction – Credit Card &amp; Debit Card (MD-CC-2022), BPSS/2023/01, RBI/2023-24/73</w:t>
            </w:r>
          </w:p>
        </w:tc>
      </w:tr>
      <w:tr>
        <w:tc>
          <w:tcPr>
            <w:tcW w:type="dxa" w:w="3200"/>
            <w:shd w:fill="F0F4FF" w:color="auto" w:val="clear"/>
            <w:tcMar>
              <w:top w:type="dxa" w:w="80"/>
              <w:left w:type="dxa" w:w="120"/>
              <w:bottom w:type="dxa" w:w="80"/>
              <w:right w:type="dxa" w:w="120"/>
            </w:tcMar>
          </w:tcPr>
          <w:p>
            <w:pPr>
              <w:jc w:val="left"/>
            </w:pPr>
            <w:r>
              <w:rPr>
                <w:color w:val="1F2937"/>
                <w:sz w:val="18"/>
                <w:szCs w:val="18"/>
              </w:rPr>
              <w:t xml:space="preserve">Classification</w:t>
            </w:r>
          </w:p>
        </w:tc>
        <w:tc>
          <w:tcPr>
            <w:tcW w:type="dxa" w:w="6000"/>
            <w:shd w:fill="F0F4FF" w:color="auto" w:val="clear"/>
            <w:tcMar>
              <w:top w:type="dxa" w:w="80"/>
              <w:left w:type="dxa" w:w="120"/>
              <w:bottom w:type="dxa" w:w="80"/>
              <w:right w:type="dxa" w:w="120"/>
            </w:tcMar>
          </w:tcPr>
          <w:p>
            <w:pPr>
              <w:jc w:val="center"/>
            </w:pPr>
            <w:r>
              <w:rPr>
                <w:color w:val="1F2937"/>
                <w:sz w:val="18"/>
                <w:szCs w:val="18"/>
              </w:rPr>
              <w:t xml:space="preserve">INTERNAL – CONFIDENTIAL</w:t>
            </w:r>
          </w:p>
        </w:tc>
      </w:tr>
    </w:tbl>
    <w:p>
      <w:pPr>
        <w:spacing w:before="240"/>
      </w:pPr>
      <w:r>
        <w:t xml:space="preserve"/>
      </w:r>
    </w:p>
    <w:p>
      <w:r>
        <w:br w:type="page"/>
      </w:r>
    </w:p>
    <w:p>
      <w:pPr>
        <w:pStyle w:val="Heading1"/>
        <w:pBdr>
          <w:bottom w:val="single" w:color="1B3A6B" w:sz="6"/>
        </w:pBdr>
        <w:spacing w:after="120" w:before="360"/>
        <w:rPr>
          <w:b/>
          <w:bCs/>
          <w:color w:val="1B3A6B"/>
          <w:sz w:val="28"/>
          <w:szCs w:val="28"/>
        </w:rPr>
      </w:pPr>
      <w:r>
        <w:t xml:space="preserve">Table of Contents</w:t>
      </w:r>
    </w:p>
    <w:p>
      <w:pPr>
        <w:spacing w:after="60" w:before="80"/>
      </w:pPr>
      <w:r>
        <w:rPr>
          <w:color w:val="1B3A6B"/>
          <w:sz w:val="20"/>
          <w:szCs w:val="20"/>
        </w:rPr>
        <w:t xml:space="preserve">1.  Purpose and Scope</w:t>
      </w:r>
      <w:r>
        <w:rPr>
          <w:i/>
          <w:iCs/>
          <w:color w:val="6B7280"/>
          <w:sz w:val="18"/>
          <w:szCs w:val="18"/>
        </w:rPr>
        <w:t xml:space="preserve">..................... 3</w:t>
      </w:r>
    </w:p>
    <w:p>
      <w:pPr>
        <w:spacing w:after="60" w:before="80"/>
      </w:pPr>
      <w:r>
        <w:rPr>
          <w:color w:val="1B3A6B"/>
          <w:sz w:val="20"/>
          <w:szCs w:val="20"/>
        </w:rPr>
        <w:t xml:space="preserve">2.  Regulatory Framework</w:t>
      </w:r>
      <w:r>
        <w:rPr>
          <w:i/>
          <w:iCs/>
          <w:color w:val="6B7280"/>
          <w:sz w:val="18"/>
          <w:szCs w:val="18"/>
        </w:rPr>
        <w:t xml:space="preserve">..................... 3</w:t>
      </w:r>
    </w:p>
    <w:p>
      <w:pPr>
        <w:spacing w:after="60" w:before="80"/>
      </w:pPr>
      <w:r>
        <w:rPr>
          <w:color w:val="1B3A6B"/>
          <w:sz w:val="20"/>
          <w:szCs w:val="20"/>
        </w:rPr>
        <w:t xml:space="preserve">3.  Definitions</w:t>
      </w:r>
      <w:r>
        <w:rPr>
          <w:i/>
          <w:iCs/>
          <w:color w:val="6B7280"/>
          <w:sz w:val="18"/>
          <w:szCs w:val="18"/>
        </w:rPr>
        <w:t xml:space="preserve">..................... 4</w:t>
      </w:r>
    </w:p>
    <w:p>
      <w:pPr>
        <w:spacing w:after="60" w:before="80"/>
      </w:pPr>
      <w:r>
        <w:rPr>
          <w:color w:val="1B3A6B"/>
          <w:sz w:val="20"/>
          <w:szCs w:val="20"/>
        </w:rPr>
        <w:t xml:space="preserve">4.  Credit Card Issuance Policy</w:t>
      </w:r>
      <w:r>
        <w:rPr>
          <w:i/>
          <w:iCs/>
          <w:color w:val="6B7280"/>
          <w:sz w:val="18"/>
          <w:szCs w:val="18"/>
        </w:rPr>
        <w:t xml:space="preserve">..................... 5</w:t>
      </w:r>
    </w:p>
    <w:p>
      <w:pPr>
        <w:spacing w:after="60" w:before="80"/>
      </w:pPr>
      <w:r>
        <w:rPr>
          <w:color w:val="1B3A6B"/>
          <w:sz w:val="20"/>
          <w:szCs w:val="20"/>
        </w:rPr>
        <w:t xml:space="preserve">5.  Know Your Customer (KYC) Requirements</w:t>
      </w:r>
      <w:r>
        <w:rPr>
          <w:i/>
          <w:iCs/>
          <w:color w:val="6B7280"/>
          <w:sz w:val="18"/>
          <w:szCs w:val="18"/>
        </w:rPr>
        <w:t xml:space="preserve">..................... 6</w:t>
      </w:r>
    </w:p>
    <w:p>
      <w:pPr>
        <w:spacing w:after="60" w:before="80"/>
      </w:pPr>
      <w:r>
        <w:rPr>
          <w:color w:val="1B3A6B"/>
          <w:sz w:val="20"/>
          <w:szCs w:val="20"/>
        </w:rPr>
        <w:t xml:space="preserve">6.  Credit Limit Framework</w:t>
      </w:r>
      <w:r>
        <w:rPr>
          <w:i/>
          <w:iCs/>
          <w:color w:val="6B7280"/>
          <w:sz w:val="18"/>
          <w:szCs w:val="18"/>
        </w:rPr>
        <w:t xml:space="preserve">..................... 7</w:t>
      </w:r>
    </w:p>
    <w:p>
      <w:pPr>
        <w:spacing w:after="60" w:before="80"/>
      </w:pPr>
      <w:r>
        <w:rPr>
          <w:color w:val="1B3A6B"/>
          <w:sz w:val="20"/>
          <w:szCs w:val="20"/>
        </w:rPr>
        <w:t xml:space="preserve">7.  Interest Rates, Fees &amp; Charges</w:t>
      </w:r>
      <w:r>
        <w:rPr>
          <w:i/>
          <w:iCs/>
          <w:color w:val="6B7280"/>
          <w:sz w:val="18"/>
          <w:szCs w:val="18"/>
        </w:rPr>
        <w:t xml:space="preserve">..................... 8</w:t>
      </w:r>
    </w:p>
    <w:p>
      <w:pPr>
        <w:spacing w:after="60" w:before="80"/>
      </w:pPr>
      <w:r>
        <w:rPr>
          <w:color w:val="1B3A6B"/>
          <w:sz w:val="20"/>
          <w:szCs w:val="20"/>
        </w:rPr>
        <w:t xml:space="preserve">8.  Billing, Statements &amp; Payment</w:t>
      </w:r>
      <w:r>
        <w:rPr>
          <w:i/>
          <w:iCs/>
          <w:color w:val="6B7280"/>
          <w:sz w:val="18"/>
          <w:szCs w:val="18"/>
        </w:rPr>
        <w:t xml:space="preserve">..................... 9</w:t>
      </w:r>
    </w:p>
    <w:p>
      <w:pPr>
        <w:spacing w:after="60" w:before="80"/>
      </w:pPr>
      <w:r>
        <w:rPr>
          <w:color w:val="1B3A6B"/>
          <w:sz w:val="20"/>
          <w:szCs w:val="20"/>
        </w:rPr>
        <w:t xml:space="preserve">9.  Customer Rights &amp; Fair Practices Code</w:t>
      </w:r>
      <w:r>
        <w:rPr>
          <w:i/>
          <w:iCs/>
          <w:color w:val="6B7280"/>
          <w:sz w:val="18"/>
          <w:szCs w:val="18"/>
        </w:rPr>
        <w:t xml:space="preserve">..................... 10</w:t>
      </w:r>
    </w:p>
    <w:p>
      <w:pPr>
        <w:spacing w:after="60" w:before="80"/>
      </w:pPr>
      <w:r>
        <w:rPr>
          <w:color w:val="1B3A6B"/>
          <w:sz w:val="20"/>
          <w:szCs w:val="20"/>
        </w:rPr>
        <w:t xml:space="preserve">10.  Fraud Risk Management</w:t>
      </w:r>
      <w:r>
        <w:rPr>
          <w:i/>
          <w:iCs/>
          <w:color w:val="6B7280"/>
          <w:sz w:val="18"/>
          <w:szCs w:val="18"/>
        </w:rPr>
        <w:t xml:space="preserve">..................... 11</w:t>
      </w:r>
    </w:p>
    <w:p>
      <w:pPr>
        <w:spacing w:after="60" w:before="80"/>
      </w:pPr>
      <w:r>
        <w:rPr>
          <w:color w:val="1B3A6B"/>
          <w:sz w:val="20"/>
          <w:szCs w:val="20"/>
        </w:rPr>
        <w:t xml:space="preserve">11.  Data Privacy &amp; Information Security</w:t>
      </w:r>
      <w:r>
        <w:rPr>
          <w:i/>
          <w:iCs/>
          <w:color w:val="6B7280"/>
          <w:sz w:val="18"/>
          <w:szCs w:val="18"/>
        </w:rPr>
        <w:t xml:space="preserve">..................... 12</w:t>
      </w:r>
    </w:p>
    <w:p>
      <w:pPr>
        <w:spacing w:after="60" w:before="80"/>
      </w:pPr>
      <w:r>
        <w:rPr>
          <w:color w:val="1B3A6B"/>
          <w:sz w:val="20"/>
          <w:szCs w:val="20"/>
        </w:rPr>
        <w:t xml:space="preserve">12.  Grievance Redressal Mechanism</w:t>
      </w:r>
      <w:r>
        <w:rPr>
          <w:i/>
          <w:iCs/>
          <w:color w:val="6B7280"/>
          <w:sz w:val="18"/>
          <w:szCs w:val="18"/>
        </w:rPr>
        <w:t xml:space="preserve">..................... 13</w:t>
      </w:r>
    </w:p>
    <w:p>
      <w:pPr>
        <w:spacing w:after="60" w:before="80"/>
      </w:pPr>
      <w:r>
        <w:rPr>
          <w:color w:val="1B3A6B"/>
          <w:sz w:val="20"/>
          <w:szCs w:val="20"/>
        </w:rPr>
        <w:t xml:space="preserve">13.  Reporting &amp; Regulatory Disclosures</w:t>
      </w:r>
      <w:r>
        <w:rPr>
          <w:i/>
          <w:iCs/>
          <w:color w:val="6B7280"/>
          <w:sz w:val="18"/>
          <w:szCs w:val="18"/>
        </w:rPr>
        <w:t xml:space="preserve">..................... 14</w:t>
      </w:r>
    </w:p>
    <w:p>
      <w:pPr>
        <w:spacing w:after="60" w:before="80"/>
      </w:pPr>
      <w:r>
        <w:rPr>
          <w:color w:val="1B3A6B"/>
          <w:sz w:val="20"/>
          <w:szCs w:val="20"/>
        </w:rPr>
        <w:t xml:space="preserve">14.  Risk Assessment &amp; Penalty Matrix</w:t>
      </w:r>
      <w:r>
        <w:rPr>
          <w:i/>
          <w:iCs/>
          <w:color w:val="6B7280"/>
          <w:sz w:val="18"/>
          <w:szCs w:val="18"/>
        </w:rPr>
        <w:t xml:space="preserve">..................... 15</w:t>
      </w:r>
    </w:p>
    <w:p>
      <w:pPr>
        <w:spacing w:after="60" w:before="80"/>
      </w:pPr>
      <w:r>
        <w:rPr>
          <w:color w:val="1B3A6B"/>
          <w:sz w:val="20"/>
          <w:szCs w:val="20"/>
        </w:rPr>
        <w:t xml:space="preserve">15.  Training &amp; Awareness</w:t>
      </w:r>
      <w:r>
        <w:rPr>
          <w:i/>
          <w:iCs/>
          <w:color w:val="6B7280"/>
          <w:sz w:val="18"/>
          <w:szCs w:val="18"/>
        </w:rPr>
        <w:t xml:space="preserve">..................... 16</w:t>
      </w:r>
    </w:p>
    <w:p>
      <w:pPr>
        <w:spacing w:after="60" w:before="80"/>
      </w:pPr>
      <w:r>
        <w:rPr>
          <w:color w:val="1B3A6B"/>
          <w:sz w:val="20"/>
          <w:szCs w:val="20"/>
        </w:rPr>
        <w:t xml:space="preserve">16.  Policy Review &amp; Amendments</w:t>
      </w:r>
      <w:r>
        <w:rPr>
          <w:i/>
          <w:iCs/>
          <w:color w:val="6B7280"/>
          <w:sz w:val="18"/>
          <w:szCs w:val="18"/>
        </w:rPr>
        <w:t xml:space="preserve">..................... 16</w:t>
      </w:r>
    </w:p>
    <w:p>
      <w:r>
        <w:br w:type="page"/>
      </w:r>
    </w:p>
    <w:p>
      <w:pPr>
        <w:spacing w:after="80" w:before="240"/>
      </w:pPr>
      <w:r>
        <w:rPr>
          <w:b/>
          <w:bCs/>
          <w:color w:val="B45309"/>
          <w:sz w:val="22"/>
          <w:szCs w:val="22"/>
        </w:rPr>
        <w:t xml:space="preserve">1.  </w:t>
      </w:r>
      <w:r>
        <w:rPr>
          <w:b/>
          <w:bCs/>
          <w:color w:val="1B3A6B"/>
          <w:sz w:val="22"/>
          <w:szCs w:val="22"/>
        </w:rPr>
        <w:t xml:space="preserve">PURPOSE AND SCOPE</w:t>
      </w:r>
    </w:p>
    <w:p>
      <w:pPr>
        <w:spacing w:after="60" w:before="100"/>
        <w:ind w:left="360"/>
      </w:pPr>
      <w:r>
        <w:rPr>
          <w:b/>
          <w:bCs/>
          <w:color w:val="6B7280"/>
          <w:sz w:val="20"/>
          <w:szCs w:val="20"/>
        </w:rPr>
        <w:t xml:space="preserve">1.1  </w:t>
      </w:r>
      <w:r>
        <w:rPr>
          <w:color w:val="1F2937"/>
          <w:sz w:val="20"/>
          <w:szCs w:val="20"/>
        </w:rPr>
        <w:t xml:space="preserve">This Policy establishes the compliance framework for Bharat Commercial Bank Limited ("BCB" or "the Bank") in relation to credit card operations, in conformity with applicable Reserve Bank of India (RBI) directives, the Banking Regulation Act 1949, Payment and Settlement Systems Act 2007, and associated regulations.</w:t>
      </w:r>
    </w:p>
    <w:p>
      <w:pPr>
        <w:spacing w:after="60" w:before="100"/>
        <w:ind w:left="360"/>
      </w:pPr>
      <w:r>
        <w:rPr>
          <w:b/>
          <w:bCs/>
          <w:color w:val="6B7280"/>
          <w:sz w:val="20"/>
          <w:szCs w:val="20"/>
        </w:rPr>
        <w:t xml:space="preserve">1.2  </w:t>
      </w:r>
      <w:r>
        <w:rPr>
          <w:color w:val="1F2937"/>
          <w:sz w:val="20"/>
          <w:szCs w:val="20"/>
        </w:rPr>
        <w:t xml:space="preserve">The Policy applies to all credit card products issued by BCB, including Classic, Gold, Platinum, Titanium, and Co-branded Cards, as well as Add-on Cards issued to supplementary cardholders.</w:t>
      </w:r>
    </w:p>
    <w:p>
      <w:pPr>
        <w:spacing w:after="60" w:before="100"/>
        <w:ind w:left="360"/>
      </w:pPr>
      <w:r>
        <w:rPr>
          <w:b/>
          <w:bCs/>
          <w:color w:val="6B7280"/>
          <w:sz w:val="20"/>
          <w:szCs w:val="20"/>
        </w:rPr>
        <w:t xml:space="preserve">1.3  </w:t>
      </w:r>
      <w:r>
        <w:rPr>
          <w:color w:val="1F2937"/>
          <w:sz w:val="20"/>
          <w:szCs w:val="20"/>
        </w:rPr>
        <w:t xml:space="preserve">All departments involved in credit card lifecycle management — Sales, Underwriting, Operations, IT, Risk, Legal, and Customer Service — are required to adhere to this policy.</w:t>
      </w:r>
    </w:p>
    <w:p>
      <w:pPr>
        <w:spacing w:after="60" w:before="100"/>
        <w:ind w:left="360"/>
      </w:pPr>
      <w:r>
        <w:rPr>
          <w:b/>
          <w:bCs/>
          <w:color w:val="6B7280"/>
          <w:sz w:val="20"/>
          <w:szCs w:val="20"/>
        </w:rPr>
        <w:t xml:space="preserve">1.4  </w:t>
      </w:r>
      <w:r>
        <w:rPr>
          <w:color w:val="1F2937"/>
          <w:sz w:val="20"/>
          <w:szCs w:val="20"/>
        </w:rPr>
        <w:t xml:space="preserve">The policy supersedes BCB/COMP/CC/2022-23/001 Version 2.1 and all earlier circulars issued internally on this subject.</w:t>
      </w:r>
    </w:p>
    <w:p>
      <w:pPr>
        <w:spacing w:after="60" w:before="80"/>
        <w:ind w:left="360"/>
      </w:pPr>
      <w:r>
        <w:rPr>
          <w:b/>
          <w:bCs/>
          <w:color w:val="B91C1C"/>
          <w:sz w:val="18"/>
          <w:szCs w:val="18"/>
        </w:rPr>
        <w:t xml:space="preserve">Note: </w:t>
      </w:r>
      <w:r>
        <w:rPr>
          <w:i/>
          <w:iCs/>
          <w:color w:val="B91C1C"/>
          <w:sz w:val="18"/>
          <w:szCs w:val="18"/>
        </w:rPr>
        <w:t xml:space="preserve">This policy does not cover Prepaid Payment Instruments (PPI) or debit card operations, which are governed under separate policies.</w:t>
      </w:r>
    </w:p>
    <w:p>
      <w:pPr>
        <w:spacing w:after="80" w:before="240"/>
      </w:pPr>
      <w:r>
        <w:rPr>
          <w:b/>
          <w:bCs/>
          <w:color w:val="B45309"/>
          <w:sz w:val="22"/>
          <w:szCs w:val="22"/>
        </w:rPr>
        <w:t xml:space="preserve">2.  </w:t>
      </w:r>
      <w:r>
        <w:rPr>
          <w:b/>
          <w:bCs/>
          <w:color w:val="1B3A6B"/>
          <w:sz w:val="22"/>
          <w:szCs w:val="22"/>
        </w:rPr>
        <w:t xml:space="preserve">REGULATORY FRAMEWORK</w:t>
      </w:r>
    </w:p>
    <w:p>
      <w:pPr>
        <w:spacing w:after="60" w:before="100"/>
        <w:ind w:left="360"/>
      </w:pPr>
      <w:r>
        <w:rPr>
          <w:b/>
          <w:bCs/>
          <w:color w:val="6B7280"/>
          <w:sz w:val="20"/>
          <w:szCs w:val="20"/>
        </w:rPr>
        <w:t xml:space="preserve">2.1  </w:t>
      </w:r>
      <w:r>
        <w:rPr>
          <w:color w:val="1F2937"/>
          <w:sz w:val="20"/>
          <w:szCs w:val="20"/>
        </w:rPr>
        <w:t xml:space="preserve">The following RBI Master Directions and Circulars form the primary regulatory basis for this policy:</w:t>
      </w:r>
    </w:p>
    <w:p>
      <w:pPr>
        <w:spacing w:before="80"/>
      </w:pPr>
      <w:r>
        <w:t xml:space="preserve"/>
      </w:r>
    </w:p>
    <w:tbl>
      <w:tblPr>
        <w:tblW w:type="dxa" w:w="9200"/>
        <w:tblBorders>
          <w:top w:val="single" w:color="CBD5E1" w:sz="2"/>
          <w:left w:val="single" w:color="CBD5E1" w:sz="2"/>
          <w:bottom w:val="single" w:color="CBD5E1" w:sz="2"/>
          <w:right w:val="single" w:color="CBD5E1" w:sz="2"/>
          <w:insideH w:val="single" w:color="auto" w:sz="4"/>
          <w:insideV w:val="single" w:color="auto" w:sz="4"/>
        </w:tblBorders>
      </w:tblPr>
      <w:tblGrid>
        <w:gridCol w:w="400"/>
        <w:gridCol w:w="2800"/>
        <w:gridCol w:w="4000"/>
        <w:gridCol w:w="1600"/>
      </w:tblGrid>
      <w:tr>
        <w:trPr>
          <w:tblHeader/>
        </w:trPr>
        <w:tc>
          <w:tcPr>
            <w:tcW w:type="dxa" w:w="400"/>
            <w:shd w:fill="1B3A6B" w:color="auto" w:val="clear"/>
            <w:tcMar>
              <w:top w:type="dxa" w:w="80"/>
              <w:left w:type="dxa" w:w="120"/>
              <w:bottom w:type="dxa" w:w="80"/>
              <w:right w:type="dxa" w:w="120"/>
            </w:tcMar>
          </w:tcPr>
          <w:p>
            <w:pPr>
              <w:jc w:val="center"/>
            </w:pPr>
            <w:r>
              <w:rPr>
                <w:b/>
                <w:bCs/>
                <w:color w:val="FFFFFF"/>
                <w:sz w:val="18"/>
                <w:szCs w:val="18"/>
              </w:rPr>
              <w:t xml:space="preserve">S.No.</w:t>
            </w:r>
          </w:p>
        </w:tc>
        <w:tc>
          <w:tcPr>
            <w:tcW w:type="dxa" w:w="2800"/>
            <w:shd w:fill="1B3A6B" w:color="auto" w:val="clear"/>
            <w:tcMar>
              <w:top w:type="dxa" w:w="80"/>
              <w:left w:type="dxa" w:w="120"/>
              <w:bottom w:type="dxa" w:w="80"/>
              <w:right w:type="dxa" w:w="120"/>
            </w:tcMar>
          </w:tcPr>
          <w:p>
            <w:pPr>
              <w:jc w:val="center"/>
            </w:pPr>
            <w:r>
              <w:rPr>
                <w:b/>
                <w:bCs/>
                <w:color w:val="FFFFFF"/>
                <w:sz w:val="18"/>
                <w:szCs w:val="18"/>
              </w:rPr>
              <w:t xml:space="preserve">Regulatory Reference</w:t>
            </w:r>
          </w:p>
        </w:tc>
        <w:tc>
          <w:tcPr>
            <w:tcW w:type="dxa" w:w="4000"/>
            <w:shd w:fill="1B3A6B" w:color="auto" w:val="clear"/>
            <w:tcMar>
              <w:top w:type="dxa" w:w="80"/>
              <w:left w:type="dxa" w:w="120"/>
              <w:bottom w:type="dxa" w:w="80"/>
              <w:right w:type="dxa" w:w="120"/>
            </w:tcMar>
          </w:tcPr>
          <w:p>
            <w:pPr>
              <w:jc w:val="center"/>
            </w:pPr>
            <w:r>
              <w:rPr>
                <w:b/>
                <w:bCs/>
                <w:color w:val="FFFFFF"/>
                <w:sz w:val="18"/>
                <w:szCs w:val="18"/>
              </w:rPr>
              <w:t xml:space="preserve">Subject</w:t>
            </w:r>
          </w:p>
        </w:tc>
        <w:tc>
          <w:tcPr>
            <w:tcW w:type="dxa" w:w="1600"/>
            <w:shd w:fill="1B3A6B" w:color="auto" w:val="clear"/>
            <w:tcMar>
              <w:top w:type="dxa" w:w="80"/>
              <w:left w:type="dxa" w:w="120"/>
              <w:bottom w:type="dxa" w:w="80"/>
              <w:right w:type="dxa" w:w="120"/>
            </w:tcMar>
          </w:tcPr>
          <w:p>
            <w:pPr>
              <w:jc w:val="center"/>
            </w:pPr>
            <w:r>
              <w:rPr>
                <w:b/>
                <w:bCs/>
                <w:color w:val="FFFFFF"/>
                <w:sz w:val="18"/>
                <w:szCs w:val="18"/>
              </w:rPr>
              <w:t xml:space="preserve">Effective Date</w:t>
            </w:r>
          </w:p>
        </w:tc>
      </w:tr>
      <w:tr>
        <w:tc>
          <w:tcPr>
            <w:tcW w:type="dxa" w:w="400"/>
            <w:shd w:fill="F0F4FF" w:color="auto" w:val="clear"/>
            <w:tcMar>
              <w:top w:type="dxa" w:w="80"/>
              <w:left w:type="dxa" w:w="120"/>
              <w:bottom w:type="dxa" w:w="80"/>
              <w:right w:type="dxa" w:w="120"/>
            </w:tcMar>
          </w:tcPr>
          <w:p>
            <w:pPr>
              <w:jc w:val="left"/>
            </w:pPr>
            <w:r>
              <w:rPr>
                <w:color w:val="1F2937"/>
                <w:sz w:val="18"/>
                <w:szCs w:val="18"/>
              </w:rPr>
              <w:t xml:space="preserve">1</w:t>
            </w:r>
          </w:p>
        </w:tc>
        <w:tc>
          <w:tcPr>
            <w:tcW w:type="dxa" w:w="2800"/>
            <w:shd w:fill="F0F4FF" w:color="auto" w:val="clear"/>
            <w:tcMar>
              <w:top w:type="dxa" w:w="80"/>
              <w:left w:type="dxa" w:w="120"/>
              <w:bottom w:type="dxa" w:w="80"/>
              <w:right w:type="dxa" w:w="120"/>
            </w:tcMar>
          </w:tcPr>
          <w:p>
            <w:pPr>
              <w:jc w:val="center"/>
            </w:pPr>
            <w:r>
              <w:rPr>
                <w:color w:val="1F2937"/>
                <w:sz w:val="18"/>
                <w:szCs w:val="18"/>
              </w:rPr>
              <w:t xml:space="preserve">RBI/2022-23/68 DBOD.No.FSD.BC.20/24.01.009/2022-23</w:t>
            </w:r>
          </w:p>
        </w:tc>
        <w:tc>
          <w:tcPr>
            <w:tcW w:type="dxa" w:w="4000"/>
            <w:shd w:fill="F0F4FF" w:color="auto" w:val="clear"/>
            <w:tcMar>
              <w:top w:type="dxa" w:w="80"/>
              <w:left w:type="dxa" w:w="120"/>
              <w:bottom w:type="dxa" w:w="80"/>
              <w:right w:type="dxa" w:w="120"/>
            </w:tcMar>
          </w:tcPr>
          <w:p>
            <w:pPr>
              <w:jc w:val="center"/>
            </w:pPr>
            <w:r>
              <w:rPr>
                <w:color w:val="1F2937"/>
                <w:sz w:val="18"/>
                <w:szCs w:val="18"/>
              </w:rPr>
              <w:t xml:space="preserve">Master Direction – Credit Card &amp; Debit Card Issuance and Conduct Directions, 2022</w:t>
            </w:r>
          </w:p>
        </w:tc>
        <w:tc>
          <w:tcPr>
            <w:tcW w:type="dxa" w:w="1600"/>
            <w:shd w:fill="F0F4FF" w:color="auto" w:val="clear"/>
            <w:tcMar>
              <w:top w:type="dxa" w:w="80"/>
              <w:left w:type="dxa" w:w="120"/>
              <w:bottom w:type="dxa" w:w="80"/>
              <w:right w:type="dxa" w:w="120"/>
            </w:tcMar>
          </w:tcPr>
          <w:p>
            <w:pPr>
              <w:jc w:val="center"/>
            </w:pPr>
            <w:r>
              <w:rPr>
                <w:color w:val="1F2937"/>
                <w:sz w:val="18"/>
                <w:szCs w:val="18"/>
              </w:rPr>
              <w:t xml:space="preserve">01 Jul 2022</w:t>
            </w:r>
          </w:p>
        </w:tc>
      </w:tr>
      <w:tr>
        <w:tc>
          <w:tcPr>
            <w:tcW w:type="dxa" w:w="400"/>
            <w:shd w:fill="FFFFFF" w:color="auto" w:val="clear"/>
            <w:tcMar>
              <w:top w:type="dxa" w:w="80"/>
              <w:left w:type="dxa" w:w="120"/>
              <w:bottom w:type="dxa" w:w="80"/>
              <w:right w:type="dxa" w:w="120"/>
            </w:tcMar>
          </w:tcPr>
          <w:p>
            <w:pPr>
              <w:jc w:val="left"/>
            </w:pPr>
            <w:r>
              <w:rPr>
                <w:color w:val="1F2937"/>
                <w:sz w:val="18"/>
                <w:szCs w:val="18"/>
              </w:rPr>
              <w:t xml:space="preserve">2</w:t>
            </w:r>
          </w:p>
        </w:tc>
        <w:tc>
          <w:tcPr>
            <w:tcW w:type="dxa" w:w="2800"/>
            <w:shd w:fill="FFFFFF" w:color="auto" w:val="clear"/>
            <w:tcMar>
              <w:top w:type="dxa" w:w="80"/>
              <w:left w:type="dxa" w:w="120"/>
              <w:bottom w:type="dxa" w:w="80"/>
              <w:right w:type="dxa" w:w="120"/>
            </w:tcMar>
          </w:tcPr>
          <w:p>
            <w:pPr>
              <w:jc w:val="center"/>
            </w:pPr>
            <w:r>
              <w:rPr>
                <w:color w:val="1F2937"/>
                <w:sz w:val="18"/>
                <w:szCs w:val="18"/>
              </w:rPr>
              <w:t xml:space="preserve">RBI/2023-24/50 CO.DPSS.POLC.No.S-613/02-14-003/2023-24</w:t>
            </w:r>
          </w:p>
        </w:tc>
        <w:tc>
          <w:tcPr>
            <w:tcW w:type="dxa" w:w="4000"/>
            <w:shd w:fill="FFFFFF" w:color="auto" w:val="clear"/>
            <w:tcMar>
              <w:top w:type="dxa" w:w="80"/>
              <w:left w:type="dxa" w:w="120"/>
              <w:bottom w:type="dxa" w:w="80"/>
              <w:right w:type="dxa" w:w="120"/>
            </w:tcMar>
          </w:tcPr>
          <w:p>
            <w:pPr>
              <w:jc w:val="center"/>
            </w:pPr>
            <w:r>
              <w:rPr>
                <w:color w:val="1F2937"/>
                <w:sz w:val="18"/>
                <w:szCs w:val="18"/>
              </w:rPr>
              <w:t xml:space="preserve">Amendment to Master Direction on Credit Cards – Interest Rate Disclosure</w:t>
            </w:r>
          </w:p>
        </w:tc>
        <w:tc>
          <w:tcPr>
            <w:tcW w:type="dxa" w:w="1600"/>
            <w:shd w:fill="FFFFFF" w:color="auto" w:val="clear"/>
            <w:tcMar>
              <w:top w:type="dxa" w:w="80"/>
              <w:left w:type="dxa" w:w="120"/>
              <w:bottom w:type="dxa" w:w="80"/>
              <w:right w:type="dxa" w:w="120"/>
            </w:tcMar>
          </w:tcPr>
          <w:p>
            <w:pPr>
              <w:jc w:val="center"/>
            </w:pPr>
            <w:r>
              <w:rPr>
                <w:color w:val="1F2937"/>
                <w:sz w:val="18"/>
                <w:szCs w:val="18"/>
              </w:rPr>
              <w:t xml:space="preserve">15 Sep 2023</w:t>
            </w:r>
          </w:p>
        </w:tc>
      </w:tr>
      <w:tr>
        <w:tc>
          <w:tcPr>
            <w:tcW w:type="dxa" w:w="400"/>
            <w:shd w:fill="F0F4FF" w:color="auto" w:val="clear"/>
            <w:tcMar>
              <w:top w:type="dxa" w:w="80"/>
              <w:left w:type="dxa" w:w="120"/>
              <w:bottom w:type="dxa" w:w="80"/>
              <w:right w:type="dxa" w:w="120"/>
            </w:tcMar>
          </w:tcPr>
          <w:p>
            <w:pPr>
              <w:jc w:val="left"/>
            </w:pPr>
            <w:r>
              <w:rPr>
                <w:color w:val="1F2937"/>
                <w:sz w:val="18"/>
                <w:szCs w:val="18"/>
              </w:rPr>
              <w:t xml:space="preserve">3</w:t>
            </w:r>
          </w:p>
        </w:tc>
        <w:tc>
          <w:tcPr>
            <w:tcW w:type="dxa" w:w="2800"/>
            <w:shd w:fill="F0F4FF" w:color="auto" w:val="clear"/>
            <w:tcMar>
              <w:top w:type="dxa" w:w="80"/>
              <w:left w:type="dxa" w:w="120"/>
              <w:bottom w:type="dxa" w:w="80"/>
              <w:right w:type="dxa" w:w="120"/>
            </w:tcMar>
          </w:tcPr>
          <w:p>
            <w:pPr>
              <w:jc w:val="center"/>
            </w:pPr>
            <w:r>
              <w:rPr>
                <w:color w:val="1F2937"/>
                <w:sz w:val="18"/>
                <w:szCs w:val="18"/>
              </w:rPr>
              <w:t xml:space="preserve">RBI/2023-24/73 FIDD.CO.Plan.BC.08/04.09.01/2023-24</w:t>
            </w:r>
          </w:p>
        </w:tc>
        <w:tc>
          <w:tcPr>
            <w:tcW w:type="dxa" w:w="4000"/>
            <w:shd w:fill="F0F4FF" w:color="auto" w:val="clear"/>
            <w:tcMar>
              <w:top w:type="dxa" w:w="80"/>
              <w:left w:type="dxa" w:w="120"/>
              <w:bottom w:type="dxa" w:w="80"/>
              <w:right w:type="dxa" w:w="120"/>
            </w:tcMar>
          </w:tcPr>
          <w:p>
            <w:pPr>
              <w:jc w:val="center"/>
            </w:pPr>
            <w:r>
              <w:rPr>
                <w:color w:val="1F2937"/>
                <w:sz w:val="18"/>
                <w:szCs w:val="18"/>
              </w:rPr>
              <w:t xml:space="preserve">Fair Lending Practices – Penal Charges in Loan Accounts &amp; Credit Cards</w:t>
            </w:r>
          </w:p>
        </w:tc>
        <w:tc>
          <w:tcPr>
            <w:tcW w:type="dxa" w:w="1600"/>
            <w:shd w:fill="F0F4FF" w:color="auto" w:val="clear"/>
            <w:tcMar>
              <w:top w:type="dxa" w:w="80"/>
              <w:left w:type="dxa" w:w="120"/>
              <w:bottom w:type="dxa" w:w="80"/>
              <w:right w:type="dxa" w:w="120"/>
            </w:tcMar>
          </w:tcPr>
          <w:p>
            <w:pPr>
              <w:jc w:val="center"/>
            </w:pPr>
            <w:r>
              <w:rPr>
                <w:color w:val="1F2937"/>
                <w:sz w:val="18"/>
                <w:szCs w:val="18"/>
              </w:rPr>
              <w:t xml:space="preserve">01 Jan 2024</w:t>
            </w:r>
          </w:p>
        </w:tc>
      </w:tr>
      <w:tr>
        <w:tc>
          <w:tcPr>
            <w:tcW w:type="dxa" w:w="400"/>
            <w:shd w:fill="FFFFFF" w:color="auto" w:val="clear"/>
            <w:tcMar>
              <w:top w:type="dxa" w:w="80"/>
              <w:left w:type="dxa" w:w="120"/>
              <w:bottom w:type="dxa" w:w="80"/>
              <w:right w:type="dxa" w:w="120"/>
            </w:tcMar>
          </w:tcPr>
          <w:p>
            <w:pPr>
              <w:jc w:val="left"/>
            </w:pPr>
            <w:r>
              <w:rPr>
                <w:color w:val="1F2937"/>
                <w:sz w:val="18"/>
                <w:szCs w:val="18"/>
              </w:rPr>
              <w:t xml:space="preserve">4</w:t>
            </w:r>
          </w:p>
        </w:tc>
        <w:tc>
          <w:tcPr>
            <w:tcW w:type="dxa" w:w="2800"/>
            <w:shd w:fill="FFFFFF" w:color="auto" w:val="clear"/>
            <w:tcMar>
              <w:top w:type="dxa" w:w="80"/>
              <w:left w:type="dxa" w:w="120"/>
              <w:bottom w:type="dxa" w:w="80"/>
              <w:right w:type="dxa" w:w="120"/>
            </w:tcMar>
          </w:tcPr>
          <w:p>
            <w:pPr>
              <w:jc w:val="center"/>
            </w:pPr>
            <w:r>
              <w:rPr>
                <w:color w:val="1F2937"/>
                <w:sz w:val="18"/>
                <w:szCs w:val="18"/>
              </w:rPr>
              <w:t xml:space="preserve">RBI/2023-24/101 CO.DPSS.POLC.No.S-1164/02-14-003/2023-24</w:t>
            </w:r>
          </w:p>
        </w:tc>
        <w:tc>
          <w:tcPr>
            <w:tcW w:type="dxa" w:w="4000"/>
            <w:shd w:fill="FFFFFF" w:color="auto" w:val="clear"/>
            <w:tcMar>
              <w:top w:type="dxa" w:w="80"/>
              <w:left w:type="dxa" w:w="120"/>
              <w:bottom w:type="dxa" w:w="80"/>
              <w:right w:type="dxa" w:w="120"/>
            </w:tcMar>
          </w:tcPr>
          <w:p>
            <w:pPr>
              <w:jc w:val="center"/>
            </w:pPr>
            <w:r>
              <w:rPr>
                <w:color w:val="1F2937"/>
                <w:sz w:val="18"/>
                <w:szCs w:val="18"/>
              </w:rPr>
              <w:t xml:space="preserve">Mandatory Credit Card Features – Key Fact Statement (KFS)</w:t>
            </w:r>
          </w:p>
        </w:tc>
        <w:tc>
          <w:tcPr>
            <w:tcW w:type="dxa" w:w="1600"/>
            <w:shd w:fill="FFFFFF" w:color="auto" w:val="clear"/>
            <w:tcMar>
              <w:top w:type="dxa" w:w="80"/>
              <w:left w:type="dxa" w:w="120"/>
              <w:bottom w:type="dxa" w:w="80"/>
              <w:right w:type="dxa" w:w="120"/>
            </w:tcMar>
          </w:tcPr>
          <w:p>
            <w:pPr>
              <w:jc w:val="center"/>
            </w:pPr>
            <w:r>
              <w:rPr>
                <w:color w:val="1F2937"/>
                <w:sz w:val="18"/>
                <w:szCs w:val="18"/>
              </w:rPr>
              <w:t xml:space="preserve">01 Oct 2023</w:t>
            </w:r>
          </w:p>
        </w:tc>
      </w:tr>
      <w:tr>
        <w:tc>
          <w:tcPr>
            <w:tcW w:type="dxa" w:w="400"/>
            <w:shd w:fill="F0F4FF" w:color="auto" w:val="clear"/>
            <w:tcMar>
              <w:top w:type="dxa" w:w="80"/>
              <w:left w:type="dxa" w:w="120"/>
              <w:bottom w:type="dxa" w:w="80"/>
              <w:right w:type="dxa" w:w="120"/>
            </w:tcMar>
          </w:tcPr>
          <w:p>
            <w:pPr>
              <w:jc w:val="left"/>
            </w:pPr>
            <w:r>
              <w:rPr>
                <w:color w:val="1F2937"/>
                <w:sz w:val="18"/>
                <w:szCs w:val="18"/>
              </w:rPr>
              <w:t xml:space="preserve">5</w:t>
            </w:r>
          </w:p>
        </w:tc>
        <w:tc>
          <w:tcPr>
            <w:tcW w:type="dxa" w:w="2800"/>
            <w:shd w:fill="F0F4FF" w:color="auto" w:val="clear"/>
            <w:tcMar>
              <w:top w:type="dxa" w:w="80"/>
              <w:left w:type="dxa" w:w="120"/>
              <w:bottom w:type="dxa" w:w="80"/>
              <w:right w:type="dxa" w:w="120"/>
            </w:tcMar>
          </w:tcPr>
          <w:p>
            <w:pPr>
              <w:jc w:val="center"/>
            </w:pPr>
            <w:r>
              <w:rPr>
                <w:color w:val="1F2937"/>
                <w:sz w:val="18"/>
                <w:szCs w:val="18"/>
              </w:rPr>
              <w:t xml:space="preserve">BPSS/2024/01</w:t>
            </w:r>
          </w:p>
        </w:tc>
        <w:tc>
          <w:tcPr>
            <w:tcW w:type="dxa" w:w="4000"/>
            <w:shd w:fill="F0F4FF" w:color="auto" w:val="clear"/>
            <w:tcMar>
              <w:top w:type="dxa" w:w="80"/>
              <w:left w:type="dxa" w:w="120"/>
              <w:bottom w:type="dxa" w:w="80"/>
              <w:right w:type="dxa" w:w="120"/>
            </w:tcMar>
          </w:tcPr>
          <w:p>
            <w:pPr>
              <w:jc w:val="center"/>
            </w:pPr>
            <w:r>
              <w:rPr>
                <w:color w:val="1F2937"/>
                <w:sz w:val="18"/>
                <w:szCs w:val="18"/>
              </w:rPr>
              <w:t xml:space="preserve">Cyber Security Framework for Payment Systems</w:t>
            </w:r>
          </w:p>
        </w:tc>
        <w:tc>
          <w:tcPr>
            <w:tcW w:type="dxa" w:w="1600"/>
            <w:shd w:fill="F0F4FF" w:color="auto" w:val="clear"/>
            <w:tcMar>
              <w:top w:type="dxa" w:w="80"/>
              <w:left w:type="dxa" w:w="120"/>
              <w:bottom w:type="dxa" w:w="80"/>
              <w:right w:type="dxa" w:w="120"/>
            </w:tcMar>
          </w:tcPr>
          <w:p>
            <w:pPr>
              <w:jc w:val="center"/>
            </w:pPr>
            <w:r>
              <w:rPr>
                <w:color w:val="1F2937"/>
                <w:sz w:val="18"/>
                <w:szCs w:val="18"/>
              </w:rPr>
              <w:t xml:space="preserve">01 Apr 2024</w:t>
            </w:r>
          </w:p>
        </w:tc>
      </w:tr>
      <w:tr>
        <w:tc>
          <w:tcPr>
            <w:tcW w:type="dxa" w:w="400"/>
            <w:shd w:fill="FFFFFF" w:color="auto" w:val="clear"/>
            <w:tcMar>
              <w:top w:type="dxa" w:w="80"/>
              <w:left w:type="dxa" w:w="120"/>
              <w:bottom w:type="dxa" w:w="80"/>
              <w:right w:type="dxa" w:w="120"/>
            </w:tcMar>
          </w:tcPr>
          <w:p>
            <w:pPr>
              <w:jc w:val="left"/>
            </w:pPr>
            <w:r>
              <w:rPr>
                <w:color w:val="1F2937"/>
                <w:sz w:val="18"/>
                <w:szCs w:val="18"/>
              </w:rPr>
              <w:t xml:space="preserve">6</w:t>
            </w:r>
          </w:p>
        </w:tc>
        <w:tc>
          <w:tcPr>
            <w:tcW w:type="dxa" w:w="2800"/>
            <w:shd w:fill="FFFFFF" w:color="auto" w:val="clear"/>
            <w:tcMar>
              <w:top w:type="dxa" w:w="80"/>
              <w:left w:type="dxa" w:w="120"/>
              <w:bottom w:type="dxa" w:w="80"/>
              <w:right w:type="dxa" w:w="120"/>
            </w:tcMar>
          </w:tcPr>
          <w:p>
            <w:pPr>
              <w:jc w:val="center"/>
            </w:pPr>
            <w:r>
              <w:rPr>
                <w:color w:val="1F2937"/>
                <w:sz w:val="18"/>
                <w:szCs w:val="18"/>
              </w:rPr>
              <w:t xml:space="preserve">Prevention of Money Laundering Act 2002 (PMLA)</w:t>
            </w:r>
          </w:p>
        </w:tc>
        <w:tc>
          <w:tcPr>
            <w:tcW w:type="dxa" w:w="4000"/>
            <w:shd w:fill="FFFFFF" w:color="auto" w:val="clear"/>
            <w:tcMar>
              <w:top w:type="dxa" w:w="80"/>
              <w:left w:type="dxa" w:w="120"/>
              <w:bottom w:type="dxa" w:w="80"/>
              <w:right w:type="dxa" w:w="120"/>
            </w:tcMar>
          </w:tcPr>
          <w:p>
            <w:pPr>
              <w:jc w:val="center"/>
            </w:pPr>
            <w:r>
              <w:rPr>
                <w:color w:val="1F2937"/>
                <w:sz w:val="18"/>
                <w:szCs w:val="18"/>
              </w:rPr>
              <w:t xml:space="preserve">AML / CFT requirements for Card Issuance</w:t>
            </w:r>
          </w:p>
        </w:tc>
        <w:tc>
          <w:tcPr>
            <w:tcW w:type="dxa" w:w="1600"/>
            <w:shd w:fill="FFFFFF" w:color="auto" w:val="clear"/>
            <w:tcMar>
              <w:top w:type="dxa" w:w="80"/>
              <w:left w:type="dxa" w:w="120"/>
              <w:bottom w:type="dxa" w:w="80"/>
              <w:right w:type="dxa" w:w="120"/>
            </w:tcMar>
          </w:tcPr>
          <w:p>
            <w:pPr>
              <w:jc w:val="center"/>
            </w:pPr>
            <w:r>
              <w:rPr>
                <w:color w:val="1F2937"/>
                <w:sz w:val="18"/>
                <w:szCs w:val="18"/>
              </w:rPr>
              <w:t xml:space="preserve">Ongoing</w:t>
            </w:r>
          </w:p>
        </w:tc>
      </w:tr>
    </w:tbl>
    <w:p>
      <w:pPr>
        <w:spacing w:before="80"/>
      </w:pPr>
      <w:r>
        <w:t xml:space="preserve"/>
      </w:r>
    </w:p>
    <w:p>
      <w:pPr>
        <w:spacing w:after="60" w:before="100"/>
        <w:ind w:left="360"/>
      </w:pPr>
      <w:r>
        <w:rPr>
          <w:b/>
          <w:bCs/>
          <w:color w:val="6B7280"/>
          <w:sz w:val="20"/>
          <w:szCs w:val="20"/>
        </w:rPr>
        <w:t xml:space="preserve">2.2  </w:t>
      </w:r>
      <w:r>
        <w:rPr>
          <w:color w:val="1F2937"/>
          <w:sz w:val="20"/>
          <w:szCs w:val="20"/>
        </w:rPr>
        <w:t xml:space="preserve">In addition to the above, BCB shall comply with SEBI guidelines on co-branded cards, IRDAI regulations where applicable, and directions issued by the Ministry of Finance from time to time.</w:t>
      </w:r>
    </w:p>
    <w:p>
      <w:pPr>
        <w:spacing w:after="60" w:before="100"/>
        <w:ind w:left="360"/>
      </w:pPr>
      <w:r>
        <w:rPr>
          <w:b/>
          <w:bCs/>
          <w:color w:val="6B7280"/>
          <w:sz w:val="20"/>
          <w:szCs w:val="20"/>
        </w:rPr>
        <w:t xml:space="preserve">2.3  </w:t>
      </w:r>
      <w:r>
        <w:rPr>
          <w:color w:val="1F2937"/>
          <w:sz w:val="20"/>
          <w:szCs w:val="20"/>
        </w:rPr>
        <w:t xml:space="preserve">Any conflict between internal policy and RBI directives shall be resolved in favour of the regulatory directive. Compliance team must notify the Legal department and BRCC within 48 hours of identifying any such conflict.</w:t>
      </w:r>
    </w:p>
    <w:p>
      <w:pPr>
        <w:spacing w:after="80" w:before="240"/>
      </w:pPr>
      <w:r>
        <w:rPr>
          <w:b/>
          <w:bCs/>
          <w:color w:val="B45309"/>
          <w:sz w:val="22"/>
          <w:szCs w:val="22"/>
        </w:rPr>
        <w:t xml:space="preserve">3.  </w:t>
      </w:r>
      <w:r>
        <w:rPr>
          <w:b/>
          <w:bCs/>
          <w:color w:val="1B3A6B"/>
          <w:sz w:val="22"/>
          <w:szCs w:val="22"/>
        </w:rPr>
        <w:t xml:space="preserve">DEFINITIONS</w:t>
      </w:r>
    </w:p>
    <w:p>
      <w:pPr>
        <w:spacing w:before="80"/>
      </w:pPr>
      <w:r>
        <w:t xml:space="preserve"/>
      </w:r>
    </w:p>
    <w:tbl>
      <w:tblPr>
        <w:tblW w:type="dxa" w:w="9200"/>
        <w:tblBorders>
          <w:top w:val="single" w:color="CBD5E1" w:sz="2"/>
          <w:left w:val="single" w:color="CBD5E1" w:sz="2"/>
          <w:bottom w:val="single" w:color="CBD5E1" w:sz="2"/>
          <w:right w:val="single" w:color="CBD5E1" w:sz="2"/>
          <w:insideH w:val="single" w:color="auto" w:sz="4"/>
          <w:insideV w:val="single" w:color="auto" w:sz="4"/>
        </w:tblBorders>
      </w:tblPr>
      <w:tblGrid>
        <w:gridCol w:w="2200"/>
        <w:gridCol w:w="7000"/>
      </w:tblGrid>
      <w:tr>
        <w:trPr>
          <w:tblHeader/>
        </w:trPr>
        <w:tc>
          <w:tcPr>
            <w:tcW w:type="dxa" w:w="2200"/>
            <w:shd w:fill="1B3A6B" w:color="auto" w:val="clear"/>
            <w:tcMar>
              <w:top w:type="dxa" w:w="80"/>
              <w:left w:type="dxa" w:w="120"/>
              <w:bottom w:type="dxa" w:w="80"/>
              <w:right w:type="dxa" w:w="120"/>
            </w:tcMar>
          </w:tcPr>
          <w:p>
            <w:pPr>
              <w:jc w:val="center"/>
            </w:pPr>
            <w:r>
              <w:rPr>
                <w:b/>
                <w:bCs/>
                <w:color w:val="FFFFFF"/>
                <w:sz w:val="18"/>
                <w:szCs w:val="18"/>
              </w:rPr>
              <w:t xml:space="preserve">Term</w:t>
            </w:r>
          </w:p>
        </w:tc>
        <w:tc>
          <w:tcPr>
            <w:tcW w:type="dxa" w:w="7000"/>
            <w:shd w:fill="1B3A6B" w:color="auto" w:val="clear"/>
            <w:tcMar>
              <w:top w:type="dxa" w:w="80"/>
              <w:left w:type="dxa" w:w="120"/>
              <w:bottom w:type="dxa" w:w="80"/>
              <w:right w:type="dxa" w:w="120"/>
            </w:tcMar>
          </w:tcPr>
          <w:p>
            <w:pPr>
              <w:jc w:val="center"/>
            </w:pPr>
            <w:r>
              <w:rPr>
                <w:b/>
                <w:bCs/>
                <w:color w:val="FFFFFF"/>
                <w:sz w:val="18"/>
                <w:szCs w:val="18"/>
              </w:rPr>
              <w:t xml:space="preserve">Definition</w:t>
            </w:r>
          </w:p>
        </w:tc>
      </w:tr>
      <w:tr>
        <w:tc>
          <w:tcPr>
            <w:tcW w:type="dxa" w:w="2200"/>
            <w:shd w:fill="F0F4FF" w:color="auto" w:val="clear"/>
            <w:tcMar>
              <w:top w:type="dxa" w:w="80"/>
              <w:left w:type="dxa" w:w="120"/>
              <w:bottom w:type="dxa" w:w="80"/>
              <w:right w:type="dxa" w:w="120"/>
            </w:tcMar>
          </w:tcPr>
          <w:p>
            <w:pPr>
              <w:jc w:val="left"/>
            </w:pPr>
            <w:r>
              <w:rPr>
                <w:color w:val="1F2937"/>
                <w:sz w:val="18"/>
                <w:szCs w:val="18"/>
              </w:rPr>
              <w:t xml:space="preserve">Cardholder</w:t>
            </w:r>
          </w:p>
        </w:tc>
        <w:tc>
          <w:tcPr>
            <w:tcW w:type="dxa" w:w="7000"/>
            <w:shd w:fill="F0F4FF" w:color="auto" w:val="clear"/>
            <w:tcMar>
              <w:top w:type="dxa" w:w="80"/>
              <w:left w:type="dxa" w:w="120"/>
              <w:bottom w:type="dxa" w:w="80"/>
              <w:right w:type="dxa" w:w="120"/>
            </w:tcMar>
          </w:tcPr>
          <w:p>
            <w:pPr>
              <w:jc w:val="center"/>
            </w:pPr>
            <w:r>
              <w:rPr>
                <w:color w:val="1F2937"/>
                <w:sz w:val="18"/>
                <w:szCs w:val="18"/>
              </w:rPr>
              <w:t xml:space="preserve">An individual or entity to whom a credit card is issued by BCB, including primary and add-on cardholders.</w:t>
            </w:r>
          </w:p>
        </w:tc>
      </w:tr>
      <w:tr>
        <w:tc>
          <w:tcPr>
            <w:tcW w:type="dxa" w:w="2200"/>
            <w:shd w:fill="FFFFFF" w:color="auto" w:val="clear"/>
            <w:tcMar>
              <w:top w:type="dxa" w:w="80"/>
              <w:left w:type="dxa" w:w="120"/>
              <w:bottom w:type="dxa" w:w="80"/>
              <w:right w:type="dxa" w:w="120"/>
            </w:tcMar>
          </w:tcPr>
          <w:p>
            <w:pPr>
              <w:jc w:val="left"/>
            </w:pPr>
            <w:r>
              <w:rPr>
                <w:color w:val="1F2937"/>
                <w:sz w:val="18"/>
                <w:szCs w:val="18"/>
              </w:rPr>
              <w:t xml:space="preserve">Credit Limit</w:t>
            </w:r>
          </w:p>
        </w:tc>
        <w:tc>
          <w:tcPr>
            <w:tcW w:type="dxa" w:w="7000"/>
            <w:shd w:fill="FFFFFF" w:color="auto" w:val="clear"/>
            <w:tcMar>
              <w:top w:type="dxa" w:w="80"/>
              <w:left w:type="dxa" w:w="120"/>
              <w:bottom w:type="dxa" w:w="80"/>
              <w:right w:type="dxa" w:w="120"/>
            </w:tcMar>
          </w:tcPr>
          <w:p>
            <w:pPr>
              <w:jc w:val="center"/>
            </w:pPr>
            <w:r>
              <w:rPr>
                <w:color w:val="1F2937"/>
                <w:sz w:val="18"/>
                <w:szCs w:val="18"/>
              </w:rPr>
              <w:t xml:space="preserve">The maximum outstanding amount a cardholder may have at any point in time as sanctioned by BCB.</w:t>
            </w:r>
          </w:p>
        </w:tc>
      </w:tr>
      <w:tr>
        <w:tc>
          <w:tcPr>
            <w:tcW w:type="dxa" w:w="2200"/>
            <w:shd w:fill="F0F4FF" w:color="auto" w:val="clear"/>
            <w:tcMar>
              <w:top w:type="dxa" w:w="80"/>
              <w:left w:type="dxa" w:w="120"/>
              <w:bottom w:type="dxa" w:w="80"/>
              <w:right w:type="dxa" w:w="120"/>
            </w:tcMar>
          </w:tcPr>
          <w:p>
            <w:pPr>
              <w:jc w:val="left"/>
            </w:pPr>
            <w:r>
              <w:rPr>
                <w:color w:val="1F2937"/>
                <w:sz w:val="18"/>
                <w:szCs w:val="18"/>
              </w:rPr>
              <w:t xml:space="preserve">Minimum Amount Due (MAD)</w:t>
            </w:r>
          </w:p>
        </w:tc>
        <w:tc>
          <w:tcPr>
            <w:tcW w:type="dxa" w:w="7000"/>
            <w:shd w:fill="F0F4FF" w:color="auto" w:val="clear"/>
            <w:tcMar>
              <w:top w:type="dxa" w:w="80"/>
              <w:left w:type="dxa" w:w="120"/>
              <w:bottom w:type="dxa" w:w="80"/>
              <w:right w:type="dxa" w:w="120"/>
            </w:tcMar>
          </w:tcPr>
          <w:p>
            <w:pPr>
              <w:jc w:val="center"/>
            </w:pPr>
            <w:r>
              <w:rPr>
                <w:color w:val="1F2937"/>
                <w:sz w:val="18"/>
                <w:szCs w:val="18"/>
              </w:rPr>
              <w:t xml:space="preserve">The minimum payment a cardholder must make by the payment due date to keep the account in good standing. Currently set at 5% of Total Outstanding or ₹100, whichever is higher.</w:t>
            </w:r>
          </w:p>
        </w:tc>
      </w:tr>
      <w:tr>
        <w:tc>
          <w:tcPr>
            <w:tcW w:type="dxa" w:w="2200"/>
            <w:shd w:fill="FFFFFF" w:color="auto" w:val="clear"/>
            <w:tcMar>
              <w:top w:type="dxa" w:w="80"/>
              <w:left w:type="dxa" w:w="120"/>
              <w:bottom w:type="dxa" w:w="80"/>
              <w:right w:type="dxa" w:w="120"/>
            </w:tcMar>
          </w:tcPr>
          <w:p>
            <w:pPr>
              <w:jc w:val="left"/>
            </w:pPr>
            <w:r>
              <w:rPr>
                <w:color w:val="1F2937"/>
                <w:sz w:val="18"/>
                <w:szCs w:val="18"/>
              </w:rPr>
              <w:t xml:space="preserve">Annual Percentage Rate (APR)</w:t>
            </w:r>
          </w:p>
        </w:tc>
        <w:tc>
          <w:tcPr>
            <w:tcW w:type="dxa" w:w="7000"/>
            <w:shd w:fill="FFFFFF" w:color="auto" w:val="clear"/>
            <w:tcMar>
              <w:top w:type="dxa" w:w="80"/>
              <w:left w:type="dxa" w:w="120"/>
              <w:bottom w:type="dxa" w:w="80"/>
              <w:right w:type="dxa" w:w="120"/>
            </w:tcMar>
          </w:tcPr>
          <w:p>
            <w:pPr>
              <w:jc w:val="center"/>
            </w:pPr>
            <w:r>
              <w:rPr>
                <w:color w:val="1F2937"/>
                <w:sz w:val="18"/>
                <w:szCs w:val="18"/>
              </w:rPr>
              <w:t xml:space="preserve">The annualised interest rate charged on revolving credit card balances, expressed as a percentage per annum.</w:t>
            </w:r>
          </w:p>
        </w:tc>
      </w:tr>
      <w:tr>
        <w:tc>
          <w:tcPr>
            <w:tcW w:type="dxa" w:w="2200"/>
            <w:shd w:fill="F0F4FF" w:color="auto" w:val="clear"/>
            <w:tcMar>
              <w:top w:type="dxa" w:w="80"/>
              <w:left w:type="dxa" w:w="120"/>
              <w:bottom w:type="dxa" w:w="80"/>
              <w:right w:type="dxa" w:w="120"/>
            </w:tcMar>
          </w:tcPr>
          <w:p>
            <w:pPr>
              <w:jc w:val="left"/>
            </w:pPr>
            <w:r>
              <w:rPr>
                <w:color w:val="1F2937"/>
                <w:sz w:val="18"/>
                <w:szCs w:val="18"/>
              </w:rPr>
              <w:t xml:space="preserve">Merchant Discount Rate (MDR)</w:t>
            </w:r>
          </w:p>
        </w:tc>
        <w:tc>
          <w:tcPr>
            <w:tcW w:type="dxa" w:w="7000"/>
            <w:shd w:fill="F0F4FF" w:color="auto" w:val="clear"/>
            <w:tcMar>
              <w:top w:type="dxa" w:w="80"/>
              <w:left w:type="dxa" w:w="120"/>
              <w:bottom w:type="dxa" w:w="80"/>
              <w:right w:type="dxa" w:w="120"/>
            </w:tcMar>
          </w:tcPr>
          <w:p>
            <w:pPr>
              <w:jc w:val="center"/>
            </w:pPr>
            <w:r>
              <w:rPr>
                <w:color w:val="1F2937"/>
                <w:sz w:val="18"/>
                <w:szCs w:val="18"/>
              </w:rPr>
              <w:t xml:space="preserve">The fee charged to merchants on credit card transactions, shared between the acquiring bank, issuing bank, and payment network.</w:t>
            </w:r>
          </w:p>
        </w:tc>
      </w:tr>
      <w:tr>
        <w:tc>
          <w:tcPr>
            <w:tcW w:type="dxa" w:w="2200"/>
            <w:shd w:fill="FFFFFF" w:color="auto" w:val="clear"/>
            <w:tcMar>
              <w:top w:type="dxa" w:w="80"/>
              <w:left w:type="dxa" w:w="120"/>
              <w:bottom w:type="dxa" w:w="80"/>
              <w:right w:type="dxa" w:w="120"/>
            </w:tcMar>
          </w:tcPr>
          <w:p>
            <w:pPr>
              <w:jc w:val="left"/>
            </w:pPr>
            <w:r>
              <w:rPr>
                <w:color w:val="1F2937"/>
                <w:sz w:val="18"/>
                <w:szCs w:val="18"/>
              </w:rPr>
              <w:t xml:space="preserve">Overlimit</w:t>
            </w:r>
          </w:p>
        </w:tc>
        <w:tc>
          <w:tcPr>
            <w:tcW w:type="dxa" w:w="7000"/>
            <w:shd w:fill="FFFFFF" w:color="auto" w:val="clear"/>
            <w:tcMar>
              <w:top w:type="dxa" w:w="80"/>
              <w:left w:type="dxa" w:w="120"/>
              <w:bottom w:type="dxa" w:w="80"/>
              <w:right w:type="dxa" w:w="120"/>
            </w:tcMar>
          </w:tcPr>
          <w:p>
            <w:pPr>
              <w:jc w:val="center"/>
            </w:pPr>
            <w:r>
              <w:rPr>
                <w:color w:val="1F2937"/>
                <w:sz w:val="18"/>
                <w:szCs w:val="18"/>
              </w:rPr>
              <w:t xml:space="preserve">A condition where the outstanding balance on a credit card exceeds the sanctioned credit limit.</w:t>
            </w:r>
          </w:p>
        </w:tc>
      </w:tr>
      <w:tr>
        <w:tc>
          <w:tcPr>
            <w:tcW w:type="dxa" w:w="2200"/>
            <w:shd w:fill="F0F4FF" w:color="auto" w:val="clear"/>
            <w:tcMar>
              <w:top w:type="dxa" w:w="80"/>
              <w:left w:type="dxa" w:w="120"/>
              <w:bottom w:type="dxa" w:w="80"/>
              <w:right w:type="dxa" w:w="120"/>
            </w:tcMar>
          </w:tcPr>
          <w:p>
            <w:pPr>
              <w:jc w:val="left"/>
            </w:pPr>
            <w:r>
              <w:rPr>
                <w:color w:val="1F2937"/>
                <w:sz w:val="18"/>
                <w:szCs w:val="18"/>
              </w:rPr>
              <w:t xml:space="preserve">NPA</w:t>
            </w:r>
          </w:p>
        </w:tc>
        <w:tc>
          <w:tcPr>
            <w:tcW w:type="dxa" w:w="7000"/>
            <w:shd w:fill="F0F4FF" w:color="auto" w:val="clear"/>
            <w:tcMar>
              <w:top w:type="dxa" w:w="80"/>
              <w:left w:type="dxa" w:w="120"/>
              <w:bottom w:type="dxa" w:w="80"/>
              <w:right w:type="dxa" w:w="120"/>
            </w:tcMar>
          </w:tcPr>
          <w:p>
            <w:pPr>
              <w:jc w:val="center"/>
            </w:pPr>
            <w:r>
              <w:rPr>
                <w:color w:val="1F2937"/>
                <w:sz w:val="18"/>
                <w:szCs w:val="18"/>
              </w:rPr>
              <w:t xml:space="preserve">Non-Performing Asset; a credit card account where dues remain unpaid beyond 90 days from the payment due date.</w:t>
            </w:r>
          </w:p>
        </w:tc>
      </w:tr>
      <w:tr>
        <w:tc>
          <w:tcPr>
            <w:tcW w:type="dxa" w:w="2200"/>
            <w:shd w:fill="FFFFFF" w:color="auto" w:val="clear"/>
            <w:tcMar>
              <w:top w:type="dxa" w:w="80"/>
              <w:left w:type="dxa" w:w="120"/>
              <w:bottom w:type="dxa" w:w="80"/>
              <w:right w:type="dxa" w:w="120"/>
            </w:tcMar>
          </w:tcPr>
          <w:p>
            <w:pPr>
              <w:jc w:val="left"/>
            </w:pPr>
            <w:r>
              <w:rPr>
                <w:color w:val="1F2937"/>
                <w:sz w:val="18"/>
                <w:szCs w:val="18"/>
              </w:rPr>
              <w:t xml:space="preserve">KFS</w:t>
            </w:r>
          </w:p>
        </w:tc>
        <w:tc>
          <w:tcPr>
            <w:tcW w:type="dxa" w:w="7000"/>
            <w:shd w:fill="FFFFFF" w:color="auto" w:val="clear"/>
            <w:tcMar>
              <w:top w:type="dxa" w:w="80"/>
              <w:left w:type="dxa" w:w="120"/>
              <w:bottom w:type="dxa" w:w="80"/>
              <w:right w:type="dxa" w:w="120"/>
            </w:tcMar>
          </w:tcPr>
          <w:p>
            <w:pPr>
              <w:jc w:val="center"/>
            </w:pPr>
            <w:r>
              <w:rPr>
                <w:color w:val="1F2937"/>
                <w:sz w:val="18"/>
                <w:szCs w:val="18"/>
              </w:rPr>
              <w:t xml:space="preserve">Key Fact Statement — a standardised single-page document disclosing all material terms and conditions to the cardholder at the time of issuance.</w:t>
            </w:r>
          </w:p>
        </w:tc>
      </w:tr>
      <w:tr>
        <w:tc>
          <w:tcPr>
            <w:tcW w:type="dxa" w:w="2200"/>
            <w:shd w:fill="F0F4FF" w:color="auto" w:val="clear"/>
            <w:tcMar>
              <w:top w:type="dxa" w:w="80"/>
              <w:left w:type="dxa" w:w="120"/>
              <w:bottom w:type="dxa" w:w="80"/>
              <w:right w:type="dxa" w:w="120"/>
            </w:tcMar>
          </w:tcPr>
          <w:p>
            <w:pPr>
              <w:jc w:val="left"/>
            </w:pPr>
            <w:r>
              <w:rPr>
                <w:color w:val="1F2937"/>
                <w:sz w:val="18"/>
                <w:szCs w:val="18"/>
              </w:rPr>
              <w:t xml:space="preserve">CCO</w:t>
            </w:r>
          </w:p>
        </w:tc>
        <w:tc>
          <w:tcPr>
            <w:tcW w:type="dxa" w:w="7000"/>
            <w:shd w:fill="F0F4FF" w:color="auto" w:val="clear"/>
            <w:tcMar>
              <w:top w:type="dxa" w:w="80"/>
              <w:left w:type="dxa" w:w="120"/>
              <w:bottom w:type="dxa" w:w="80"/>
              <w:right w:type="dxa" w:w="120"/>
            </w:tcMar>
          </w:tcPr>
          <w:p>
            <w:pPr>
              <w:jc w:val="center"/>
            </w:pPr>
            <w:r>
              <w:rPr>
                <w:color w:val="1F2937"/>
                <w:sz w:val="18"/>
                <w:szCs w:val="18"/>
              </w:rPr>
              <w:t xml:space="preserve">Chief Compliance Officer of Bharat Commercial Bank Limited.</w:t>
            </w:r>
          </w:p>
        </w:tc>
      </w:tr>
      <w:tr>
        <w:tc>
          <w:tcPr>
            <w:tcW w:type="dxa" w:w="2200"/>
            <w:shd w:fill="FFFFFF" w:color="auto" w:val="clear"/>
            <w:tcMar>
              <w:top w:type="dxa" w:w="80"/>
              <w:left w:type="dxa" w:w="120"/>
              <w:bottom w:type="dxa" w:w="80"/>
              <w:right w:type="dxa" w:w="120"/>
            </w:tcMar>
          </w:tcPr>
          <w:p>
            <w:pPr>
              <w:jc w:val="left"/>
            </w:pPr>
            <w:r>
              <w:rPr>
                <w:color w:val="1F2937"/>
                <w:sz w:val="18"/>
                <w:szCs w:val="18"/>
              </w:rPr>
              <w:t xml:space="preserve">BRCC</w:t>
            </w:r>
          </w:p>
        </w:tc>
        <w:tc>
          <w:tcPr>
            <w:tcW w:type="dxa" w:w="7000"/>
            <w:shd w:fill="FFFFFF" w:color="auto" w:val="clear"/>
            <w:tcMar>
              <w:top w:type="dxa" w:w="80"/>
              <w:left w:type="dxa" w:w="120"/>
              <w:bottom w:type="dxa" w:w="80"/>
              <w:right w:type="dxa" w:w="120"/>
            </w:tcMar>
          </w:tcPr>
          <w:p>
            <w:pPr>
              <w:jc w:val="center"/>
            </w:pPr>
            <w:r>
              <w:rPr>
                <w:color w:val="1F2937"/>
                <w:sz w:val="18"/>
                <w:szCs w:val="18"/>
              </w:rPr>
              <w:t xml:space="preserve">Board Risk and Compliance Committee, a sub-committee of the Board of Directors.</w:t>
            </w:r>
          </w:p>
        </w:tc>
      </w:tr>
    </w:tbl>
    <w:p>
      <w:r>
        <w:br w:type="page"/>
      </w:r>
    </w:p>
    <w:p>
      <w:pPr>
        <w:spacing w:after="80" w:before="240"/>
      </w:pPr>
      <w:r>
        <w:rPr>
          <w:b/>
          <w:bCs/>
          <w:color w:val="B45309"/>
          <w:sz w:val="22"/>
          <w:szCs w:val="22"/>
        </w:rPr>
        <w:t xml:space="preserve">4.  </w:t>
      </w:r>
      <w:r>
        <w:rPr>
          <w:b/>
          <w:bCs/>
          <w:color w:val="1B3A6B"/>
          <w:sz w:val="22"/>
          <w:szCs w:val="22"/>
        </w:rPr>
        <w:t xml:space="preserve">CREDIT CARD ISSUANCE POLICY</w:t>
      </w:r>
    </w:p>
    <w:p>
      <w:pPr>
        <w:spacing w:after="80" w:before="200"/>
      </w:pPr>
      <w:r>
        <w:rPr>
          <w:b/>
          <w:bCs/>
          <w:color w:val="1B3A6B"/>
          <w:sz w:val="22"/>
          <w:szCs w:val="22"/>
          <w:u w:val="single"/>
        </w:rPr>
        <w:t xml:space="preserve">4.1  Eligibility Criteria</w:t>
      </w:r>
    </w:p>
    <w:p>
      <w:pPr>
        <w:spacing w:after="60" w:before="100"/>
        <w:ind w:left="360"/>
      </w:pPr>
      <w:r>
        <w:rPr>
          <w:b/>
          <w:bCs/>
          <w:color w:val="6B7280"/>
          <w:sz w:val="20"/>
          <w:szCs w:val="20"/>
        </w:rPr>
        <w:t xml:space="preserve">4.1.1  </w:t>
      </w:r>
      <w:r>
        <w:rPr>
          <w:color w:val="1F2937"/>
          <w:sz w:val="20"/>
          <w:szCs w:val="20"/>
        </w:rPr>
        <w:t xml:space="preserve">Credit cards shall be issued only to individuals who meet the following minimum eligibility criteria:</w:t>
      </w:r>
    </w:p>
    <w:p>
      <w:pPr>
        <w:spacing w:after="40" w:before="60"/>
        <w:ind w:left="360"/>
      </w:pPr>
      <w:r>
        <w:rPr>
          <w:color w:val="374151"/>
          <w:sz w:val="20"/>
          <w:szCs w:val="20"/>
        </w:rPr>
        <w:t xml:space="preserve">• Minimum age: 21 years (Primary Cardholder); 18 years (Add-on Cardholder)</w:t>
      </w:r>
    </w:p>
    <w:p>
      <w:pPr>
        <w:spacing w:after="40" w:before="60"/>
        <w:ind w:left="360"/>
      </w:pPr>
      <w:r>
        <w:rPr>
          <w:color w:val="374151"/>
          <w:sz w:val="20"/>
          <w:szCs w:val="20"/>
        </w:rPr>
        <w:t xml:space="preserve">• Minimum annual income: ₹3,00,000 for salaried applicants; ₹4,00,000 for self-employed applicants</w:t>
      </w:r>
    </w:p>
    <w:p>
      <w:pPr>
        <w:spacing w:after="40" w:before="60"/>
        <w:ind w:left="360"/>
      </w:pPr>
      <w:r>
        <w:rPr>
          <w:color w:val="374151"/>
          <w:sz w:val="20"/>
          <w:szCs w:val="20"/>
        </w:rPr>
        <w:t xml:space="preserve">• CIBIL score ≥ 700 or equivalent score from other RBI-approved credit bureaus</w:t>
      </w:r>
    </w:p>
    <w:p>
      <w:pPr>
        <w:spacing w:after="40" w:before="60"/>
        <w:ind w:left="360"/>
      </w:pPr>
      <w:r>
        <w:rPr>
          <w:color w:val="374151"/>
          <w:sz w:val="20"/>
          <w:szCs w:val="20"/>
        </w:rPr>
        <w:t xml:space="preserve">• Resident Indian or NRI (subject to FEMA compliance)</w:t>
      </w:r>
    </w:p>
    <w:p>
      <w:pPr>
        <w:spacing w:after="40" w:before="60"/>
        <w:ind w:left="360"/>
      </w:pPr>
      <w:r>
        <w:rPr>
          <w:color w:val="374151"/>
          <w:sz w:val="20"/>
          <w:szCs w:val="20"/>
        </w:rPr>
        <w:t xml:space="preserve">• Valid KYC documents as prescribed under PMLA 2002 and RBI KYC Directions 2016</w:t>
      </w:r>
    </w:p>
    <w:p>
      <w:pPr>
        <w:spacing w:after="60" w:before="100"/>
        <w:ind w:left="360"/>
      </w:pPr>
      <w:r>
        <w:rPr>
          <w:b/>
          <w:bCs/>
          <w:color w:val="6B7280"/>
          <w:sz w:val="20"/>
          <w:szCs w:val="20"/>
        </w:rPr>
        <w:t xml:space="preserve">4.1.2  </w:t>
      </w:r>
      <w:r>
        <w:rPr>
          <w:color w:val="1F2937"/>
          <w:sz w:val="20"/>
          <w:szCs w:val="20"/>
        </w:rPr>
        <w:t xml:space="preserve">The Bank shall not issue credit cards to minors (below 18 years) as primary cardholders. Add-on cards to minors below 18 years are strictly prohibited.</w:t>
      </w:r>
    </w:p>
    <w:p>
      <w:pPr>
        <w:spacing w:after="60" w:before="100"/>
        <w:ind w:left="360"/>
      </w:pPr>
      <w:r>
        <w:rPr>
          <w:b/>
          <w:bCs/>
          <w:color w:val="6B7280"/>
          <w:sz w:val="20"/>
          <w:szCs w:val="20"/>
        </w:rPr>
        <w:t xml:space="preserve">4.1.3  </w:t>
      </w:r>
      <w:r>
        <w:rPr>
          <w:color w:val="1F2937"/>
          <w:sz w:val="20"/>
          <w:szCs w:val="20"/>
        </w:rPr>
        <w:t xml:space="preserve">Credit cards shall not be issued against Fixed Deposits (FD-backed cards) without completion of full KYC process. This restriction is effective from 01 July 2022 in line with RBI MD-CC-2022 Clause 6(iii).</w:t>
      </w:r>
    </w:p>
    <w:p>
      <w:pPr>
        <w:spacing w:after="80" w:before="200"/>
      </w:pPr>
      <w:r>
        <w:rPr>
          <w:b/>
          <w:bCs/>
          <w:color w:val="1B3A6B"/>
          <w:sz w:val="22"/>
          <w:szCs w:val="22"/>
          <w:u w:val="single"/>
        </w:rPr>
        <w:t xml:space="preserve">4.2  Application &amp; Sanction Process</w:t>
      </w:r>
    </w:p>
    <w:p>
      <w:pPr>
        <w:spacing w:after="60" w:before="100"/>
        <w:ind w:left="360"/>
      </w:pPr>
      <w:r>
        <w:rPr>
          <w:b/>
          <w:bCs/>
          <w:color w:val="6B7280"/>
          <w:sz w:val="20"/>
          <w:szCs w:val="20"/>
        </w:rPr>
        <w:t xml:space="preserve">4.2.1  </w:t>
      </w:r>
      <w:r>
        <w:rPr>
          <w:color w:val="1F2937"/>
          <w:sz w:val="20"/>
          <w:szCs w:val="20"/>
        </w:rPr>
        <w:t xml:space="preserve">All credit card applications must be received through approved channels: branch, website, or pre-approved campaigns. Unsolicited issuance or pre-loaded cards (physically dispatched without application) is strictly prohibited.</w:t>
      </w:r>
    </w:p>
    <w:p>
      <w:pPr>
        <w:spacing w:after="60" w:before="100"/>
        <w:ind w:left="360"/>
      </w:pPr>
      <w:r>
        <w:rPr>
          <w:b/>
          <w:bCs/>
          <w:color w:val="6B7280"/>
          <w:sz w:val="20"/>
          <w:szCs w:val="20"/>
        </w:rPr>
        <w:t xml:space="preserve">4.2.2  </w:t>
      </w:r>
      <w:r>
        <w:rPr>
          <w:color w:val="1F2937"/>
          <w:sz w:val="20"/>
          <w:szCs w:val="20"/>
        </w:rPr>
        <w:t xml:space="preserve">The Bank shall complete credit appraisal within 15 working days from receipt of complete documentation. Applicants must be informed of rejection with reasons within 7 working days of decision.</w:t>
      </w:r>
    </w:p>
    <w:p>
      <w:pPr>
        <w:spacing w:after="60" w:before="100"/>
        <w:ind w:left="360"/>
      </w:pPr>
      <w:r>
        <w:rPr>
          <w:b/>
          <w:bCs/>
          <w:color w:val="6B7280"/>
          <w:sz w:val="20"/>
          <w:szCs w:val="20"/>
        </w:rPr>
        <w:t xml:space="preserve">4.2.3  </w:t>
      </w:r>
      <w:r>
        <w:rPr>
          <w:color w:val="1F2937"/>
          <w:sz w:val="20"/>
          <w:szCs w:val="20"/>
        </w:rPr>
        <w:t xml:space="preserve">Before dispatching any credit card, the Bank must obtain One Time Password (OTP) based confirmation from the registered mobile number of the applicant.</w:t>
      </w:r>
    </w:p>
    <w:p>
      <w:pPr>
        <w:spacing w:after="60" w:before="100"/>
        <w:ind w:left="360"/>
      </w:pPr>
      <w:r>
        <w:rPr>
          <w:b/>
          <w:bCs/>
          <w:color w:val="6B7280"/>
          <w:sz w:val="20"/>
          <w:szCs w:val="20"/>
        </w:rPr>
        <w:t xml:space="preserve">4.2.4  </w:t>
      </w:r>
      <w:r>
        <w:rPr>
          <w:color w:val="1F2937"/>
          <w:sz w:val="20"/>
          <w:szCs w:val="20"/>
        </w:rPr>
        <w:t xml:space="preserve">A Key Fact Statement (KFS) must be provided to the cardholder at the time of application approval and before card activation. Activation without KFS acknowledgement is a compliance violation (Level 2 – refer Section 14).</w:t>
      </w:r>
    </w:p>
    <w:p>
      <w:pPr>
        <w:spacing w:after="80" w:before="200"/>
      </w:pPr>
      <w:r>
        <w:rPr>
          <w:b/>
          <w:bCs/>
          <w:color w:val="1B3A6B"/>
          <w:sz w:val="22"/>
          <w:szCs w:val="22"/>
          <w:u w:val="single"/>
        </w:rPr>
        <w:t xml:space="preserve">4.3  Card Dispatch &amp; Activation</w:t>
      </w:r>
    </w:p>
    <w:p>
      <w:pPr>
        <w:spacing w:after="60" w:before="100"/>
        <w:ind w:left="360"/>
      </w:pPr>
      <w:r>
        <w:rPr>
          <w:b/>
          <w:bCs/>
          <w:color w:val="6B7280"/>
          <w:sz w:val="20"/>
          <w:szCs w:val="20"/>
        </w:rPr>
        <w:t xml:space="preserve">4.3.1  </w:t>
      </w:r>
      <w:r>
        <w:rPr>
          <w:color w:val="1F2937"/>
          <w:sz w:val="20"/>
          <w:szCs w:val="20"/>
        </w:rPr>
        <w:t xml:space="preserve">Cards must be dispatched only to the registered address of the cardholder. Cards must be in an inactive state when dispatched.</w:t>
      </w:r>
    </w:p>
    <w:p>
      <w:pPr>
        <w:spacing w:after="60" w:before="100"/>
        <w:ind w:left="360"/>
      </w:pPr>
      <w:r>
        <w:rPr>
          <w:b/>
          <w:bCs/>
          <w:color w:val="6B7280"/>
          <w:sz w:val="20"/>
          <w:szCs w:val="20"/>
        </w:rPr>
        <w:t xml:space="preserve">4.3.2  </w:t>
      </w:r>
      <w:r>
        <w:rPr>
          <w:color w:val="1F2937"/>
          <w:sz w:val="20"/>
          <w:szCs w:val="20"/>
        </w:rPr>
        <w:t xml:space="preserve">Cardholders must activate the card within 30 days of dispatch. If not activated within 30 days, an SMS alert must be sent. If not activated within 60 days, the card must be cancelled and the account closed with zero charges.</w:t>
      </w:r>
    </w:p>
    <w:p>
      <w:pPr>
        <w:spacing w:after="60" w:before="100"/>
        <w:ind w:left="360"/>
      </w:pPr>
      <w:r>
        <w:rPr>
          <w:b/>
          <w:bCs/>
          <w:color w:val="6B7280"/>
          <w:sz w:val="20"/>
          <w:szCs w:val="20"/>
        </w:rPr>
        <w:t xml:space="preserve">4.3.3  </w:t>
      </w:r>
      <w:r>
        <w:rPr>
          <w:color w:val="1F2937"/>
          <w:sz w:val="20"/>
          <w:szCs w:val="20"/>
        </w:rPr>
        <w:t xml:space="preserve">OTP-based activation is mandatory for all cards from 01 Jan 2024. IVR-based or branch-based activation is permitted as a fallback mechanism only.</w:t>
      </w:r>
    </w:p>
    <w:p>
      <w:pPr>
        <w:spacing w:after="80" w:before="240"/>
      </w:pPr>
      <w:r>
        <w:rPr>
          <w:b/>
          <w:bCs/>
          <w:color w:val="B45309"/>
          <w:sz w:val="22"/>
          <w:szCs w:val="22"/>
        </w:rPr>
        <w:t xml:space="preserve">5.  </w:t>
      </w:r>
      <w:r>
        <w:rPr>
          <w:b/>
          <w:bCs/>
          <w:color w:val="1B3A6B"/>
          <w:sz w:val="22"/>
          <w:szCs w:val="22"/>
        </w:rPr>
        <w:t xml:space="preserve">KNOW YOUR CUSTOMER (KYC) REQUIREMENTS</w:t>
      </w:r>
    </w:p>
    <w:p>
      <w:pPr>
        <w:spacing w:after="60" w:before="100"/>
        <w:ind w:left="360"/>
      </w:pPr>
      <w:r>
        <w:rPr>
          <w:b/>
          <w:bCs/>
          <w:color w:val="6B7280"/>
          <w:sz w:val="20"/>
          <w:szCs w:val="20"/>
        </w:rPr>
        <w:t xml:space="preserve">5.1  </w:t>
      </w:r>
      <w:r>
        <w:rPr>
          <w:color w:val="1F2937"/>
          <w:sz w:val="20"/>
          <w:szCs w:val="20"/>
        </w:rPr>
        <w:t xml:space="preserve">All credit card applicants must complete full KYC as per RBI KYC Master Directions 2016 (updated) before card issuance. The following documents are acceptable:</w:t>
      </w:r>
    </w:p>
    <w:p>
      <w:pPr>
        <w:spacing w:before="80"/>
      </w:pPr>
      <w:r>
        <w:t xml:space="preserve"/>
      </w:r>
    </w:p>
    <w:tbl>
      <w:tblPr>
        <w:tblW w:type="dxa" w:w="9200"/>
        <w:tblBorders>
          <w:top w:val="single" w:color="CBD5E1" w:sz="2"/>
          <w:left w:val="single" w:color="CBD5E1" w:sz="2"/>
          <w:bottom w:val="single" w:color="CBD5E1" w:sz="2"/>
          <w:right w:val="single" w:color="CBD5E1" w:sz="2"/>
          <w:insideH w:val="single" w:color="auto" w:sz="4"/>
          <w:insideV w:val="single" w:color="auto" w:sz="4"/>
        </w:tblBorders>
      </w:tblPr>
      <w:tblGrid>
        <w:gridCol w:w="1800"/>
        <w:gridCol w:w="3800"/>
        <w:gridCol w:w="3600"/>
      </w:tblGrid>
      <w:tr>
        <w:trPr>
          <w:tblHeader/>
        </w:trPr>
        <w:tc>
          <w:tcPr>
            <w:tcW w:type="dxa" w:w="1800"/>
            <w:shd w:fill="1B3A6B" w:color="auto" w:val="clear"/>
            <w:tcMar>
              <w:top w:type="dxa" w:w="80"/>
              <w:left w:type="dxa" w:w="120"/>
              <w:bottom w:type="dxa" w:w="80"/>
              <w:right w:type="dxa" w:w="120"/>
            </w:tcMar>
          </w:tcPr>
          <w:p>
            <w:pPr>
              <w:jc w:val="center"/>
            </w:pPr>
            <w:r>
              <w:rPr>
                <w:b/>
                <w:bCs/>
                <w:color w:val="FFFFFF"/>
                <w:sz w:val="18"/>
                <w:szCs w:val="18"/>
              </w:rPr>
              <w:t xml:space="preserve">Category</w:t>
            </w:r>
          </w:p>
        </w:tc>
        <w:tc>
          <w:tcPr>
            <w:tcW w:type="dxa" w:w="3800"/>
            <w:shd w:fill="1B3A6B" w:color="auto" w:val="clear"/>
            <w:tcMar>
              <w:top w:type="dxa" w:w="80"/>
              <w:left w:type="dxa" w:w="120"/>
              <w:bottom w:type="dxa" w:w="80"/>
              <w:right w:type="dxa" w:w="120"/>
            </w:tcMar>
          </w:tcPr>
          <w:p>
            <w:pPr>
              <w:jc w:val="center"/>
            </w:pPr>
            <w:r>
              <w:rPr>
                <w:b/>
                <w:bCs/>
                <w:color w:val="FFFFFF"/>
                <w:sz w:val="18"/>
                <w:szCs w:val="18"/>
              </w:rPr>
              <w:t xml:space="preserve">Acceptable Documents (Any One)</w:t>
            </w:r>
          </w:p>
        </w:tc>
        <w:tc>
          <w:tcPr>
            <w:tcW w:type="dxa" w:w="3600"/>
            <w:shd w:fill="1B3A6B" w:color="auto" w:val="clear"/>
            <w:tcMar>
              <w:top w:type="dxa" w:w="80"/>
              <w:left w:type="dxa" w:w="120"/>
              <w:bottom w:type="dxa" w:w="80"/>
              <w:right w:type="dxa" w:w="120"/>
            </w:tcMar>
          </w:tcPr>
          <w:p>
            <w:pPr>
              <w:jc w:val="center"/>
            </w:pPr>
            <w:r>
              <w:rPr>
                <w:b/>
                <w:bCs/>
                <w:color w:val="FFFFFF"/>
                <w:sz w:val="18"/>
                <w:szCs w:val="18"/>
              </w:rPr>
              <w:t xml:space="preserve">Additional Requirement</w:t>
            </w:r>
          </w:p>
        </w:tc>
      </w:tr>
      <w:tr>
        <w:tc>
          <w:tcPr>
            <w:tcW w:type="dxa" w:w="1800"/>
            <w:shd w:fill="F0F4FF" w:color="auto" w:val="clear"/>
            <w:tcMar>
              <w:top w:type="dxa" w:w="80"/>
              <w:left w:type="dxa" w:w="120"/>
              <w:bottom w:type="dxa" w:w="80"/>
              <w:right w:type="dxa" w:w="120"/>
            </w:tcMar>
          </w:tcPr>
          <w:p>
            <w:pPr>
              <w:jc w:val="left"/>
            </w:pPr>
            <w:r>
              <w:rPr>
                <w:color w:val="1F2937"/>
                <w:sz w:val="18"/>
                <w:szCs w:val="18"/>
              </w:rPr>
              <w:t xml:space="preserve">Identity Proof (OVD)</w:t>
            </w:r>
          </w:p>
        </w:tc>
        <w:tc>
          <w:tcPr>
            <w:tcW w:type="dxa" w:w="3800"/>
            <w:shd w:fill="F0F4FF" w:color="auto" w:val="clear"/>
            <w:tcMar>
              <w:top w:type="dxa" w:w="80"/>
              <w:left w:type="dxa" w:w="120"/>
              <w:bottom w:type="dxa" w:w="80"/>
              <w:right w:type="dxa" w:w="120"/>
            </w:tcMar>
          </w:tcPr>
          <w:p>
            <w:pPr>
              <w:jc w:val="center"/>
            </w:pPr>
            <w:r>
              <w:rPr>
                <w:color w:val="1F2937"/>
                <w:sz w:val="18"/>
                <w:szCs w:val="18"/>
              </w:rPr>
              <w:t xml:space="preserve">Aadhaar, PAN Card, Passport, Driving Licence, Voter ID</w:t>
            </w:r>
          </w:p>
        </w:tc>
        <w:tc>
          <w:tcPr>
            <w:tcW w:type="dxa" w:w="3600"/>
            <w:shd w:fill="F0F4FF" w:color="auto" w:val="clear"/>
            <w:tcMar>
              <w:top w:type="dxa" w:w="80"/>
              <w:left w:type="dxa" w:w="120"/>
              <w:bottom w:type="dxa" w:w="80"/>
              <w:right w:type="dxa" w:w="120"/>
            </w:tcMar>
          </w:tcPr>
          <w:p>
            <w:pPr>
              <w:jc w:val="center"/>
            </w:pPr>
            <w:r>
              <w:rPr>
                <w:color w:val="1F2937"/>
                <w:sz w:val="18"/>
                <w:szCs w:val="18"/>
              </w:rPr>
              <w:t xml:space="preserve">Aadhaar mandatory for e-KYC route</w:t>
            </w:r>
          </w:p>
        </w:tc>
      </w:tr>
      <w:tr>
        <w:tc>
          <w:tcPr>
            <w:tcW w:type="dxa" w:w="1800"/>
            <w:shd w:fill="FFFFFF" w:color="auto" w:val="clear"/>
            <w:tcMar>
              <w:top w:type="dxa" w:w="80"/>
              <w:left w:type="dxa" w:w="120"/>
              <w:bottom w:type="dxa" w:w="80"/>
              <w:right w:type="dxa" w:w="120"/>
            </w:tcMar>
          </w:tcPr>
          <w:p>
            <w:pPr>
              <w:jc w:val="left"/>
            </w:pPr>
            <w:r>
              <w:rPr>
                <w:color w:val="1F2937"/>
                <w:sz w:val="18"/>
                <w:szCs w:val="18"/>
              </w:rPr>
              <w:t xml:space="preserve">Address Proof</w:t>
            </w:r>
          </w:p>
        </w:tc>
        <w:tc>
          <w:tcPr>
            <w:tcW w:type="dxa" w:w="3800"/>
            <w:shd w:fill="FFFFFF" w:color="auto" w:val="clear"/>
            <w:tcMar>
              <w:top w:type="dxa" w:w="80"/>
              <w:left w:type="dxa" w:w="120"/>
              <w:bottom w:type="dxa" w:w="80"/>
              <w:right w:type="dxa" w:w="120"/>
            </w:tcMar>
          </w:tcPr>
          <w:p>
            <w:pPr>
              <w:jc w:val="center"/>
            </w:pPr>
            <w:r>
              <w:rPr>
                <w:color w:val="1F2937"/>
                <w:sz w:val="18"/>
                <w:szCs w:val="18"/>
              </w:rPr>
              <w:t xml:space="preserve">Aadhaar, Passport, Utility Bill (≤3 months), Rent Agreement</w:t>
            </w:r>
          </w:p>
        </w:tc>
        <w:tc>
          <w:tcPr>
            <w:tcW w:type="dxa" w:w="3600"/>
            <w:shd w:fill="FFFFFF" w:color="auto" w:val="clear"/>
            <w:tcMar>
              <w:top w:type="dxa" w:w="80"/>
              <w:left w:type="dxa" w:w="120"/>
              <w:bottom w:type="dxa" w:w="80"/>
              <w:right w:type="dxa" w:w="120"/>
            </w:tcMar>
          </w:tcPr>
          <w:p>
            <w:pPr>
              <w:jc w:val="center"/>
            </w:pPr>
            <w:r>
              <w:rPr>
                <w:color w:val="1F2937"/>
                <w:sz w:val="18"/>
                <w:szCs w:val="18"/>
              </w:rPr>
              <w:t xml:space="preserve">Must match current residential address</w:t>
            </w:r>
          </w:p>
        </w:tc>
      </w:tr>
      <w:tr>
        <w:tc>
          <w:tcPr>
            <w:tcW w:type="dxa" w:w="1800"/>
            <w:shd w:fill="F0F4FF" w:color="auto" w:val="clear"/>
            <w:tcMar>
              <w:top w:type="dxa" w:w="80"/>
              <w:left w:type="dxa" w:w="120"/>
              <w:bottom w:type="dxa" w:w="80"/>
              <w:right w:type="dxa" w:w="120"/>
            </w:tcMar>
          </w:tcPr>
          <w:p>
            <w:pPr>
              <w:jc w:val="left"/>
            </w:pPr>
            <w:r>
              <w:rPr>
                <w:color w:val="1F2937"/>
                <w:sz w:val="18"/>
                <w:szCs w:val="18"/>
              </w:rPr>
              <w:t xml:space="preserve">Income Proof (Salaried)</w:t>
            </w:r>
          </w:p>
        </w:tc>
        <w:tc>
          <w:tcPr>
            <w:tcW w:type="dxa" w:w="3800"/>
            <w:shd w:fill="F0F4FF" w:color="auto" w:val="clear"/>
            <w:tcMar>
              <w:top w:type="dxa" w:w="80"/>
              <w:left w:type="dxa" w:w="120"/>
              <w:bottom w:type="dxa" w:w="80"/>
              <w:right w:type="dxa" w:w="120"/>
            </w:tcMar>
          </w:tcPr>
          <w:p>
            <w:pPr>
              <w:jc w:val="center"/>
            </w:pPr>
            <w:r>
              <w:rPr>
                <w:color w:val="1F2937"/>
                <w:sz w:val="18"/>
                <w:szCs w:val="18"/>
              </w:rPr>
              <w:t xml:space="preserve">Last 3 months salary slips, Form 16, Last 6 months bank statement</w:t>
            </w:r>
          </w:p>
        </w:tc>
        <w:tc>
          <w:tcPr>
            <w:tcW w:type="dxa" w:w="3600"/>
            <w:shd w:fill="F0F4FF" w:color="auto" w:val="clear"/>
            <w:tcMar>
              <w:top w:type="dxa" w:w="80"/>
              <w:left w:type="dxa" w:w="120"/>
              <w:bottom w:type="dxa" w:w="80"/>
              <w:right w:type="dxa" w:w="120"/>
            </w:tcMar>
          </w:tcPr>
          <w:p>
            <w:pPr>
              <w:jc w:val="center"/>
            </w:pPr>
            <w:r>
              <w:rPr>
                <w:color w:val="1F2937"/>
                <w:sz w:val="18"/>
                <w:szCs w:val="18"/>
              </w:rPr>
              <w:t xml:space="preserve">Salary credited to BCB account preferred</w:t>
            </w:r>
          </w:p>
        </w:tc>
      </w:tr>
      <w:tr>
        <w:tc>
          <w:tcPr>
            <w:tcW w:type="dxa" w:w="1800"/>
            <w:shd w:fill="FFFFFF" w:color="auto" w:val="clear"/>
            <w:tcMar>
              <w:top w:type="dxa" w:w="80"/>
              <w:left w:type="dxa" w:w="120"/>
              <w:bottom w:type="dxa" w:w="80"/>
              <w:right w:type="dxa" w:w="120"/>
            </w:tcMar>
          </w:tcPr>
          <w:p>
            <w:pPr>
              <w:jc w:val="left"/>
            </w:pPr>
            <w:r>
              <w:rPr>
                <w:color w:val="1F2937"/>
                <w:sz w:val="18"/>
                <w:szCs w:val="18"/>
              </w:rPr>
              <w:t xml:space="preserve">Income Proof (Self-Employed)</w:t>
            </w:r>
          </w:p>
        </w:tc>
        <w:tc>
          <w:tcPr>
            <w:tcW w:type="dxa" w:w="3800"/>
            <w:shd w:fill="FFFFFF" w:color="auto" w:val="clear"/>
            <w:tcMar>
              <w:top w:type="dxa" w:w="80"/>
              <w:left w:type="dxa" w:w="120"/>
              <w:bottom w:type="dxa" w:w="80"/>
              <w:right w:type="dxa" w:w="120"/>
            </w:tcMar>
          </w:tcPr>
          <w:p>
            <w:pPr>
              <w:jc w:val="center"/>
            </w:pPr>
            <w:r>
              <w:rPr>
                <w:color w:val="1F2937"/>
                <w:sz w:val="18"/>
                <w:szCs w:val="18"/>
              </w:rPr>
              <w:t xml:space="preserve">Last 2 years ITR, CA-certified financials, GST returns</w:t>
            </w:r>
          </w:p>
        </w:tc>
        <w:tc>
          <w:tcPr>
            <w:tcW w:type="dxa" w:w="3600"/>
            <w:shd w:fill="FFFFFF" w:color="auto" w:val="clear"/>
            <w:tcMar>
              <w:top w:type="dxa" w:w="80"/>
              <w:left w:type="dxa" w:w="120"/>
              <w:bottom w:type="dxa" w:w="80"/>
              <w:right w:type="dxa" w:w="120"/>
            </w:tcMar>
          </w:tcPr>
          <w:p>
            <w:pPr>
              <w:jc w:val="center"/>
            </w:pPr>
            <w:r>
              <w:rPr>
                <w:color w:val="1F2937"/>
                <w:sz w:val="18"/>
                <w:szCs w:val="18"/>
              </w:rPr>
              <w:t xml:space="preserve">GST registration mandatory for turnover &gt;₹20L</w:t>
            </w:r>
          </w:p>
        </w:tc>
      </w:tr>
      <w:tr>
        <w:tc>
          <w:tcPr>
            <w:tcW w:type="dxa" w:w="1800"/>
            <w:shd w:fill="F0F4FF" w:color="auto" w:val="clear"/>
            <w:tcMar>
              <w:top w:type="dxa" w:w="80"/>
              <w:left w:type="dxa" w:w="120"/>
              <w:bottom w:type="dxa" w:w="80"/>
              <w:right w:type="dxa" w:w="120"/>
            </w:tcMar>
          </w:tcPr>
          <w:p>
            <w:pPr>
              <w:jc w:val="left"/>
            </w:pPr>
            <w:r>
              <w:rPr>
                <w:color w:val="1F2937"/>
                <w:sz w:val="18"/>
                <w:szCs w:val="18"/>
              </w:rPr>
              <w:t xml:space="preserve">NRI Applicants</w:t>
            </w:r>
          </w:p>
        </w:tc>
        <w:tc>
          <w:tcPr>
            <w:tcW w:type="dxa" w:w="3800"/>
            <w:shd w:fill="F0F4FF" w:color="auto" w:val="clear"/>
            <w:tcMar>
              <w:top w:type="dxa" w:w="80"/>
              <w:left w:type="dxa" w:w="120"/>
              <w:bottom w:type="dxa" w:w="80"/>
              <w:right w:type="dxa" w:w="120"/>
            </w:tcMar>
          </w:tcPr>
          <w:p>
            <w:pPr>
              <w:jc w:val="center"/>
            </w:pPr>
            <w:r>
              <w:rPr>
                <w:color w:val="1F2937"/>
                <w:sz w:val="18"/>
                <w:szCs w:val="18"/>
              </w:rPr>
              <w:t xml:space="preserve">Passport + Visa, Overseas address proof, NRE/NRO account statement</w:t>
            </w:r>
          </w:p>
        </w:tc>
        <w:tc>
          <w:tcPr>
            <w:tcW w:type="dxa" w:w="3600"/>
            <w:shd w:fill="F0F4FF" w:color="auto" w:val="clear"/>
            <w:tcMar>
              <w:top w:type="dxa" w:w="80"/>
              <w:left w:type="dxa" w:w="120"/>
              <w:bottom w:type="dxa" w:w="80"/>
              <w:right w:type="dxa" w:w="120"/>
            </w:tcMar>
          </w:tcPr>
          <w:p>
            <w:pPr>
              <w:jc w:val="center"/>
            </w:pPr>
            <w:r>
              <w:rPr>
                <w:color w:val="1F2937"/>
                <w:sz w:val="18"/>
                <w:szCs w:val="18"/>
              </w:rPr>
              <w:t xml:space="preserve">FEMA declaration form mandatory</w:t>
            </w:r>
          </w:p>
        </w:tc>
      </w:tr>
    </w:tbl>
    <w:p>
      <w:pPr>
        <w:spacing w:before="80"/>
      </w:pPr>
      <w:r>
        <w:t xml:space="preserve"/>
      </w:r>
    </w:p>
    <w:p>
      <w:pPr>
        <w:spacing w:after="60" w:before="100"/>
        <w:ind w:left="360"/>
      </w:pPr>
      <w:r>
        <w:rPr>
          <w:b/>
          <w:bCs/>
          <w:color w:val="6B7280"/>
          <w:sz w:val="20"/>
          <w:szCs w:val="20"/>
        </w:rPr>
        <w:t xml:space="preserve">5.2  </w:t>
      </w:r>
      <w:r>
        <w:rPr>
          <w:color w:val="1F2937"/>
          <w:sz w:val="20"/>
          <w:szCs w:val="20"/>
        </w:rPr>
        <w:t xml:space="preserve">Video-based Customer Identification Process (V-CIP) is permitted for digital credit card applications. The V-CIP process must conform to RBI circular RBI/2019-20/130 and subsequent amendments.</w:t>
      </w:r>
    </w:p>
    <w:p>
      <w:pPr>
        <w:spacing w:after="60" w:before="100"/>
        <w:ind w:left="360"/>
      </w:pPr>
      <w:r>
        <w:rPr>
          <w:b/>
          <w:bCs/>
          <w:color w:val="6B7280"/>
          <w:sz w:val="20"/>
          <w:szCs w:val="20"/>
        </w:rPr>
        <w:t xml:space="preserve">5.3  </w:t>
      </w:r>
      <w:r>
        <w:rPr>
          <w:color w:val="1F2937"/>
          <w:sz w:val="20"/>
          <w:szCs w:val="20"/>
        </w:rPr>
        <w:t xml:space="preserve">Periodic KYC update is mandatory: every 2 years for High Risk customers, every 8 years for Medium Risk customers, and every 10 years for Low Risk customers as per the Bank's internal Customer Risk Categorisation Policy.</w:t>
      </w:r>
    </w:p>
    <w:p>
      <w:pPr>
        <w:spacing w:after="60" w:before="100"/>
        <w:ind w:left="360"/>
      </w:pPr>
      <w:r>
        <w:rPr>
          <w:b/>
          <w:bCs/>
          <w:color w:val="6B7280"/>
          <w:sz w:val="20"/>
          <w:szCs w:val="20"/>
        </w:rPr>
        <w:t xml:space="preserve">5.4  </w:t>
      </w:r>
      <w:r>
        <w:rPr>
          <w:color w:val="1F2937"/>
          <w:sz w:val="20"/>
          <w:szCs w:val="20"/>
        </w:rPr>
        <w:t xml:space="preserve">Customers categorised as Politically Exposed Persons (PEPs) require Senior Management approval (DGM and above) before credit card issuance. All PEP accounts must be reviewed quarterly.</w:t>
      </w:r>
    </w:p>
    <w:p>
      <w:pPr>
        <w:spacing w:after="60" w:before="100"/>
        <w:ind w:left="360"/>
      </w:pPr>
      <w:r>
        <w:rPr>
          <w:b/>
          <w:bCs/>
          <w:color w:val="6B7280"/>
          <w:sz w:val="20"/>
          <w:szCs w:val="20"/>
        </w:rPr>
        <w:t xml:space="preserve">5.5  </w:t>
      </w:r>
      <w:r>
        <w:rPr>
          <w:color w:val="1F2937"/>
          <w:sz w:val="20"/>
          <w:szCs w:val="20"/>
        </w:rPr>
        <w:t xml:space="preserve">AML Screening against RBI/OFAC/UN sanctions list must be performed at the time of onboarding and on a monthly basis for existing cardholders. Any match must be escalated to the MLRO within 4 hours.</w:t>
      </w:r>
    </w:p>
    <w:p>
      <w:r>
        <w:br w:type="page"/>
      </w:r>
    </w:p>
    <w:p>
      <w:pPr>
        <w:spacing w:after="80" w:before="240"/>
      </w:pPr>
      <w:r>
        <w:rPr>
          <w:b/>
          <w:bCs/>
          <w:color w:val="B45309"/>
          <w:sz w:val="22"/>
          <w:szCs w:val="22"/>
        </w:rPr>
        <w:t xml:space="preserve">6.  </w:t>
      </w:r>
      <w:r>
        <w:rPr>
          <w:b/>
          <w:bCs/>
          <w:color w:val="1B3A6B"/>
          <w:sz w:val="22"/>
          <w:szCs w:val="22"/>
        </w:rPr>
        <w:t xml:space="preserve">CREDIT LIMIT FRAMEWORK</w:t>
      </w:r>
    </w:p>
    <w:p>
      <w:pPr>
        <w:spacing w:after="60" w:before="100"/>
        <w:ind w:left="360"/>
      </w:pPr>
      <w:r>
        <w:rPr>
          <w:b/>
          <w:bCs/>
          <w:color w:val="6B7280"/>
          <w:sz w:val="20"/>
          <w:szCs w:val="20"/>
        </w:rPr>
        <w:t xml:space="preserve">6.1  </w:t>
      </w:r>
      <w:r>
        <w:rPr>
          <w:color w:val="1F2937"/>
          <w:sz w:val="20"/>
          <w:szCs w:val="20"/>
        </w:rPr>
        <w:t xml:space="preserve">Credit limits must be based on a documented credit assessment of the applicant's income, existing obligations, and repayment capacity. Credit limits shall not be set arbitrarily.</w:t>
      </w:r>
    </w:p>
    <w:p>
      <w:pPr>
        <w:spacing w:after="60" w:before="100"/>
        <w:ind w:left="360"/>
      </w:pPr>
      <w:r>
        <w:rPr>
          <w:b/>
          <w:bCs/>
          <w:color w:val="6B7280"/>
          <w:sz w:val="20"/>
          <w:szCs w:val="20"/>
        </w:rPr>
        <w:t xml:space="preserve">6.2  </w:t>
      </w:r>
      <w:r>
        <w:rPr>
          <w:color w:val="1F2937"/>
          <w:sz w:val="20"/>
          <w:szCs w:val="20"/>
        </w:rPr>
        <w:t xml:space="preserve">Initial credit limits are governed by the Credit Limit Grid below:</w:t>
      </w:r>
    </w:p>
    <w:p>
      <w:pPr>
        <w:spacing w:before="80"/>
      </w:pPr>
      <w:r>
        <w:t xml:space="preserve"/>
      </w:r>
    </w:p>
    <w:tbl>
      <w:tblPr>
        <w:tblW w:type="dxa" w:w="9200"/>
        <w:tblBorders>
          <w:top w:val="single" w:color="CBD5E1" w:sz="2"/>
          <w:left w:val="single" w:color="CBD5E1" w:sz="2"/>
          <w:bottom w:val="single" w:color="CBD5E1" w:sz="2"/>
          <w:right w:val="single" w:color="CBD5E1" w:sz="2"/>
          <w:insideH w:val="single" w:color="auto" w:sz="4"/>
          <w:insideV w:val="single" w:color="auto" w:sz="4"/>
        </w:tblBorders>
      </w:tblPr>
      <w:tblGrid>
        <w:gridCol w:w="1500"/>
        <w:gridCol w:w="1800"/>
        <w:gridCol w:w="1500"/>
        <w:gridCol w:w="2400"/>
        <w:gridCol w:w="2000"/>
      </w:tblGrid>
      <w:tr>
        <w:trPr>
          <w:tblHeader/>
        </w:trPr>
        <w:tc>
          <w:tcPr>
            <w:tcW w:type="dxa" w:w="1500"/>
            <w:shd w:fill="1B3A6B" w:color="auto" w:val="clear"/>
            <w:tcMar>
              <w:top w:type="dxa" w:w="80"/>
              <w:left w:type="dxa" w:w="120"/>
              <w:bottom w:type="dxa" w:w="80"/>
              <w:right w:type="dxa" w:w="120"/>
            </w:tcMar>
          </w:tcPr>
          <w:p>
            <w:pPr>
              <w:jc w:val="center"/>
            </w:pPr>
            <w:r>
              <w:rPr>
                <w:b/>
                <w:bCs/>
                <w:color w:val="FFFFFF"/>
                <w:sz w:val="18"/>
                <w:szCs w:val="18"/>
              </w:rPr>
              <w:t xml:space="preserve">Card Type</w:t>
            </w:r>
          </w:p>
        </w:tc>
        <w:tc>
          <w:tcPr>
            <w:tcW w:type="dxa" w:w="1800"/>
            <w:shd w:fill="1B3A6B" w:color="auto" w:val="clear"/>
            <w:tcMar>
              <w:top w:type="dxa" w:w="80"/>
              <w:left w:type="dxa" w:w="120"/>
              <w:bottom w:type="dxa" w:w="80"/>
              <w:right w:type="dxa" w:w="120"/>
            </w:tcMar>
          </w:tcPr>
          <w:p>
            <w:pPr>
              <w:jc w:val="center"/>
            </w:pPr>
            <w:r>
              <w:rPr>
                <w:b/>
                <w:bCs/>
                <w:color w:val="FFFFFF"/>
                <w:sz w:val="18"/>
                <w:szCs w:val="18"/>
              </w:rPr>
              <w:t xml:space="preserve">Min. Annual Income</w:t>
            </w:r>
          </w:p>
        </w:tc>
        <w:tc>
          <w:tcPr>
            <w:tcW w:type="dxa" w:w="1500"/>
            <w:shd w:fill="1B3A6B" w:color="auto" w:val="clear"/>
            <w:tcMar>
              <w:top w:type="dxa" w:w="80"/>
              <w:left w:type="dxa" w:w="120"/>
              <w:bottom w:type="dxa" w:w="80"/>
              <w:right w:type="dxa" w:w="120"/>
            </w:tcMar>
          </w:tcPr>
          <w:p>
            <w:pPr>
              <w:jc w:val="center"/>
            </w:pPr>
            <w:r>
              <w:rPr>
                <w:b/>
                <w:bCs/>
                <w:color w:val="FFFFFF"/>
                <w:sz w:val="18"/>
                <w:szCs w:val="18"/>
              </w:rPr>
              <w:t xml:space="preserve">Min. CIBIL Score</w:t>
            </w:r>
          </w:p>
        </w:tc>
        <w:tc>
          <w:tcPr>
            <w:tcW w:type="dxa" w:w="2400"/>
            <w:shd w:fill="1B3A6B" w:color="auto" w:val="clear"/>
            <w:tcMar>
              <w:top w:type="dxa" w:w="80"/>
              <w:left w:type="dxa" w:w="120"/>
              <w:bottom w:type="dxa" w:w="80"/>
              <w:right w:type="dxa" w:w="120"/>
            </w:tcMar>
          </w:tcPr>
          <w:p>
            <w:pPr>
              <w:jc w:val="center"/>
            </w:pPr>
            <w:r>
              <w:rPr>
                <w:b/>
                <w:bCs/>
                <w:color w:val="FFFFFF"/>
                <w:sz w:val="18"/>
                <w:szCs w:val="18"/>
              </w:rPr>
              <w:t xml:space="preserve">Credit Limit Range</w:t>
            </w:r>
          </w:p>
        </w:tc>
        <w:tc>
          <w:tcPr>
            <w:tcW w:type="dxa" w:w="2000"/>
            <w:shd w:fill="1B3A6B" w:color="auto" w:val="clear"/>
            <w:tcMar>
              <w:top w:type="dxa" w:w="80"/>
              <w:left w:type="dxa" w:w="120"/>
              <w:bottom w:type="dxa" w:w="80"/>
              <w:right w:type="dxa" w:w="120"/>
            </w:tcMar>
          </w:tcPr>
          <w:p>
            <w:pPr>
              <w:jc w:val="center"/>
            </w:pPr>
            <w:r>
              <w:rPr>
                <w:b/>
                <w:bCs/>
                <w:color w:val="FFFFFF"/>
                <w:sz w:val="18"/>
                <w:szCs w:val="18"/>
              </w:rPr>
              <w:t xml:space="preserve">Max. Limit (First Year)</w:t>
            </w:r>
          </w:p>
        </w:tc>
      </w:tr>
      <w:tr>
        <w:tc>
          <w:tcPr>
            <w:tcW w:type="dxa" w:w="1500"/>
            <w:shd w:fill="F0F4FF" w:color="auto" w:val="clear"/>
            <w:tcMar>
              <w:top w:type="dxa" w:w="80"/>
              <w:left w:type="dxa" w:w="120"/>
              <w:bottom w:type="dxa" w:w="80"/>
              <w:right w:type="dxa" w:w="120"/>
            </w:tcMar>
          </w:tcPr>
          <w:p>
            <w:pPr>
              <w:jc w:val="left"/>
            </w:pPr>
            <w:r>
              <w:rPr>
                <w:color w:val="1F2937"/>
                <w:sz w:val="18"/>
                <w:szCs w:val="18"/>
              </w:rPr>
              <w:t xml:space="preserve">BCB Classic</w:t>
            </w:r>
          </w:p>
        </w:tc>
        <w:tc>
          <w:tcPr>
            <w:tcW w:type="dxa" w:w="1800"/>
            <w:shd w:fill="F0F4FF" w:color="auto" w:val="clear"/>
            <w:tcMar>
              <w:top w:type="dxa" w:w="80"/>
              <w:left w:type="dxa" w:w="120"/>
              <w:bottom w:type="dxa" w:w="80"/>
              <w:right w:type="dxa" w:w="120"/>
            </w:tcMar>
          </w:tcPr>
          <w:p>
            <w:pPr>
              <w:jc w:val="center"/>
            </w:pPr>
            <w:r>
              <w:rPr>
                <w:color w:val="1F2937"/>
                <w:sz w:val="18"/>
                <w:szCs w:val="18"/>
              </w:rPr>
              <w:t xml:space="preserve">₹3,00,000</w:t>
            </w:r>
          </w:p>
        </w:tc>
        <w:tc>
          <w:tcPr>
            <w:tcW w:type="dxa" w:w="1500"/>
            <w:shd w:fill="F0F4FF" w:color="auto" w:val="clear"/>
            <w:tcMar>
              <w:top w:type="dxa" w:w="80"/>
              <w:left w:type="dxa" w:w="120"/>
              <w:bottom w:type="dxa" w:w="80"/>
              <w:right w:type="dxa" w:w="120"/>
            </w:tcMar>
          </w:tcPr>
          <w:p>
            <w:pPr>
              <w:jc w:val="center"/>
            </w:pPr>
            <w:r>
              <w:rPr>
                <w:color w:val="1F2937"/>
                <w:sz w:val="18"/>
                <w:szCs w:val="18"/>
              </w:rPr>
              <w:t xml:space="preserve">700</w:t>
            </w:r>
          </w:p>
        </w:tc>
        <w:tc>
          <w:tcPr>
            <w:tcW w:type="dxa" w:w="2400"/>
            <w:shd w:fill="F0F4FF" w:color="auto" w:val="clear"/>
            <w:tcMar>
              <w:top w:type="dxa" w:w="80"/>
              <w:left w:type="dxa" w:w="120"/>
              <w:bottom w:type="dxa" w:w="80"/>
              <w:right w:type="dxa" w:w="120"/>
            </w:tcMar>
          </w:tcPr>
          <w:p>
            <w:pPr>
              <w:jc w:val="center"/>
            </w:pPr>
            <w:r>
              <w:rPr>
                <w:color w:val="1F2937"/>
                <w:sz w:val="18"/>
                <w:szCs w:val="18"/>
              </w:rPr>
              <w:t xml:space="preserve">₹25,000 – ₹1,00,000</w:t>
            </w:r>
          </w:p>
        </w:tc>
        <w:tc>
          <w:tcPr>
            <w:tcW w:type="dxa" w:w="2000"/>
            <w:shd w:fill="F0F4FF" w:color="auto" w:val="clear"/>
            <w:tcMar>
              <w:top w:type="dxa" w:w="80"/>
              <w:left w:type="dxa" w:w="120"/>
              <w:bottom w:type="dxa" w:w="80"/>
              <w:right w:type="dxa" w:w="120"/>
            </w:tcMar>
          </w:tcPr>
          <w:p>
            <w:pPr>
              <w:jc w:val="center"/>
            </w:pPr>
            <w:r>
              <w:rPr>
                <w:color w:val="1F2937"/>
                <w:sz w:val="18"/>
                <w:szCs w:val="18"/>
              </w:rPr>
              <w:t xml:space="preserve">₹75,000</w:t>
            </w:r>
          </w:p>
        </w:tc>
      </w:tr>
      <w:tr>
        <w:tc>
          <w:tcPr>
            <w:tcW w:type="dxa" w:w="1500"/>
            <w:shd w:fill="FFFFFF" w:color="auto" w:val="clear"/>
            <w:tcMar>
              <w:top w:type="dxa" w:w="80"/>
              <w:left w:type="dxa" w:w="120"/>
              <w:bottom w:type="dxa" w:w="80"/>
              <w:right w:type="dxa" w:w="120"/>
            </w:tcMar>
          </w:tcPr>
          <w:p>
            <w:pPr>
              <w:jc w:val="left"/>
            </w:pPr>
            <w:r>
              <w:rPr>
                <w:color w:val="1F2937"/>
                <w:sz w:val="18"/>
                <w:szCs w:val="18"/>
              </w:rPr>
              <w:t xml:space="preserve">BCB Gold</w:t>
            </w:r>
          </w:p>
        </w:tc>
        <w:tc>
          <w:tcPr>
            <w:tcW w:type="dxa" w:w="1800"/>
            <w:shd w:fill="FFFFFF" w:color="auto" w:val="clear"/>
            <w:tcMar>
              <w:top w:type="dxa" w:w="80"/>
              <w:left w:type="dxa" w:w="120"/>
              <w:bottom w:type="dxa" w:w="80"/>
              <w:right w:type="dxa" w:w="120"/>
            </w:tcMar>
          </w:tcPr>
          <w:p>
            <w:pPr>
              <w:jc w:val="center"/>
            </w:pPr>
            <w:r>
              <w:rPr>
                <w:color w:val="1F2937"/>
                <w:sz w:val="18"/>
                <w:szCs w:val="18"/>
              </w:rPr>
              <w:t xml:space="preserve">₹5,00,000</w:t>
            </w:r>
          </w:p>
        </w:tc>
        <w:tc>
          <w:tcPr>
            <w:tcW w:type="dxa" w:w="1500"/>
            <w:shd w:fill="FFFFFF" w:color="auto" w:val="clear"/>
            <w:tcMar>
              <w:top w:type="dxa" w:w="80"/>
              <w:left w:type="dxa" w:w="120"/>
              <w:bottom w:type="dxa" w:w="80"/>
              <w:right w:type="dxa" w:w="120"/>
            </w:tcMar>
          </w:tcPr>
          <w:p>
            <w:pPr>
              <w:jc w:val="center"/>
            </w:pPr>
            <w:r>
              <w:rPr>
                <w:color w:val="1F2937"/>
                <w:sz w:val="18"/>
                <w:szCs w:val="18"/>
              </w:rPr>
              <w:t xml:space="preserve">720</w:t>
            </w:r>
          </w:p>
        </w:tc>
        <w:tc>
          <w:tcPr>
            <w:tcW w:type="dxa" w:w="2400"/>
            <w:shd w:fill="FFFFFF" w:color="auto" w:val="clear"/>
            <w:tcMar>
              <w:top w:type="dxa" w:w="80"/>
              <w:left w:type="dxa" w:w="120"/>
              <w:bottom w:type="dxa" w:w="80"/>
              <w:right w:type="dxa" w:w="120"/>
            </w:tcMar>
          </w:tcPr>
          <w:p>
            <w:pPr>
              <w:jc w:val="center"/>
            </w:pPr>
            <w:r>
              <w:rPr>
                <w:color w:val="1F2937"/>
                <w:sz w:val="18"/>
                <w:szCs w:val="18"/>
              </w:rPr>
              <w:t xml:space="preserve">₹1,00,000 – ₹3,00,000</w:t>
            </w:r>
          </w:p>
        </w:tc>
        <w:tc>
          <w:tcPr>
            <w:tcW w:type="dxa" w:w="2000"/>
            <w:shd w:fill="FFFFFF" w:color="auto" w:val="clear"/>
            <w:tcMar>
              <w:top w:type="dxa" w:w="80"/>
              <w:left w:type="dxa" w:w="120"/>
              <w:bottom w:type="dxa" w:w="80"/>
              <w:right w:type="dxa" w:w="120"/>
            </w:tcMar>
          </w:tcPr>
          <w:p>
            <w:pPr>
              <w:jc w:val="center"/>
            </w:pPr>
            <w:r>
              <w:rPr>
                <w:color w:val="1F2937"/>
                <w:sz w:val="18"/>
                <w:szCs w:val="18"/>
              </w:rPr>
              <w:t xml:space="preserve">₹2,50,000</w:t>
            </w:r>
          </w:p>
        </w:tc>
      </w:tr>
      <w:tr>
        <w:tc>
          <w:tcPr>
            <w:tcW w:type="dxa" w:w="1500"/>
            <w:shd w:fill="F0F4FF" w:color="auto" w:val="clear"/>
            <w:tcMar>
              <w:top w:type="dxa" w:w="80"/>
              <w:left w:type="dxa" w:w="120"/>
              <w:bottom w:type="dxa" w:w="80"/>
              <w:right w:type="dxa" w:w="120"/>
            </w:tcMar>
          </w:tcPr>
          <w:p>
            <w:pPr>
              <w:jc w:val="left"/>
            </w:pPr>
            <w:r>
              <w:rPr>
                <w:color w:val="1F2937"/>
                <w:sz w:val="18"/>
                <w:szCs w:val="18"/>
              </w:rPr>
              <w:t xml:space="preserve">BCB Platinum</w:t>
            </w:r>
          </w:p>
        </w:tc>
        <w:tc>
          <w:tcPr>
            <w:tcW w:type="dxa" w:w="1800"/>
            <w:shd w:fill="F0F4FF" w:color="auto" w:val="clear"/>
            <w:tcMar>
              <w:top w:type="dxa" w:w="80"/>
              <w:left w:type="dxa" w:w="120"/>
              <w:bottom w:type="dxa" w:w="80"/>
              <w:right w:type="dxa" w:w="120"/>
            </w:tcMar>
          </w:tcPr>
          <w:p>
            <w:pPr>
              <w:jc w:val="center"/>
            </w:pPr>
            <w:r>
              <w:rPr>
                <w:color w:val="1F2937"/>
                <w:sz w:val="18"/>
                <w:szCs w:val="18"/>
              </w:rPr>
              <w:t xml:space="preserve">₹10,00,000</w:t>
            </w:r>
          </w:p>
        </w:tc>
        <w:tc>
          <w:tcPr>
            <w:tcW w:type="dxa" w:w="1500"/>
            <w:shd w:fill="F0F4FF" w:color="auto" w:val="clear"/>
            <w:tcMar>
              <w:top w:type="dxa" w:w="80"/>
              <w:left w:type="dxa" w:w="120"/>
              <w:bottom w:type="dxa" w:w="80"/>
              <w:right w:type="dxa" w:w="120"/>
            </w:tcMar>
          </w:tcPr>
          <w:p>
            <w:pPr>
              <w:jc w:val="center"/>
            </w:pPr>
            <w:r>
              <w:rPr>
                <w:color w:val="1F2937"/>
                <w:sz w:val="18"/>
                <w:szCs w:val="18"/>
              </w:rPr>
              <w:t xml:space="preserve">750</w:t>
            </w:r>
          </w:p>
        </w:tc>
        <w:tc>
          <w:tcPr>
            <w:tcW w:type="dxa" w:w="2400"/>
            <w:shd w:fill="F0F4FF" w:color="auto" w:val="clear"/>
            <w:tcMar>
              <w:top w:type="dxa" w:w="80"/>
              <w:left w:type="dxa" w:w="120"/>
              <w:bottom w:type="dxa" w:w="80"/>
              <w:right w:type="dxa" w:w="120"/>
            </w:tcMar>
          </w:tcPr>
          <w:p>
            <w:pPr>
              <w:jc w:val="center"/>
            </w:pPr>
            <w:r>
              <w:rPr>
                <w:color w:val="1F2937"/>
                <w:sz w:val="18"/>
                <w:szCs w:val="18"/>
              </w:rPr>
              <w:t xml:space="preserve">₹3,00,000 – ₹10,00,000</w:t>
            </w:r>
          </w:p>
        </w:tc>
        <w:tc>
          <w:tcPr>
            <w:tcW w:type="dxa" w:w="2000"/>
            <w:shd w:fill="F0F4FF" w:color="auto" w:val="clear"/>
            <w:tcMar>
              <w:top w:type="dxa" w:w="80"/>
              <w:left w:type="dxa" w:w="120"/>
              <w:bottom w:type="dxa" w:w="80"/>
              <w:right w:type="dxa" w:w="120"/>
            </w:tcMar>
          </w:tcPr>
          <w:p>
            <w:pPr>
              <w:jc w:val="center"/>
            </w:pPr>
            <w:r>
              <w:rPr>
                <w:color w:val="1F2937"/>
                <w:sz w:val="18"/>
                <w:szCs w:val="18"/>
              </w:rPr>
              <w:t xml:space="preserve">₹7,50,000</w:t>
            </w:r>
          </w:p>
        </w:tc>
      </w:tr>
      <w:tr>
        <w:tc>
          <w:tcPr>
            <w:tcW w:type="dxa" w:w="1500"/>
            <w:shd w:fill="FFFFFF" w:color="auto" w:val="clear"/>
            <w:tcMar>
              <w:top w:type="dxa" w:w="80"/>
              <w:left w:type="dxa" w:w="120"/>
              <w:bottom w:type="dxa" w:w="80"/>
              <w:right w:type="dxa" w:w="120"/>
            </w:tcMar>
          </w:tcPr>
          <w:p>
            <w:pPr>
              <w:jc w:val="left"/>
            </w:pPr>
            <w:r>
              <w:rPr>
                <w:color w:val="1F2937"/>
                <w:sz w:val="18"/>
                <w:szCs w:val="18"/>
              </w:rPr>
              <w:t xml:space="preserve">BCB Titanium</w:t>
            </w:r>
          </w:p>
        </w:tc>
        <w:tc>
          <w:tcPr>
            <w:tcW w:type="dxa" w:w="1800"/>
            <w:shd w:fill="FFFFFF" w:color="auto" w:val="clear"/>
            <w:tcMar>
              <w:top w:type="dxa" w:w="80"/>
              <w:left w:type="dxa" w:w="120"/>
              <w:bottom w:type="dxa" w:w="80"/>
              <w:right w:type="dxa" w:w="120"/>
            </w:tcMar>
          </w:tcPr>
          <w:p>
            <w:pPr>
              <w:jc w:val="center"/>
            </w:pPr>
            <w:r>
              <w:rPr>
                <w:color w:val="1F2937"/>
                <w:sz w:val="18"/>
                <w:szCs w:val="18"/>
              </w:rPr>
              <w:t xml:space="preserve">₹25,00,000</w:t>
            </w:r>
          </w:p>
        </w:tc>
        <w:tc>
          <w:tcPr>
            <w:tcW w:type="dxa" w:w="1500"/>
            <w:shd w:fill="FFFFFF" w:color="auto" w:val="clear"/>
            <w:tcMar>
              <w:top w:type="dxa" w:w="80"/>
              <w:left w:type="dxa" w:w="120"/>
              <w:bottom w:type="dxa" w:w="80"/>
              <w:right w:type="dxa" w:w="120"/>
            </w:tcMar>
          </w:tcPr>
          <w:p>
            <w:pPr>
              <w:jc w:val="center"/>
            </w:pPr>
            <w:r>
              <w:rPr>
                <w:color w:val="1F2937"/>
                <w:sz w:val="18"/>
                <w:szCs w:val="18"/>
              </w:rPr>
              <w:t xml:space="preserve">775</w:t>
            </w:r>
          </w:p>
        </w:tc>
        <w:tc>
          <w:tcPr>
            <w:tcW w:type="dxa" w:w="2400"/>
            <w:shd w:fill="FFFFFF" w:color="auto" w:val="clear"/>
            <w:tcMar>
              <w:top w:type="dxa" w:w="80"/>
              <w:left w:type="dxa" w:w="120"/>
              <w:bottom w:type="dxa" w:w="80"/>
              <w:right w:type="dxa" w:w="120"/>
            </w:tcMar>
          </w:tcPr>
          <w:p>
            <w:pPr>
              <w:jc w:val="center"/>
            </w:pPr>
            <w:r>
              <w:rPr>
                <w:color w:val="1F2937"/>
                <w:sz w:val="18"/>
                <w:szCs w:val="18"/>
              </w:rPr>
              <w:t xml:space="preserve">₹10,00,000 – ₹25,00,000</w:t>
            </w:r>
          </w:p>
        </w:tc>
        <w:tc>
          <w:tcPr>
            <w:tcW w:type="dxa" w:w="2000"/>
            <w:shd w:fill="FFFFFF" w:color="auto" w:val="clear"/>
            <w:tcMar>
              <w:top w:type="dxa" w:w="80"/>
              <w:left w:type="dxa" w:w="120"/>
              <w:bottom w:type="dxa" w:w="80"/>
              <w:right w:type="dxa" w:w="120"/>
            </w:tcMar>
          </w:tcPr>
          <w:p>
            <w:pPr>
              <w:jc w:val="center"/>
            </w:pPr>
            <w:r>
              <w:rPr>
                <w:color w:val="1F2937"/>
                <w:sz w:val="18"/>
                <w:szCs w:val="18"/>
              </w:rPr>
              <w:t xml:space="preserve">₹20,00,000</w:t>
            </w:r>
          </w:p>
        </w:tc>
      </w:tr>
      <w:tr>
        <w:tc>
          <w:tcPr>
            <w:tcW w:type="dxa" w:w="1500"/>
            <w:shd w:fill="F0F4FF" w:color="auto" w:val="clear"/>
            <w:tcMar>
              <w:top w:type="dxa" w:w="80"/>
              <w:left w:type="dxa" w:w="120"/>
              <w:bottom w:type="dxa" w:w="80"/>
              <w:right w:type="dxa" w:w="120"/>
            </w:tcMar>
          </w:tcPr>
          <w:p>
            <w:pPr>
              <w:jc w:val="left"/>
            </w:pPr>
            <w:r>
              <w:rPr>
                <w:color w:val="1F2937"/>
                <w:sz w:val="18"/>
                <w:szCs w:val="18"/>
              </w:rPr>
              <w:t xml:space="preserve">BCB Infinite</w:t>
            </w:r>
          </w:p>
        </w:tc>
        <w:tc>
          <w:tcPr>
            <w:tcW w:type="dxa" w:w="1800"/>
            <w:shd w:fill="F0F4FF" w:color="auto" w:val="clear"/>
            <w:tcMar>
              <w:top w:type="dxa" w:w="80"/>
              <w:left w:type="dxa" w:w="120"/>
              <w:bottom w:type="dxa" w:w="80"/>
              <w:right w:type="dxa" w:w="120"/>
            </w:tcMar>
          </w:tcPr>
          <w:p>
            <w:pPr>
              <w:jc w:val="center"/>
            </w:pPr>
            <w:r>
              <w:rPr>
                <w:color w:val="1F2937"/>
                <w:sz w:val="18"/>
                <w:szCs w:val="18"/>
              </w:rPr>
              <w:t xml:space="preserve">₹50,00,000</w:t>
            </w:r>
          </w:p>
        </w:tc>
        <w:tc>
          <w:tcPr>
            <w:tcW w:type="dxa" w:w="1500"/>
            <w:shd w:fill="F0F4FF" w:color="auto" w:val="clear"/>
            <w:tcMar>
              <w:top w:type="dxa" w:w="80"/>
              <w:left w:type="dxa" w:w="120"/>
              <w:bottom w:type="dxa" w:w="80"/>
              <w:right w:type="dxa" w:w="120"/>
            </w:tcMar>
          </w:tcPr>
          <w:p>
            <w:pPr>
              <w:jc w:val="center"/>
            </w:pPr>
            <w:r>
              <w:rPr>
                <w:color w:val="1F2937"/>
                <w:sz w:val="18"/>
                <w:szCs w:val="18"/>
              </w:rPr>
              <w:t xml:space="preserve">800</w:t>
            </w:r>
          </w:p>
        </w:tc>
        <w:tc>
          <w:tcPr>
            <w:tcW w:type="dxa" w:w="2400"/>
            <w:shd w:fill="F0F4FF" w:color="auto" w:val="clear"/>
            <w:tcMar>
              <w:top w:type="dxa" w:w="80"/>
              <w:left w:type="dxa" w:w="120"/>
              <w:bottom w:type="dxa" w:w="80"/>
              <w:right w:type="dxa" w:w="120"/>
            </w:tcMar>
          </w:tcPr>
          <w:p>
            <w:pPr>
              <w:jc w:val="center"/>
            </w:pPr>
            <w:r>
              <w:rPr>
                <w:color w:val="1F2937"/>
                <w:sz w:val="18"/>
                <w:szCs w:val="18"/>
              </w:rPr>
              <w:t xml:space="preserve">₹25,00,000 – ₹10,00,000</w:t>
            </w:r>
          </w:p>
        </w:tc>
        <w:tc>
          <w:tcPr>
            <w:tcW w:type="dxa" w:w="2000"/>
            <w:shd w:fill="F0F4FF" w:color="auto" w:val="clear"/>
            <w:tcMar>
              <w:top w:type="dxa" w:w="80"/>
              <w:left w:type="dxa" w:w="120"/>
              <w:bottom w:type="dxa" w:w="80"/>
              <w:right w:type="dxa" w:w="120"/>
            </w:tcMar>
          </w:tcPr>
          <w:p>
            <w:pPr>
              <w:jc w:val="center"/>
            </w:pPr>
            <w:r>
              <w:rPr>
                <w:color w:val="1F2937"/>
                <w:sz w:val="18"/>
                <w:szCs w:val="18"/>
              </w:rPr>
              <w:t xml:space="preserve">Case-by-case (CRO approval)</w:t>
            </w:r>
          </w:p>
        </w:tc>
      </w:tr>
    </w:tbl>
    <w:p>
      <w:pPr>
        <w:spacing w:before="80"/>
      </w:pPr>
      <w:r>
        <w:t xml:space="preserve"/>
      </w:r>
    </w:p>
    <w:p>
      <w:pPr>
        <w:spacing w:after="60" w:before="100"/>
        <w:ind w:left="360"/>
      </w:pPr>
      <w:r>
        <w:rPr>
          <w:b/>
          <w:bCs/>
          <w:color w:val="6B7280"/>
          <w:sz w:val="20"/>
          <w:szCs w:val="20"/>
        </w:rPr>
        <w:t xml:space="preserve">6.3  </w:t>
      </w:r>
      <w:r>
        <w:rPr>
          <w:color w:val="1F2937"/>
          <w:sz w:val="20"/>
          <w:szCs w:val="20"/>
        </w:rPr>
        <w:t xml:space="preserve">The Bank shall not unilaterally enhance credit limits without explicit written or OTP-confirmed consent from the cardholder. Automatic credit limit enhancements are prohibited effective 01 July 2022.</w:t>
      </w:r>
    </w:p>
    <w:p>
      <w:pPr>
        <w:spacing w:after="60" w:before="100"/>
        <w:ind w:left="360"/>
      </w:pPr>
      <w:r>
        <w:rPr>
          <w:b/>
          <w:bCs/>
          <w:color w:val="6B7280"/>
          <w:sz w:val="20"/>
          <w:szCs w:val="20"/>
        </w:rPr>
        <w:t xml:space="preserve">6.4  </w:t>
      </w:r>
      <w:r>
        <w:rPr>
          <w:color w:val="1F2937"/>
          <w:sz w:val="20"/>
          <w:szCs w:val="20"/>
        </w:rPr>
        <w:t xml:space="preserve">Overlimit transactions must be declined by default. Overlimit facility, if offered, must be explicitly opted-in by the cardholder and must not be enabled at issuance.</w:t>
      </w:r>
    </w:p>
    <w:p>
      <w:pPr>
        <w:spacing w:after="60" w:before="100"/>
        <w:ind w:left="360"/>
      </w:pPr>
      <w:r>
        <w:rPr>
          <w:b/>
          <w:bCs/>
          <w:color w:val="6B7280"/>
          <w:sz w:val="20"/>
          <w:szCs w:val="20"/>
        </w:rPr>
        <w:t xml:space="preserve">6.5  </w:t>
      </w:r>
      <w:r>
        <w:rPr>
          <w:color w:val="1F2937"/>
          <w:sz w:val="20"/>
          <w:szCs w:val="20"/>
        </w:rPr>
        <w:t xml:space="preserve">Credit limits for add-on cards shall be within the primary cardholder's available credit limit. Aggregate limit of all add-on cards cannot exceed the primary card's sanctioned limit.</w:t>
      </w:r>
    </w:p>
    <w:p>
      <w:pPr>
        <w:spacing w:after="60" w:before="100"/>
        <w:ind w:left="360"/>
      </w:pPr>
      <w:r>
        <w:rPr>
          <w:b/>
          <w:bCs/>
          <w:color w:val="6B7280"/>
          <w:sz w:val="20"/>
          <w:szCs w:val="20"/>
        </w:rPr>
        <w:t xml:space="preserve">6.6  </w:t>
      </w:r>
      <w:r>
        <w:rPr>
          <w:color w:val="1F2937"/>
          <w:sz w:val="20"/>
          <w:szCs w:val="20"/>
        </w:rPr>
        <w:t xml:space="preserve">Annual credit limit review must be conducted for all cards. Limits shall be reduced for customers with deteriorating CIBIL scores (below 650) or with 3+ late payments in any rolling 12-month period.</w:t>
      </w:r>
    </w:p>
    <w:p>
      <w:pPr>
        <w:spacing w:after="80" w:before="240"/>
      </w:pPr>
      <w:r>
        <w:rPr>
          <w:b/>
          <w:bCs/>
          <w:color w:val="B45309"/>
          <w:sz w:val="22"/>
          <w:szCs w:val="22"/>
        </w:rPr>
        <w:t xml:space="preserve">7.  </w:t>
      </w:r>
      <w:r>
        <w:rPr>
          <w:b/>
          <w:bCs/>
          <w:color w:val="1B3A6B"/>
          <w:sz w:val="22"/>
          <w:szCs w:val="22"/>
        </w:rPr>
        <w:t xml:space="preserve">INTEREST RATES, FEES &amp; CHARGES</w:t>
      </w:r>
    </w:p>
    <w:p>
      <w:pPr>
        <w:spacing w:after="60" w:before="100"/>
        <w:ind w:left="360"/>
      </w:pPr>
      <w:r>
        <w:rPr>
          <w:b/>
          <w:bCs/>
          <w:color w:val="6B7280"/>
          <w:sz w:val="20"/>
          <w:szCs w:val="20"/>
        </w:rPr>
        <w:t xml:space="preserve">7.1  </w:t>
      </w:r>
      <w:r>
        <w:rPr>
          <w:color w:val="1F2937"/>
          <w:sz w:val="20"/>
          <w:szCs w:val="20"/>
        </w:rPr>
        <w:t xml:space="preserve">All interest rates, fees, and charges must be disclosed upfront in the KFS, Card Member Agreement, and on the Bank's website. No hidden charges are permitted.</w:t>
      </w:r>
    </w:p>
    <w:p>
      <w:pPr>
        <w:spacing w:after="60" w:before="100"/>
        <w:ind w:left="360"/>
      </w:pPr>
      <w:r>
        <w:rPr>
          <w:b/>
          <w:bCs/>
          <w:color w:val="6B7280"/>
          <w:sz w:val="20"/>
          <w:szCs w:val="20"/>
        </w:rPr>
        <w:t xml:space="preserve">7.2  </w:t>
      </w:r>
      <w:r>
        <w:rPr>
          <w:color w:val="1F2937"/>
          <w:sz w:val="20"/>
          <w:szCs w:val="20"/>
        </w:rPr>
        <w:t xml:space="preserve">Current Schedule of Charges (SOC) as applicable from 01 April 2024:</w:t>
      </w:r>
    </w:p>
    <w:p>
      <w:pPr>
        <w:spacing w:before="80"/>
      </w:pPr>
      <w:r>
        <w:t xml:space="preserve"/>
      </w:r>
    </w:p>
    <w:tbl>
      <w:tblPr>
        <w:tblW w:type="dxa" w:w="9200"/>
        <w:tblBorders>
          <w:top w:val="single" w:color="CBD5E1" w:sz="2"/>
          <w:left w:val="single" w:color="CBD5E1" w:sz="2"/>
          <w:bottom w:val="single" w:color="CBD5E1" w:sz="2"/>
          <w:right w:val="single" w:color="CBD5E1" w:sz="2"/>
          <w:insideH w:val="single" w:color="auto" w:sz="4"/>
          <w:insideV w:val="single" w:color="auto" w:sz="4"/>
        </w:tblBorders>
      </w:tblPr>
      <w:tblGrid>
        <w:gridCol w:w="2600"/>
        <w:gridCol w:w="2800"/>
        <w:gridCol w:w="3800"/>
      </w:tblGrid>
      <w:tr>
        <w:trPr>
          <w:tblHeader/>
        </w:trPr>
        <w:tc>
          <w:tcPr>
            <w:tcW w:type="dxa" w:w="2600"/>
            <w:shd w:fill="1B3A6B" w:color="auto" w:val="clear"/>
            <w:tcMar>
              <w:top w:type="dxa" w:w="80"/>
              <w:left w:type="dxa" w:w="120"/>
              <w:bottom w:type="dxa" w:w="80"/>
              <w:right w:type="dxa" w:w="120"/>
            </w:tcMar>
          </w:tcPr>
          <w:p>
            <w:pPr>
              <w:jc w:val="center"/>
            </w:pPr>
            <w:r>
              <w:rPr>
                <w:b/>
                <w:bCs/>
                <w:color w:val="FFFFFF"/>
                <w:sz w:val="18"/>
                <w:szCs w:val="18"/>
              </w:rPr>
              <w:t xml:space="preserve">Charge Type</w:t>
            </w:r>
          </w:p>
        </w:tc>
        <w:tc>
          <w:tcPr>
            <w:tcW w:type="dxa" w:w="2800"/>
            <w:shd w:fill="1B3A6B" w:color="auto" w:val="clear"/>
            <w:tcMar>
              <w:top w:type="dxa" w:w="80"/>
              <w:left w:type="dxa" w:w="120"/>
              <w:bottom w:type="dxa" w:w="80"/>
              <w:right w:type="dxa" w:w="120"/>
            </w:tcMar>
          </w:tcPr>
          <w:p>
            <w:pPr>
              <w:jc w:val="center"/>
            </w:pPr>
            <w:r>
              <w:rPr>
                <w:b/>
                <w:bCs/>
                <w:color w:val="FFFFFF"/>
                <w:sz w:val="18"/>
                <w:szCs w:val="18"/>
              </w:rPr>
              <w:t xml:space="preserve">Amount / Rate</w:t>
            </w:r>
          </w:p>
        </w:tc>
        <w:tc>
          <w:tcPr>
            <w:tcW w:type="dxa" w:w="3800"/>
            <w:shd w:fill="1B3A6B" w:color="auto" w:val="clear"/>
            <w:tcMar>
              <w:top w:type="dxa" w:w="80"/>
              <w:left w:type="dxa" w:w="120"/>
              <w:bottom w:type="dxa" w:w="80"/>
              <w:right w:type="dxa" w:w="120"/>
            </w:tcMar>
          </w:tcPr>
          <w:p>
            <w:pPr>
              <w:jc w:val="center"/>
            </w:pPr>
            <w:r>
              <w:rPr>
                <w:b/>
                <w:bCs/>
                <w:color w:val="FFFFFF"/>
                <w:sz w:val="18"/>
                <w:szCs w:val="18"/>
              </w:rPr>
              <w:t xml:space="preserve">Remarks</w:t>
            </w:r>
          </w:p>
        </w:tc>
      </w:tr>
      <w:tr>
        <w:tc>
          <w:tcPr>
            <w:tcW w:type="dxa" w:w="2600"/>
            <w:shd w:fill="F0F4FF" w:color="auto" w:val="clear"/>
            <w:tcMar>
              <w:top w:type="dxa" w:w="80"/>
              <w:left w:type="dxa" w:w="120"/>
              <w:bottom w:type="dxa" w:w="80"/>
              <w:right w:type="dxa" w:w="120"/>
            </w:tcMar>
          </w:tcPr>
          <w:p>
            <w:pPr>
              <w:jc w:val="left"/>
            </w:pPr>
            <w:r>
              <w:rPr>
                <w:color w:val="1F2937"/>
                <w:sz w:val="18"/>
                <w:szCs w:val="18"/>
              </w:rPr>
              <w:t xml:space="preserve">Annual Fee – Classic</w:t>
            </w:r>
          </w:p>
        </w:tc>
        <w:tc>
          <w:tcPr>
            <w:tcW w:type="dxa" w:w="2800"/>
            <w:shd w:fill="F0F4FF" w:color="auto" w:val="clear"/>
            <w:tcMar>
              <w:top w:type="dxa" w:w="80"/>
              <w:left w:type="dxa" w:w="120"/>
              <w:bottom w:type="dxa" w:w="80"/>
              <w:right w:type="dxa" w:w="120"/>
            </w:tcMar>
          </w:tcPr>
          <w:p>
            <w:pPr>
              <w:jc w:val="center"/>
            </w:pPr>
            <w:r>
              <w:rPr>
                <w:color w:val="1F2937"/>
                <w:sz w:val="18"/>
                <w:szCs w:val="18"/>
              </w:rPr>
              <w:t xml:space="preserve">₹500 + GST</w:t>
            </w:r>
          </w:p>
        </w:tc>
        <w:tc>
          <w:tcPr>
            <w:tcW w:type="dxa" w:w="3800"/>
            <w:shd w:fill="F0F4FF" w:color="auto" w:val="clear"/>
            <w:tcMar>
              <w:top w:type="dxa" w:w="80"/>
              <w:left w:type="dxa" w:w="120"/>
              <w:bottom w:type="dxa" w:w="80"/>
              <w:right w:type="dxa" w:w="120"/>
            </w:tcMar>
          </w:tcPr>
          <w:p>
            <w:pPr>
              <w:jc w:val="center"/>
            </w:pPr>
            <w:r>
              <w:rPr>
                <w:color w:val="1F2937"/>
                <w:sz w:val="18"/>
                <w:szCs w:val="18"/>
              </w:rPr>
              <w:t xml:space="preserve">Waived on annual spend ≥ ₹50,000</w:t>
            </w:r>
          </w:p>
        </w:tc>
      </w:tr>
      <w:tr>
        <w:tc>
          <w:tcPr>
            <w:tcW w:type="dxa" w:w="2600"/>
            <w:shd w:fill="FFFFFF" w:color="auto" w:val="clear"/>
            <w:tcMar>
              <w:top w:type="dxa" w:w="80"/>
              <w:left w:type="dxa" w:w="120"/>
              <w:bottom w:type="dxa" w:w="80"/>
              <w:right w:type="dxa" w:w="120"/>
            </w:tcMar>
          </w:tcPr>
          <w:p>
            <w:pPr>
              <w:jc w:val="left"/>
            </w:pPr>
            <w:r>
              <w:rPr>
                <w:color w:val="1F2937"/>
                <w:sz w:val="18"/>
                <w:szCs w:val="18"/>
              </w:rPr>
              <w:t xml:space="preserve">Annual Fee – Gold</w:t>
            </w:r>
          </w:p>
        </w:tc>
        <w:tc>
          <w:tcPr>
            <w:tcW w:type="dxa" w:w="2800"/>
            <w:shd w:fill="FFFFFF" w:color="auto" w:val="clear"/>
            <w:tcMar>
              <w:top w:type="dxa" w:w="80"/>
              <w:left w:type="dxa" w:w="120"/>
              <w:bottom w:type="dxa" w:w="80"/>
              <w:right w:type="dxa" w:w="120"/>
            </w:tcMar>
          </w:tcPr>
          <w:p>
            <w:pPr>
              <w:jc w:val="center"/>
            </w:pPr>
            <w:r>
              <w:rPr>
                <w:color w:val="1F2937"/>
                <w:sz w:val="18"/>
                <w:szCs w:val="18"/>
              </w:rPr>
              <w:t xml:space="preserve">₹1,000 + GST</w:t>
            </w:r>
          </w:p>
        </w:tc>
        <w:tc>
          <w:tcPr>
            <w:tcW w:type="dxa" w:w="3800"/>
            <w:shd w:fill="FFFFFF" w:color="auto" w:val="clear"/>
            <w:tcMar>
              <w:top w:type="dxa" w:w="80"/>
              <w:left w:type="dxa" w:w="120"/>
              <w:bottom w:type="dxa" w:w="80"/>
              <w:right w:type="dxa" w:w="120"/>
            </w:tcMar>
          </w:tcPr>
          <w:p>
            <w:pPr>
              <w:jc w:val="center"/>
            </w:pPr>
            <w:r>
              <w:rPr>
                <w:color w:val="1F2937"/>
                <w:sz w:val="18"/>
                <w:szCs w:val="18"/>
              </w:rPr>
              <w:t xml:space="preserve">Waived on annual spend ≥ ₹1,00,000</w:t>
            </w:r>
          </w:p>
        </w:tc>
      </w:tr>
      <w:tr>
        <w:tc>
          <w:tcPr>
            <w:tcW w:type="dxa" w:w="2600"/>
            <w:shd w:fill="F0F4FF" w:color="auto" w:val="clear"/>
            <w:tcMar>
              <w:top w:type="dxa" w:w="80"/>
              <w:left w:type="dxa" w:w="120"/>
              <w:bottom w:type="dxa" w:w="80"/>
              <w:right w:type="dxa" w:w="120"/>
            </w:tcMar>
          </w:tcPr>
          <w:p>
            <w:pPr>
              <w:jc w:val="left"/>
            </w:pPr>
            <w:r>
              <w:rPr>
                <w:color w:val="1F2937"/>
                <w:sz w:val="18"/>
                <w:szCs w:val="18"/>
              </w:rPr>
              <w:t xml:space="preserve">Annual Fee – Platinum</w:t>
            </w:r>
          </w:p>
        </w:tc>
        <w:tc>
          <w:tcPr>
            <w:tcW w:type="dxa" w:w="2800"/>
            <w:shd w:fill="F0F4FF" w:color="auto" w:val="clear"/>
            <w:tcMar>
              <w:top w:type="dxa" w:w="80"/>
              <w:left w:type="dxa" w:w="120"/>
              <w:bottom w:type="dxa" w:w="80"/>
              <w:right w:type="dxa" w:w="120"/>
            </w:tcMar>
          </w:tcPr>
          <w:p>
            <w:pPr>
              <w:jc w:val="center"/>
            </w:pPr>
            <w:r>
              <w:rPr>
                <w:color w:val="1F2937"/>
                <w:sz w:val="18"/>
                <w:szCs w:val="18"/>
              </w:rPr>
              <w:t xml:space="preserve">₹2,500 + GST</w:t>
            </w:r>
          </w:p>
        </w:tc>
        <w:tc>
          <w:tcPr>
            <w:tcW w:type="dxa" w:w="3800"/>
            <w:shd w:fill="F0F4FF" w:color="auto" w:val="clear"/>
            <w:tcMar>
              <w:top w:type="dxa" w:w="80"/>
              <w:left w:type="dxa" w:w="120"/>
              <w:bottom w:type="dxa" w:w="80"/>
              <w:right w:type="dxa" w:w="120"/>
            </w:tcMar>
          </w:tcPr>
          <w:p>
            <w:pPr>
              <w:jc w:val="center"/>
            </w:pPr>
            <w:r>
              <w:rPr>
                <w:color w:val="1F2937"/>
                <w:sz w:val="18"/>
                <w:szCs w:val="18"/>
              </w:rPr>
              <w:t xml:space="preserve">Waived on annual spend ≥ ₹3,00,000</w:t>
            </w:r>
          </w:p>
        </w:tc>
      </w:tr>
      <w:tr>
        <w:tc>
          <w:tcPr>
            <w:tcW w:type="dxa" w:w="2600"/>
            <w:shd w:fill="FFFFFF" w:color="auto" w:val="clear"/>
            <w:tcMar>
              <w:top w:type="dxa" w:w="80"/>
              <w:left w:type="dxa" w:w="120"/>
              <w:bottom w:type="dxa" w:w="80"/>
              <w:right w:type="dxa" w:w="120"/>
            </w:tcMar>
          </w:tcPr>
          <w:p>
            <w:pPr>
              <w:jc w:val="left"/>
            </w:pPr>
            <w:r>
              <w:rPr>
                <w:color w:val="1F2937"/>
                <w:sz w:val="18"/>
                <w:szCs w:val="18"/>
              </w:rPr>
              <w:t xml:space="preserve">Annual Fee – Titanium</w:t>
            </w:r>
          </w:p>
        </w:tc>
        <w:tc>
          <w:tcPr>
            <w:tcW w:type="dxa" w:w="2800"/>
            <w:shd w:fill="FFFFFF" w:color="auto" w:val="clear"/>
            <w:tcMar>
              <w:top w:type="dxa" w:w="80"/>
              <w:left w:type="dxa" w:w="120"/>
              <w:bottom w:type="dxa" w:w="80"/>
              <w:right w:type="dxa" w:w="120"/>
            </w:tcMar>
          </w:tcPr>
          <w:p>
            <w:pPr>
              <w:jc w:val="center"/>
            </w:pPr>
            <w:r>
              <w:rPr>
                <w:color w:val="1F2937"/>
                <w:sz w:val="18"/>
                <w:szCs w:val="18"/>
              </w:rPr>
              <w:t xml:space="preserve">₹5,000 + GST</w:t>
            </w:r>
          </w:p>
        </w:tc>
        <w:tc>
          <w:tcPr>
            <w:tcW w:type="dxa" w:w="3800"/>
            <w:shd w:fill="FFFFFF" w:color="auto" w:val="clear"/>
            <w:tcMar>
              <w:top w:type="dxa" w:w="80"/>
              <w:left w:type="dxa" w:w="120"/>
              <w:bottom w:type="dxa" w:w="80"/>
              <w:right w:type="dxa" w:w="120"/>
            </w:tcMar>
          </w:tcPr>
          <w:p>
            <w:pPr>
              <w:jc w:val="center"/>
            </w:pPr>
            <w:r>
              <w:rPr>
                <w:color w:val="1F2937"/>
                <w:sz w:val="18"/>
                <w:szCs w:val="18"/>
              </w:rPr>
              <w:t xml:space="preserve">Non-waivable</w:t>
            </w:r>
          </w:p>
        </w:tc>
      </w:tr>
      <w:tr>
        <w:tc>
          <w:tcPr>
            <w:tcW w:type="dxa" w:w="2600"/>
            <w:shd w:fill="F0F4FF" w:color="auto" w:val="clear"/>
            <w:tcMar>
              <w:top w:type="dxa" w:w="80"/>
              <w:left w:type="dxa" w:w="120"/>
              <w:bottom w:type="dxa" w:w="80"/>
              <w:right w:type="dxa" w:w="120"/>
            </w:tcMar>
          </w:tcPr>
          <w:p>
            <w:pPr>
              <w:jc w:val="left"/>
            </w:pPr>
            <w:r>
              <w:rPr>
                <w:color w:val="1F2937"/>
                <w:sz w:val="18"/>
                <w:szCs w:val="18"/>
              </w:rPr>
              <w:t xml:space="preserve">Finance Charge (Interest Rate)</w:t>
            </w:r>
          </w:p>
        </w:tc>
        <w:tc>
          <w:tcPr>
            <w:tcW w:type="dxa" w:w="2800"/>
            <w:shd w:fill="F0F4FF" w:color="auto" w:val="clear"/>
            <w:tcMar>
              <w:top w:type="dxa" w:w="80"/>
              <w:left w:type="dxa" w:w="120"/>
              <w:bottom w:type="dxa" w:w="80"/>
              <w:right w:type="dxa" w:w="120"/>
            </w:tcMar>
          </w:tcPr>
          <w:p>
            <w:pPr>
              <w:jc w:val="center"/>
            </w:pPr>
            <w:r>
              <w:rPr>
                <w:color w:val="1F2937"/>
                <w:sz w:val="18"/>
                <w:szCs w:val="18"/>
              </w:rPr>
              <w:t xml:space="preserve">3.5% per month (42% per annum)</w:t>
            </w:r>
          </w:p>
        </w:tc>
        <w:tc>
          <w:tcPr>
            <w:tcW w:type="dxa" w:w="3800"/>
            <w:shd w:fill="F0F4FF" w:color="auto" w:val="clear"/>
            <w:tcMar>
              <w:top w:type="dxa" w:w="80"/>
              <w:left w:type="dxa" w:w="120"/>
              <w:bottom w:type="dxa" w:w="80"/>
              <w:right w:type="dxa" w:w="120"/>
            </w:tcMar>
          </w:tcPr>
          <w:p>
            <w:pPr>
              <w:jc w:val="center"/>
            </w:pPr>
            <w:r>
              <w:rPr>
                <w:color w:val="1F2937"/>
                <w:sz w:val="18"/>
                <w:szCs w:val="18"/>
              </w:rPr>
              <w:t xml:space="preserve">Applicable on revolving balances; reduced to 3.0% for customers with 12-month clean payment history</w:t>
            </w:r>
          </w:p>
        </w:tc>
      </w:tr>
      <w:tr>
        <w:tc>
          <w:tcPr>
            <w:tcW w:type="dxa" w:w="2600"/>
            <w:shd w:fill="FFFFFF" w:color="auto" w:val="clear"/>
            <w:tcMar>
              <w:top w:type="dxa" w:w="80"/>
              <w:left w:type="dxa" w:w="120"/>
              <w:bottom w:type="dxa" w:w="80"/>
              <w:right w:type="dxa" w:w="120"/>
            </w:tcMar>
          </w:tcPr>
          <w:p>
            <w:pPr>
              <w:jc w:val="left"/>
            </w:pPr>
            <w:r>
              <w:rPr>
                <w:color w:val="1F2937"/>
                <w:sz w:val="18"/>
                <w:szCs w:val="18"/>
              </w:rPr>
              <w:t xml:space="preserve">Minimum Amount Due (MAD)</w:t>
            </w:r>
          </w:p>
        </w:tc>
        <w:tc>
          <w:tcPr>
            <w:tcW w:type="dxa" w:w="2800"/>
            <w:shd w:fill="FFFFFF" w:color="auto" w:val="clear"/>
            <w:tcMar>
              <w:top w:type="dxa" w:w="80"/>
              <w:left w:type="dxa" w:w="120"/>
              <w:bottom w:type="dxa" w:w="80"/>
              <w:right w:type="dxa" w:w="120"/>
            </w:tcMar>
          </w:tcPr>
          <w:p>
            <w:pPr>
              <w:jc w:val="center"/>
            </w:pPr>
            <w:r>
              <w:rPr>
                <w:color w:val="1F2937"/>
                <w:sz w:val="18"/>
                <w:szCs w:val="18"/>
              </w:rPr>
              <w:t xml:space="preserve">5% of Total Outstanding or ₹100 (whichever is higher)</w:t>
            </w:r>
          </w:p>
        </w:tc>
        <w:tc>
          <w:tcPr>
            <w:tcW w:type="dxa" w:w="3800"/>
            <w:shd w:fill="FFFFFF" w:color="auto" w:val="clear"/>
            <w:tcMar>
              <w:top w:type="dxa" w:w="80"/>
              <w:left w:type="dxa" w:w="120"/>
              <w:bottom w:type="dxa" w:w="80"/>
              <w:right w:type="dxa" w:w="120"/>
            </w:tcMar>
          </w:tcPr>
          <w:p>
            <w:pPr>
              <w:jc w:val="center"/>
            </w:pPr>
            <w:r>
              <w:rPr>
                <w:color w:val="1F2937"/>
                <w:sz w:val="18"/>
                <w:szCs w:val="18"/>
              </w:rPr>
              <w:t xml:space="preserve">Must be paid by Payment Due Date to avoid late fee</w:t>
            </w:r>
          </w:p>
        </w:tc>
      </w:tr>
      <w:tr>
        <w:tc>
          <w:tcPr>
            <w:tcW w:type="dxa" w:w="2600"/>
            <w:shd w:fill="F0F4FF" w:color="auto" w:val="clear"/>
            <w:tcMar>
              <w:top w:type="dxa" w:w="80"/>
              <w:left w:type="dxa" w:w="120"/>
              <w:bottom w:type="dxa" w:w="80"/>
              <w:right w:type="dxa" w:w="120"/>
            </w:tcMar>
          </w:tcPr>
          <w:p>
            <w:pPr>
              <w:jc w:val="left"/>
            </w:pPr>
            <w:r>
              <w:rPr>
                <w:color w:val="1F2937"/>
                <w:sz w:val="18"/>
                <w:szCs w:val="18"/>
              </w:rPr>
              <w:t xml:space="preserve">Late Payment Fee</w:t>
            </w:r>
          </w:p>
        </w:tc>
        <w:tc>
          <w:tcPr>
            <w:tcW w:type="dxa" w:w="2800"/>
            <w:shd w:fill="F0F4FF" w:color="auto" w:val="clear"/>
            <w:tcMar>
              <w:top w:type="dxa" w:w="80"/>
              <w:left w:type="dxa" w:w="120"/>
              <w:bottom w:type="dxa" w:w="80"/>
              <w:right w:type="dxa" w:w="120"/>
            </w:tcMar>
          </w:tcPr>
          <w:p>
            <w:pPr>
              <w:jc w:val="center"/>
            </w:pPr>
            <w:r>
              <w:rPr>
                <w:color w:val="1F2937"/>
                <w:sz w:val="18"/>
                <w:szCs w:val="18"/>
              </w:rPr>
              <w:t xml:space="preserve">₹100 for outstanding ≤ ₹500; ₹500 for ₹501–₹5,000; ₹1,000 for &gt;₹5,000</w:t>
            </w:r>
          </w:p>
        </w:tc>
        <w:tc>
          <w:tcPr>
            <w:tcW w:type="dxa" w:w="3800"/>
            <w:shd w:fill="F0F4FF" w:color="auto" w:val="clear"/>
            <w:tcMar>
              <w:top w:type="dxa" w:w="80"/>
              <w:left w:type="dxa" w:w="120"/>
              <w:bottom w:type="dxa" w:w="80"/>
              <w:right w:type="dxa" w:w="120"/>
            </w:tcMar>
          </w:tcPr>
          <w:p>
            <w:pPr>
              <w:jc w:val="center"/>
            </w:pPr>
            <w:r>
              <w:rPr>
                <w:color w:val="1F2937"/>
                <w:sz w:val="18"/>
                <w:szCs w:val="18"/>
              </w:rPr>
              <w:t xml:space="preserve">Effective 01 Jan 2024 – Penal charges cannot be higher than outstanding overdue amount</w:t>
            </w:r>
          </w:p>
        </w:tc>
      </w:tr>
      <w:tr>
        <w:tc>
          <w:tcPr>
            <w:tcW w:type="dxa" w:w="2600"/>
            <w:shd w:fill="FFFFFF" w:color="auto" w:val="clear"/>
            <w:tcMar>
              <w:top w:type="dxa" w:w="80"/>
              <w:left w:type="dxa" w:w="120"/>
              <w:bottom w:type="dxa" w:w="80"/>
              <w:right w:type="dxa" w:w="120"/>
            </w:tcMar>
          </w:tcPr>
          <w:p>
            <w:pPr>
              <w:jc w:val="left"/>
            </w:pPr>
            <w:r>
              <w:rPr>
                <w:color w:val="1F2937"/>
                <w:sz w:val="18"/>
                <w:szCs w:val="18"/>
              </w:rPr>
              <w:t xml:space="preserve">Cash Advance Fee</w:t>
            </w:r>
          </w:p>
        </w:tc>
        <w:tc>
          <w:tcPr>
            <w:tcW w:type="dxa" w:w="2800"/>
            <w:shd w:fill="FFFFFF" w:color="auto" w:val="clear"/>
            <w:tcMar>
              <w:top w:type="dxa" w:w="80"/>
              <w:left w:type="dxa" w:w="120"/>
              <w:bottom w:type="dxa" w:w="80"/>
              <w:right w:type="dxa" w:w="120"/>
            </w:tcMar>
          </w:tcPr>
          <w:p>
            <w:pPr>
              <w:jc w:val="center"/>
            </w:pPr>
            <w:r>
              <w:rPr>
                <w:color w:val="1F2937"/>
                <w:sz w:val="18"/>
                <w:szCs w:val="18"/>
              </w:rPr>
              <w:t xml:space="preserve">2.5% of withdrawn amount, minimum ₹500</w:t>
            </w:r>
          </w:p>
        </w:tc>
        <w:tc>
          <w:tcPr>
            <w:tcW w:type="dxa" w:w="3800"/>
            <w:shd w:fill="FFFFFF" w:color="auto" w:val="clear"/>
            <w:tcMar>
              <w:top w:type="dxa" w:w="80"/>
              <w:left w:type="dxa" w:w="120"/>
              <w:bottom w:type="dxa" w:w="80"/>
              <w:right w:type="dxa" w:w="120"/>
            </w:tcMar>
          </w:tcPr>
          <w:p>
            <w:pPr>
              <w:jc w:val="center"/>
            </w:pPr>
            <w:r>
              <w:rPr>
                <w:color w:val="1F2937"/>
                <w:sz w:val="18"/>
                <w:szCs w:val="18"/>
              </w:rPr>
              <w:t xml:space="preserve">Interest applicable from date of withdrawal at 3.75% p.m.</w:t>
            </w:r>
          </w:p>
        </w:tc>
      </w:tr>
      <w:tr>
        <w:tc>
          <w:tcPr>
            <w:tcW w:type="dxa" w:w="2600"/>
            <w:shd w:fill="F0F4FF" w:color="auto" w:val="clear"/>
            <w:tcMar>
              <w:top w:type="dxa" w:w="80"/>
              <w:left w:type="dxa" w:w="120"/>
              <w:bottom w:type="dxa" w:w="80"/>
              <w:right w:type="dxa" w:w="120"/>
            </w:tcMar>
          </w:tcPr>
          <w:p>
            <w:pPr>
              <w:jc w:val="left"/>
            </w:pPr>
            <w:r>
              <w:rPr>
                <w:color w:val="1F2937"/>
                <w:sz w:val="18"/>
                <w:szCs w:val="18"/>
              </w:rPr>
              <w:t xml:space="preserve">Foreign Currency Transaction Fee</w:t>
            </w:r>
          </w:p>
        </w:tc>
        <w:tc>
          <w:tcPr>
            <w:tcW w:type="dxa" w:w="2800"/>
            <w:shd w:fill="F0F4FF" w:color="auto" w:val="clear"/>
            <w:tcMar>
              <w:top w:type="dxa" w:w="80"/>
              <w:left w:type="dxa" w:w="120"/>
              <w:bottom w:type="dxa" w:w="80"/>
              <w:right w:type="dxa" w:w="120"/>
            </w:tcMar>
          </w:tcPr>
          <w:p>
            <w:pPr>
              <w:jc w:val="center"/>
            </w:pPr>
            <w:r>
              <w:rPr>
                <w:color w:val="1F2937"/>
                <w:sz w:val="18"/>
                <w:szCs w:val="18"/>
              </w:rPr>
              <w:t xml:space="preserve">3.5% of transaction amount</w:t>
            </w:r>
          </w:p>
        </w:tc>
        <w:tc>
          <w:tcPr>
            <w:tcW w:type="dxa" w:w="3800"/>
            <w:shd w:fill="F0F4FF" w:color="auto" w:val="clear"/>
            <w:tcMar>
              <w:top w:type="dxa" w:w="80"/>
              <w:left w:type="dxa" w:w="120"/>
              <w:bottom w:type="dxa" w:w="80"/>
              <w:right w:type="dxa" w:w="120"/>
            </w:tcMar>
          </w:tcPr>
          <w:p>
            <w:pPr>
              <w:jc w:val="center"/>
            </w:pPr>
            <w:r>
              <w:rPr>
                <w:color w:val="1F2937"/>
                <w:sz w:val="18"/>
                <w:szCs w:val="18"/>
              </w:rPr>
              <w:t xml:space="preserve">Converted at Visa/Mastercard rate on date of transaction</w:t>
            </w:r>
          </w:p>
        </w:tc>
      </w:tr>
      <w:tr>
        <w:tc>
          <w:tcPr>
            <w:tcW w:type="dxa" w:w="2600"/>
            <w:shd w:fill="FFFFFF" w:color="auto" w:val="clear"/>
            <w:tcMar>
              <w:top w:type="dxa" w:w="80"/>
              <w:left w:type="dxa" w:w="120"/>
              <w:bottom w:type="dxa" w:w="80"/>
              <w:right w:type="dxa" w:w="120"/>
            </w:tcMar>
          </w:tcPr>
          <w:p>
            <w:pPr>
              <w:jc w:val="left"/>
            </w:pPr>
            <w:r>
              <w:rPr>
                <w:color w:val="1F2937"/>
                <w:sz w:val="18"/>
                <w:szCs w:val="18"/>
              </w:rPr>
              <w:t xml:space="preserve">Over Limit Charge</w:t>
            </w:r>
          </w:p>
        </w:tc>
        <w:tc>
          <w:tcPr>
            <w:tcW w:type="dxa" w:w="2800"/>
            <w:shd w:fill="FFFFFF" w:color="auto" w:val="clear"/>
            <w:tcMar>
              <w:top w:type="dxa" w:w="80"/>
              <w:left w:type="dxa" w:w="120"/>
              <w:bottom w:type="dxa" w:w="80"/>
              <w:right w:type="dxa" w:w="120"/>
            </w:tcMar>
          </w:tcPr>
          <w:p>
            <w:pPr>
              <w:jc w:val="center"/>
            </w:pPr>
            <w:r>
              <w:rPr>
                <w:color w:val="1F2937"/>
                <w:sz w:val="18"/>
                <w:szCs w:val="18"/>
              </w:rPr>
              <w:t xml:space="preserve">Not applicable – overlimit transactions declined by default</w:t>
            </w:r>
          </w:p>
        </w:tc>
        <w:tc>
          <w:tcPr>
            <w:tcW w:type="dxa" w:w="3800"/>
            <w:shd w:fill="FFFFFF" w:color="auto" w:val="clear"/>
            <w:tcMar>
              <w:top w:type="dxa" w:w="80"/>
              <w:left w:type="dxa" w:w="120"/>
              <w:bottom w:type="dxa" w:w="80"/>
              <w:right w:type="dxa" w:w="120"/>
            </w:tcMar>
          </w:tcPr>
          <w:p>
            <w:pPr>
              <w:jc w:val="center"/>
            </w:pPr>
            <w:r>
              <w:rPr>
                <w:color w:val="1F2937"/>
                <w:sz w:val="18"/>
                <w:szCs w:val="18"/>
              </w:rPr>
              <w:t xml:space="preserve">Only applicable if customer has opted in for overlimit facility: ₹600 per incident</w:t>
            </w:r>
          </w:p>
        </w:tc>
      </w:tr>
      <w:tr>
        <w:tc>
          <w:tcPr>
            <w:tcW w:type="dxa" w:w="2600"/>
            <w:shd w:fill="F0F4FF" w:color="auto" w:val="clear"/>
            <w:tcMar>
              <w:top w:type="dxa" w:w="80"/>
              <w:left w:type="dxa" w:w="120"/>
              <w:bottom w:type="dxa" w:w="80"/>
              <w:right w:type="dxa" w:w="120"/>
            </w:tcMar>
          </w:tcPr>
          <w:p>
            <w:pPr>
              <w:jc w:val="left"/>
            </w:pPr>
            <w:r>
              <w:rPr>
                <w:color w:val="1F2937"/>
                <w:sz w:val="18"/>
                <w:szCs w:val="18"/>
              </w:rPr>
              <w:t xml:space="preserve">Card Replacement Fee</w:t>
            </w:r>
          </w:p>
        </w:tc>
        <w:tc>
          <w:tcPr>
            <w:tcW w:type="dxa" w:w="2800"/>
            <w:shd w:fill="F0F4FF" w:color="auto" w:val="clear"/>
            <w:tcMar>
              <w:top w:type="dxa" w:w="80"/>
              <w:left w:type="dxa" w:w="120"/>
              <w:bottom w:type="dxa" w:w="80"/>
              <w:right w:type="dxa" w:w="120"/>
            </w:tcMar>
          </w:tcPr>
          <w:p>
            <w:pPr>
              <w:jc w:val="center"/>
            </w:pPr>
            <w:r>
              <w:rPr>
                <w:color w:val="1F2937"/>
                <w:sz w:val="18"/>
                <w:szCs w:val="18"/>
              </w:rPr>
              <w:t xml:space="preserve">₹200 + GST</w:t>
            </w:r>
          </w:p>
        </w:tc>
        <w:tc>
          <w:tcPr>
            <w:tcW w:type="dxa" w:w="3800"/>
            <w:shd w:fill="F0F4FF" w:color="auto" w:val="clear"/>
            <w:tcMar>
              <w:top w:type="dxa" w:w="80"/>
              <w:left w:type="dxa" w:w="120"/>
              <w:bottom w:type="dxa" w:w="80"/>
              <w:right w:type="dxa" w:w="120"/>
            </w:tcMar>
          </w:tcPr>
          <w:p>
            <w:pPr>
              <w:jc w:val="center"/>
            </w:pPr>
            <w:r>
              <w:rPr>
                <w:color w:val="1F2937"/>
                <w:sz w:val="18"/>
                <w:szCs w:val="18"/>
              </w:rPr>
              <w:t xml:space="preserve">First replacement free per lifetime</w:t>
            </w:r>
          </w:p>
        </w:tc>
      </w:tr>
      <w:tr>
        <w:tc>
          <w:tcPr>
            <w:tcW w:type="dxa" w:w="2600"/>
            <w:shd w:fill="FFFFFF" w:color="auto" w:val="clear"/>
            <w:tcMar>
              <w:top w:type="dxa" w:w="80"/>
              <w:left w:type="dxa" w:w="120"/>
              <w:bottom w:type="dxa" w:w="80"/>
              <w:right w:type="dxa" w:w="120"/>
            </w:tcMar>
          </w:tcPr>
          <w:p>
            <w:pPr>
              <w:jc w:val="left"/>
            </w:pPr>
            <w:r>
              <w:rPr>
                <w:color w:val="1F2937"/>
                <w:sz w:val="18"/>
                <w:szCs w:val="18"/>
              </w:rPr>
              <w:t xml:space="preserve">EMI Conversion Fee</w:t>
            </w:r>
          </w:p>
        </w:tc>
        <w:tc>
          <w:tcPr>
            <w:tcW w:type="dxa" w:w="2800"/>
            <w:shd w:fill="FFFFFF" w:color="auto" w:val="clear"/>
            <w:tcMar>
              <w:top w:type="dxa" w:w="80"/>
              <w:left w:type="dxa" w:w="120"/>
              <w:bottom w:type="dxa" w:w="80"/>
              <w:right w:type="dxa" w:w="120"/>
            </w:tcMar>
          </w:tcPr>
          <w:p>
            <w:pPr>
              <w:jc w:val="center"/>
            </w:pPr>
            <w:r>
              <w:rPr>
                <w:color w:val="1F2937"/>
                <w:sz w:val="18"/>
                <w:szCs w:val="18"/>
              </w:rPr>
              <w:t xml:space="preserve">1% of transaction amount, min ₹199</w:t>
            </w:r>
          </w:p>
        </w:tc>
        <w:tc>
          <w:tcPr>
            <w:tcW w:type="dxa" w:w="3800"/>
            <w:shd w:fill="FFFFFF" w:color="auto" w:val="clear"/>
            <w:tcMar>
              <w:top w:type="dxa" w:w="80"/>
              <w:left w:type="dxa" w:w="120"/>
              <w:bottom w:type="dxa" w:w="80"/>
              <w:right w:type="dxa" w:w="120"/>
            </w:tcMar>
          </w:tcPr>
          <w:p>
            <w:pPr>
              <w:jc w:val="center"/>
            </w:pPr>
            <w:r>
              <w:rPr>
                <w:color w:val="1F2937"/>
                <w:sz w:val="18"/>
                <w:szCs w:val="18"/>
              </w:rPr>
              <w:t xml:space="preserve">Pre-closure charges: 3% of outstanding principal</w:t>
            </w:r>
          </w:p>
        </w:tc>
      </w:tr>
      <w:tr>
        <w:tc>
          <w:tcPr>
            <w:tcW w:type="dxa" w:w="2600"/>
            <w:shd w:fill="F0F4FF" w:color="auto" w:val="clear"/>
            <w:tcMar>
              <w:top w:type="dxa" w:w="80"/>
              <w:left w:type="dxa" w:w="120"/>
              <w:bottom w:type="dxa" w:w="80"/>
              <w:right w:type="dxa" w:w="120"/>
            </w:tcMar>
          </w:tcPr>
          <w:p>
            <w:pPr>
              <w:jc w:val="left"/>
            </w:pPr>
            <w:r>
              <w:rPr>
                <w:color w:val="1F2937"/>
                <w:sz w:val="18"/>
                <w:szCs w:val="18"/>
              </w:rPr>
              <w:t xml:space="preserve">Fuel Surcharge Waiver</w:t>
            </w:r>
          </w:p>
        </w:tc>
        <w:tc>
          <w:tcPr>
            <w:tcW w:type="dxa" w:w="2800"/>
            <w:shd w:fill="F0F4FF" w:color="auto" w:val="clear"/>
            <w:tcMar>
              <w:top w:type="dxa" w:w="80"/>
              <w:left w:type="dxa" w:w="120"/>
              <w:bottom w:type="dxa" w:w="80"/>
              <w:right w:type="dxa" w:w="120"/>
            </w:tcMar>
          </w:tcPr>
          <w:p>
            <w:pPr>
              <w:jc w:val="center"/>
            </w:pPr>
            <w:r>
              <w:rPr>
                <w:color w:val="1F2937"/>
                <w:sz w:val="18"/>
                <w:szCs w:val="18"/>
              </w:rPr>
              <w:t xml:space="preserve">1% surcharge waived on fuel transactions ₹400–₹5,000</w:t>
            </w:r>
          </w:p>
        </w:tc>
        <w:tc>
          <w:tcPr>
            <w:tcW w:type="dxa" w:w="3800"/>
            <w:shd w:fill="F0F4FF" w:color="auto" w:val="clear"/>
            <w:tcMar>
              <w:top w:type="dxa" w:w="80"/>
              <w:left w:type="dxa" w:w="120"/>
              <w:bottom w:type="dxa" w:w="80"/>
              <w:right w:type="dxa" w:w="120"/>
            </w:tcMar>
          </w:tcPr>
          <w:p>
            <w:pPr>
              <w:jc w:val="center"/>
            </w:pPr>
            <w:r>
              <w:rPr>
                <w:color w:val="1F2937"/>
                <w:sz w:val="18"/>
                <w:szCs w:val="18"/>
              </w:rPr>
              <w:t xml:space="preserve">Maximum waiver ₹250 per month</w:t>
            </w:r>
          </w:p>
        </w:tc>
      </w:tr>
    </w:tbl>
    <w:p>
      <w:pPr>
        <w:spacing w:before="80"/>
      </w:pPr>
      <w:r>
        <w:t xml:space="preserve"/>
      </w:r>
    </w:p>
    <w:p>
      <w:pPr>
        <w:spacing w:after="60" w:before="100"/>
        <w:ind w:left="360"/>
      </w:pPr>
      <w:r>
        <w:rPr>
          <w:b/>
          <w:bCs/>
          <w:color w:val="6B7280"/>
          <w:sz w:val="20"/>
          <w:szCs w:val="20"/>
        </w:rPr>
        <w:t xml:space="preserve">7.3  </w:t>
      </w:r>
      <w:r>
        <w:rPr>
          <w:color w:val="1F2937"/>
          <w:sz w:val="20"/>
          <w:szCs w:val="20"/>
        </w:rPr>
        <w:t xml:space="preserve">Penal charges (late payment fee, overlimit fee) shall not be charged on penal charges. Compounding of penal charges is strictly prohibited effective 01 January 2024 as per RBI/2023-24/73.</w:t>
      </w:r>
    </w:p>
    <w:p>
      <w:pPr>
        <w:spacing w:after="60" w:before="100"/>
        <w:ind w:left="360"/>
      </w:pPr>
      <w:r>
        <w:rPr>
          <w:b/>
          <w:bCs/>
          <w:color w:val="6B7280"/>
          <w:sz w:val="20"/>
          <w:szCs w:val="20"/>
        </w:rPr>
        <w:t xml:space="preserve">7.4  </w:t>
      </w:r>
      <w:r>
        <w:rPr>
          <w:color w:val="1F2937"/>
          <w:sz w:val="20"/>
          <w:szCs w:val="20"/>
        </w:rPr>
        <w:t xml:space="preserve">Interest shall not be charged on disputed transactions until the dispute resolution process is complete. Disputed amounts must be placed on hold and not attract interest or late payment fees during investigation.</w:t>
      </w:r>
    </w:p>
    <w:p>
      <w:pPr>
        <w:spacing w:after="60" w:before="100"/>
        <w:ind w:left="360"/>
      </w:pPr>
      <w:r>
        <w:rPr>
          <w:b/>
          <w:bCs/>
          <w:color w:val="6B7280"/>
          <w:sz w:val="20"/>
          <w:szCs w:val="20"/>
        </w:rPr>
        <w:t xml:space="preserve">7.5  </w:t>
      </w:r>
      <w:r>
        <w:rPr>
          <w:color w:val="1F2937"/>
          <w:sz w:val="20"/>
          <w:szCs w:val="20"/>
        </w:rPr>
        <w:t xml:space="preserve">Any change in interest rates or charges requires minimum 30 days advance notice to the cardholder through email/SMS/statement message. Changes cannot be applied to existing transactions.</w:t>
      </w:r>
    </w:p>
    <w:p>
      <w:pPr>
        <w:spacing w:after="60" w:before="100"/>
        <w:ind w:left="360"/>
      </w:pPr>
      <w:r>
        <w:rPr>
          <w:b/>
          <w:bCs/>
          <w:color w:val="6B7280"/>
          <w:sz w:val="20"/>
          <w:szCs w:val="20"/>
        </w:rPr>
        <w:t xml:space="preserve">7.6  </w:t>
      </w:r>
      <w:r>
        <w:rPr>
          <w:color w:val="1F2937"/>
          <w:sz w:val="20"/>
          <w:szCs w:val="20"/>
        </w:rPr>
        <w:t xml:space="preserve">The Annualised Percentage Rate (APR) must be displayed prominently on the monthly statement, KFS, and the Bank's website as per RBI/2023-24/50.</w:t>
      </w:r>
    </w:p>
    <w:p>
      <w:r>
        <w:br w:type="page"/>
      </w:r>
    </w:p>
    <w:p>
      <w:pPr>
        <w:spacing w:after="80" w:before="240"/>
      </w:pPr>
      <w:r>
        <w:rPr>
          <w:b/>
          <w:bCs/>
          <w:color w:val="B45309"/>
          <w:sz w:val="22"/>
          <w:szCs w:val="22"/>
        </w:rPr>
        <w:t xml:space="preserve">8.  </w:t>
      </w:r>
      <w:r>
        <w:rPr>
          <w:b/>
          <w:bCs/>
          <w:color w:val="1B3A6B"/>
          <w:sz w:val="22"/>
          <w:szCs w:val="22"/>
        </w:rPr>
        <w:t xml:space="preserve">BILLING, STATEMENTS &amp; PAYMENT</w:t>
      </w:r>
    </w:p>
    <w:p>
      <w:pPr>
        <w:spacing w:after="60" w:before="100"/>
        <w:ind w:left="360"/>
      </w:pPr>
      <w:r>
        <w:rPr>
          <w:b/>
          <w:bCs/>
          <w:color w:val="6B7280"/>
          <w:sz w:val="20"/>
          <w:szCs w:val="20"/>
        </w:rPr>
        <w:t xml:space="preserve">8.1  </w:t>
      </w:r>
      <w:r>
        <w:rPr>
          <w:color w:val="1F2937"/>
          <w:sz w:val="20"/>
          <w:szCs w:val="20"/>
        </w:rPr>
        <w:t xml:space="preserve">Monthly statements must be generated and dispatched (email/physical as per cardholder preference) within 3 working days of the statement date. Statement must clearly show:</w:t>
      </w:r>
    </w:p>
    <w:p>
      <w:pPr>
        <w:spacing w:after="40" w:before="60"/>
        <w:ind w:left="360"/>
      </w:pPr>
      <w:r>
        <w:rPr>
          <w:color w:val="374151"/>
          <w:sz w:val="20"/>
          <w:szCs w:val="20"/>
        </w:rPr>
        <w:t xml:space="preserve">• Opening balance, transactions during period, payments received, fees charged</w:t>
      </w:r>
    </w:p>
    <w:p>
      <w:pPr>
        <w:spacing w:after="40" w:before="60"/>
        <w:ind w:left="360"/>
      </w:pPr>
      <w:r>
        <w:rPr>
          <w:color w:val="374151"/>
          <w:sz w:val="20"/>
          <w:szCs w:val="20"/>
        </w:rPr>
        <w:t xml:space="preserve">• Closing balance, minimum amount due, and payment due date</w:t>
      </w:r>
    </w:p>
    <w:p>
      <w:pPr>
        <w:spacing w:after="40" w:before="60"/>
        <w:ind w:left="360"/>
      </w:pPr>
      <w:r>
        <w:rPr>
          <w:color w:val="374151"/>
          <w:sz w:val="20"/>
          <w:szCs w:val="20"/>
        </w:rPr>
        <w:t xml:space="preserve">• APR and monthly interest rate</w:t>
      </w:r>
    </w:p>
    <w:p>
      <w:pPr>
        <w:spacing w:after="40" w:before="60"/>
        <w:ind w:left="360"/>
      </w:pPr>
      <w:r>
        <w:rPr>
          <w:color w:val="374151"/>
          <w:sz w:val="20"/>
          <w:szCs w:val="20"/>
        </w:rPr>
        <w:t xml:space="preserve">• Reward points earned, redeemed, and balance</w:t>
      </w:r>
    </w:p>
    <w:p>
      <w:pPr>
        <w:spacing w:after="40" w:before="60"/>
        <w:ind w:left="360"/>
      </w:pPr>
      <w:r>
        <w:rPr>
          <w:color w:val="374151"/>
          <w:sz w:val="20"/>
          <w:szCs w:val="20"/>
        </w:rPr>
        <w:t xml:space="preserve">• Customer care number and website for dispute reporting</w:t>
      </w:r>
    </w:p>
    <w:p>
      <w:pPr>
        <w:spacing w:after="60" w:before="100"/>
        <w:ind w:left="360"/>
      </w:pPr>
      <w:r>
        <w:rPr>
          <w:b/>
          <w:bCs/>
          <w:color w:val="6B7280"/>
          <w:sz w:val="20"/>
          <w:szCs w:val="20"/>
        </w:rPr>
        <w:t xml:space="preserve">8.2  </w:t>
      </w:r>
      <w:r>
        <w:rPr>
          <w:color w:val="1F2937"/>
          <w:sz w:val="20"/>
          <w:szCs w:val="20"/>
        </w:rPr>
        <w:t xml:space="preserve">Payment Due Date must be minimum 18 days from the statement generation date. Cardholders must be given adequate time to arrange payment.</w:t>
      </w:r>
    </w:p>
    <w:p>
      <w:pPr>
        <w:spacing w:after="60" w:before="100"/>
        <w:ind w:left="360"/>
      </w:pPr>
      <w:r>
        <w:rPr>
          <w:b/>
          <w:bCs/>
          <w:color w:val="6B7280"/>
          <w:sz w:val="20"/>
          <w:szCs w:val="20"/>
        </w:rPr>
        <w:t xml:space="preserve">8.3  </w:t>
      </w:r>
      <w:r>
        <w:rPr>
          <w:color w:val="1F2937"/>
          <w:sz w:val="20"/>
          <w:szCs w:val="20"/>
        </w:rPr>
        <w:t xml:space="preserve">The Bank must accept payments through all available channels: branch, NEFT, IMPS, mobile banking, internet banking, and auto-debit (NACH mandate). No payment channel shall be discontinued without 60 days advance notice.</w:t>
      </w:r>
    </w:p>
    <w:p>
      <w:pPr>
        <w:spacing w:after="60" w:before="100"/>
        <w:ind w:left="360"/>
      </w:pPr>
      <w:r>
        <w:rPr>
          <w:b/>
          <w:bCs/>
          <w:color w:val="6B7280"/>
          <w:sz w:val="20"/>
          <w:szCs w:val="20"/>
        </w:rPr>
        <w:t xml:space="preserve">8.4  </w:t>
      </w:r>
      <w:r>
        <w:rPr>
          <w:color w:val="1F2937"/>
          <w:sz w:val="20"/>
          <w:szCs w:val="20"/>
        </w:rPr>
        <w:t xml:space="preserve">Payments received must be credited to the account on the same day if received before 15:00 hrs on a working day. Payments received after 15:00 hrs or on non-working days shall be credited the next working day.</w:t>
      </w:r>
    </w:p>
    <w:p>
      <w:pPr>
        <w:spacing w:after="60" w:before="100"/>
        <w:ind w:left="360"/>
      </w:pPr>
      <w:r>
        <w:rPr>
          <w:b/>
          <w:bCs/>
          <w:color w:val="6B7280"/>
          <w:sz w:val="20"/>
          <w:szCs w:val="20"/>
        </w:rPr>
        <w:t xml:space="preserve">8.5  </w:t>
      </w:r>
      <w:r>
        <w:rPr>
          <w:color w:val="1F2937"/>
          <w:sz w:val="20"/>
          <w:szCs w:val="20"/>
        </w:rPr>
        <w:t xml:space="preserve">Payment allocation hierarchy (for partial payments) shall be: (1) Minimum Amount Due, (2) EMI instalments, (3) interest charges, (4) fees, (5) principal outstanding. Customers must be informed of this hierarchy.</w:t>
      </w:r>
    </w:p>
    <w:p>
      <w:pPr>
        <w:spacing w:after="60" w:before="100"/>
        <w:ind w:left="360"/>
      </w:pPr>
      <w:r>
        <w:rPr>
          <w:b/>
          <w:bCs/>
          <w:color w:val="6B7280"/>
          <w:sz w:val="20"/>
          <w:szCs w:val="20"/>
        </w:rPr>
        <w:t xml:space="preserve">8.6  </w:t>
      </w:r>
      <w:r>
        <w:rPr>
          <w:color w:val="1F2937"/>
          <w:sz w:val="20"/>
          <w:szCs w:val="20"/>
        </w:rPr>
        <w:t xml:space="preserve">NACH auto-debit mandates must have standing instructions for at least the Minimum Amount Due. Cardholders may instruct full payment or a fixed amount through NACH. Reversal of NACH debit without valid reason is a violation.</w:t>
      </w:r>
    </w:p>
    <w:p>
      <w:pPr>
        <w:spacing w:after="80" w:before="240"/>
      </w:pPr>
      <w:r>
        <w:rPr>
          <w:b/>
          <w:bCs/>
          <w:color w:val="B45309"/>
          <w:sz w:val="22"/>
          <w:szCs w:val="22"/>
        </w:rPr>
        <w:t xml:space="preserve">9.  </w:t>
      </w:r>
      <w:r>
        <w:rPr>
          <w:b/>
          <w:bCs/>
          <w:color w:val="1B3A6B"/>
          <w:sz w:val="22"/>
          <w:szCs w:val="22"/>
        </w:rPr>
        <w:t xml:space="preserve">CUSTOMER RIGHTS &amp; FAIR PRACTICES CODE</w:t>
      </w:r>
    </w:p>
    <w:p>
      <w:pPr>
        <w:spacing w:after="60" w:before="100"/>
        <w:ind w:left="360"/>
      </w:pPr>
      <w:r>
        <w:rPr>
          <w:b/>
          <w:bCs/>
          <w:color w:val="6B7280"/>
          <w:sz w:val="20"/>
          <w:szCs w:val="20"/>
        </w:rPr>
        <w:t xml:space="preserve">9.1  </w:t>
      </w:r>
      <w:r>
        <w:rPr>
          <w:color w:val="1F2937"/>
          <w:sz w:val="20"/>
          <w:szCs w:val="20"/>
        </w:rPr>
        <w:t xml:space="preserve">BCB shall abide by the Fair Practices Code for Credit Card Operations as prescribed by IBA and in line with RBI guidelines. The following rights are guaranteed to all cardholders:</w:t>
      </w:r>
    </w:p>
    <w:p>
      <w:pPr>
        <w:spacing w:after="40" w:before="60"/>
        <w:ind w:left="360"/>
      </w:pPr>
      <w:r>
        <w:rPr>
          <w:color w:val="374151"/>
          <w:sz w:val="20"/>
          <w:szCs w:val="20"/>
        </w:rPr>
        <w:t xml:space="preserve">• Right to information: Full, transparent disclosure of all charges before and after issuance</w:t>
      </w:r>
    </w:p>
    <w:p>
      <w:pPr>
        <w:spacing w:after="40" w:before="60"/>
        <w:ind w:left="360"/>
      </w:pPr>
      <w:r>
        <w:rPr>
          <w:color w:val="374151"/>
          <w:sz w:val="20"/>
          <w:szCs w:val="20"/>
        </w:rPr>
        <w:t xml:space="preserve">• Right to fair treatment: No discrimination based on gender, religion, caste, or geography</w:t>
      </w:r>
    </w:p>
    <w:p>
      <w:pPr>
        <w:spacing w:after="40" w:before="60"/>
        <w:ind w:left="360"/>
      </w:pPr>
      <w:r>
        <w:rPr>
          <w:color w:val="374151"/>
          <w:sz w:val="20"/>
          <w:szCs w:val="20"/>
        </w:rPr>
        <w:t xml:space="preserve">• Right to grievance redressal: Structured escalation with defined turnaround times</w:t>
      </w:r>
    </w:p>
    <w:p>
      <w:pPr>
        <w:spacing w:after="40" w:before="60"/>
        <w:ind w:left="360"/>
      </w:pPr>
      <w:r>
        <w:rPr>
          <w:color w:val="374151"/>
          <w:sz w:val="20"/>
          <w:szCs w:val="20"/>
        </w:rPr>
        <w:t xml:space="preserve">• Right to closure: Card closure request must be processed within 7 working days</w:t>
      </w:r>
    </w:p>
    <w:p>
      <w:pPr>
        <w:spacing w:after="40" w:before="60"/>
        <w:ind w:left="360"/>
      </w:pPr>
      <w:r>
        <w:rPr>
          <w:color w:val="374151"/>
          <w:sz w:val="20"/>
          <w:szCs w:val="20"/>
        </w:rPr>
        <w:t xml:space="preserve">• Right to credit information: Free CIBIL report access once per year on request</w:t>
      </w:r>
    </w:p>
    <w:p>
      <w:pPr>
        <w:spacing w:after="60" w:before="100"/>
        <w:ind w:left="360"/>
      </w:pPr>
      <w:r>
        <w:rPr>
          <w:b/>
          <w:bCs/>
          <w:color w:val="6B7280"/>
          <w:sz w:val="20"/>
          <w:szCs w:val="20"/>
        </w:rPr>
        <w:t xml:space="preserve">9.2  </w:t>
      </w:r>
      <w:r>
        <w:rPr>
          <w:color w:val="1F2937"/>
          <w:sz w:val="20"/>
          <w:szCs w:val="20"/>
        </w:rPr>
        <w:t xml:space="preserve">Unsolicited calls, SMS, or emails for credit card upgrades, EMI conversion, or limit enhancement are prohibited between 21:00 hrs and 09:00 hrs.</w:t>
      </w:r>
    </w:p>
    <w:p>
      <w:pPr>
        <w:spacing w:after="60" w:before="100"/>
        <w:ind w:left="360"/>
      </w:pPr>
      <w:r>
        <w:rPr>
          <w:b/>
          <w:bCs/>
          <w:color w:val="6B7280"/>
          <w:sz w:val="20"/>
          <w:szCs w:val="20"/>
        </w:rPr>
        <w:t xml:space="preserve">9.3  </w:t>
      </w:r>
      <w:r>
        <w:rPr>
          <w:color w:val="1F2937"/>
          <w:sz w:val="20"/>
          <w:szCs w:val="20"/>
        </w:rPr>
        <w:t xml:space="preserve">Interest-free period must be clearly communicated: Credit cards have an interest-free period of 18 to 50 days on retail purchases when the full outstanding amount is paid by the due date.</w:t>
      </w:r>
    </w:p>
    <w:p>
      <w:pPr>
        <w:spacing w:after="60" w:before="100"/>
        <w:ind w:left="360"/>
      </w:pPr>
      <w:r>
        <w:rPr>
          <w:b/>
          <w:bCs/>
          <w:color w:val="6B7280"/>
          <w:sz w:val="20"/>
          <w:szCs w:val="20"/>
        </w:rPr>
        <w:t xml:space="preserve">9.4  </w:t>
      </w:r>
      <w:r>
        <w:rPr>
          <w:color w:val="1F2937"/>
          <w:sz w:val="20"/>
          <w:szCs w:val="20"/>
        </w:rPr>
        <w:t xml:space="preserve">The Bank shall not engage recovery agents who use abusive, threatening, or coercive methods. Recovery agents must display identity cards and follow BCB's Recovery Agent Code of Conduct. All recovery calls must be recorded.</w:t>
      </w:r>
    </w:p>
    <w:p>
      <w:pPr>
        <w:spacing w:after="60" w:before="100"/>
        <w:ind w:left="360"/>
      </w:pPr>
      <w:r>
        <w:rPr>
          <w:b/>
          <w:bCs/>
          <w:color w:val="6B7280"/>
          <w:sz w:val="20"/>
          <w:szCs w:val="20"/>
        </w:rPr>
        <w:t xml:space="preserve">9.5  </w:t>
      </w:r>
      <w:r>
        <w:rPr>
          <w:color w:val="1F2937"/>
          <w:sz w:val="20"/>
          <w:szCs w:val="20"/>
        </w:rPr>
        <w:t xml:space="preserve">EMI conversion of transactions must be offered at the cardholder's request and must not be mandated. The Bank must disclose the effective interest rate on EMI transactions.</w:t>
      </w:r>
    </w:p>
    <w:p>
      <w:pPr>
        <w:spacing w:after="60" w:before="100"/>
        <w:ind w:left="360"/>
      </w:pPr>
      <w:r>
        <w:rPr>
          <w:b/>
          <w:bCs/>
          <w:color w:val="6B7280"/>
          <w:sz w:val="20"/>
          <w:szCs w:val="20"/>
        </w:rPr>
        <w:t xml:space="preserve">9.6  </w:t>
      </w:r>
      <w:r>
        <w:rPr>
          <w:color w:val="1F2937"/>
          <w:sz w:val="20"/>
          <w:szCs w:val="20"/>
        </w:rPr>
        <w:t xml:space="preserve">In case of a card being blocked by the Bank due to suspected fraud, the cardholder must be notified within 24 hours through SMS and email. Reasons for blocking must be provided if requested.</w:t>
      </w:r>
    </w:p>
    <w:p>
      <w:pPr>
        <w:spacing w:after="80" w:before="240"/>
      </w:pPr>
      <w:r>
        <w:rPr>
          <w:b/>
          <w:bCs/>
          <w:color w:val="B45309"/>
          <w:sz w:val="22"/>
          <w:szCs w:val="22"/>
        </w:rPr>
        <w:t xml:space="preserve">10.  </w:t>
      </w:r>
      <w:r>
        <w:rPr>
          <w:b/>
          <w:bCs/>
          <w:color w:val="1B3A6B"/>
          <w:sz w:val="22"/>
          <w:szCs w:val="22"/>
        </w:rPr>
        <w:t xml:space="preserve">FRAUD RISK MANAGEMENT</w:t>
      </w:r>
    </w:p>
    <w:p>
      <w:pPr>
        <w:spacing w:after="60" w:before="100"/>
        <w:ind w:left="360"/>
      </w:pPr>
      <w:r>
        <w:rPr>
          <w:b/>
          <w:bCs/>
          <w:color w:val="6B7280"/>
          <w:sz w:val="20"/>
          <w:szCs w:val="20"/>
        </w:rPr>
        <w:t xml:space="preserve">10.1  </w:t>
      </w:r>
      <w:r>
        <w:rPr>
          <w:color w:val="1F2937"/>
          <w:sz w:val="20"/>
          <w:szCs w:val="20"/>
        </w:rPr>
        <w:t xml:space="preserve">The Bank shall implement a multi-layered fraud detection and prevention system covering:</w:t>
      </w:r>
    </w:p>
    <w:p>
      <w:pPr>
        <w:spacing w:after="40" w:before="60"/>
        <w:ind w:left="360"/>
      </w:pPr>
      <w:r>
        <w:rPr>
          <w:color w:val="374151"/>
          <w:sz w:val="20"/>
          <w:szCs w:val="20"/>
        </w:rPr>
        <w:t xml:space="preserve">• Real-time transaction monitoring using rule-based and ML models</w:t>
      </w:r>
    </w:p>
    <w:p>
      <w:pPr>
        <w:spacing w:after="40" w:before="60"/>
        <w:ind w:left="360"/>
      </w:pPr>
      <w:r>
        <w:rPr>
          <w:color w:val="374151"/>
          <w:sz w:val="20"/>
          <w:szCs w:val="20"/>
        </w:rPr>
        <w:t xml:space="preserve">• SMS and email alerts for all transactions above ₹5,000</w:t>
      </w:r>
    </w:p>
    <w:p>
      <w:pPr>
        <w:spacing w:after="40" w:before="60"/>
        <w:ind w:left="360"/>
      </w:pPr>
      <w:r>
        <w:rPr>
          <w:color w:val="374151"/>
          <w:sz w:val="20"/>
          <w:szCs w:val="20"/>
        </w:rPr>
        <w:t xml:space="preserve">• OTP-based authentication for all online (CNP) transactions above ₹2,000</w:t>
      </w:r>
    </w:p>
    <w:p>
      <w:pPr>
        <w:spacing w:after="40" w:before="60"/>
        <w:ind w:left="360"/>
      </w:pPr>
      <w:r>
        <w:rPr>
          <w:color w:val="374151"/>
          <w:sz w:val="20"/>
          <w:szCs w:val="20"/>
        </w:rPr>
        <w:t xml:space="preserve">• Velocity checks: flag if 3+ transactions occur within 5 minutes</w:t>
      </w:r>
    </w:p>
    <w:p>
      <w:pPr>
        <w:spacing w:after="40" w:before="60"/>
        <w:ind w:left="360"/>
      </w:pPr>
      <w:r>
        <w:rPr>
          <w:color w:val="374151"/>
          <w:sz w:val="20"/>
          <w:szCs w:val="20"/>
        </w:rPr>
        <w:t xml:space="preserve">• Geo-velocity alerts: flag if transactions occur in two geographies within 2 hours</w:t>
      </w:r>
    </w:p>
    <w:p>
      <w:pPr>
        <w:spacing w:after="60" w:before="100"/>
        <w:ind w:left="360"/>
      </w:pPr>
      <w:r>
        <w:rPr>
          <w:b/>
          <w:bCs/>
          <w:color w:val="6B7280"/>
          <w:sz w:val="20"/>
          <w:szCs w:val="20"/>
        </w:rPr>
        <w:t xml:space="preserve">10.2  </w:t>
      </w:r>
      <w:r>
        <w:rPr>
          <w:color w:val="1F2937"/>
          <w:sz w:val="20"/>
          <w:szCs w:val="20"/>
        </w:rPr>
        <w:t xml:space="preserve">Cardholders must be provided a 24x7 helpline to report lost, stolen, or compromised cards. Card blocking must be immediate upon reporting. The hotline number must be printed on the card and mentioned on every statement.</w:t>
      </w:r>
    </w:p>
    <w:p>
      <w:pPr>
        <w:spacing w:after="60" w:before="100"/>
        <w:ind w:left="360"/>
      </w:pPr>
      <w:r>
        <w:rPr>
          <w:b/>
          <w:bCs/>
          <w:color w:val="6B7280"/>
          <w:sz w:val="20"/>
          <w:szCs w:val="20"/>
        </w:rPr>
        <w:t xml:space="preserve">10.3  </w:t>
      </w:r>
      <w:r>
        <w:rPr>
          <w:color w:val="1F2937"/>
          <w:sz w:val="20"/>
          <w:szCs w:val="20"/>
        </w:rPr>
        <w:t xml:space="preserve">Zero liability protection: Cardholders shall not be held liable for fraudulent transactions if reported within 3 days of occurrence, provided the Bank is unable to demonstrate cardholder negligence or connivance.</w:t>
      </w:r>
    </w:p>
    <w:p>
      <w:pPr>
        <w:spacing w:after="60" w:before="100"/>
        <w:ind w:left="360"/>
      </w:pPr>
      <w:r>
        <w:rPr>
          <w:b/>
          <w:bCs/>
          <w:color w:val="6B7280"/>
          <w:sz w:val="20"/>
          <w:szCs w:val="20"/>
        </w:rPr>
        <w:t xml:space="preserve">10.4  </w:t>
      </w:r>
      <w:r>
        <w:rPr>
          <w:color w:val="1F2937"/>
          <w:sz w:val="20"/>
          <w:szCs w:val="20"/>
        </w:rPr>
        <w:t xml:space="preserve">Liability grid for fraudulent/unauthorised transactions:</w:t>
      </w:r>
    </w:p>
    <w:p>
      <w:pPr>
        <w:spacing w:before="80"/>
      </w:pPr>
      <w:r>
        <w:t xml:space="preserve"/>
      </w:r>
    </w:p>
    <w:tbl>
      <w:tblPr>
        <w:tblW w:type="dxa" w:w="9200"/>
        <w:tblBorders>
          <w:top w:val="single" w:color="CBD5E1" w:sz="2"/>
          <w:left w:val="single" w:color="CBD5E1" w:sz="2"/>
          <w:bottom w:val="single" w:color="CBD5E1" w:sz="2"/>
          <w:right w:val="single" w:color="CBD5E1" w:sz="2"/>
          <w:insideH w:val="single" w:color="auto" w:sz="4"/>
          <w:insideV w:val="single" w:color="auto" w:sz="4"/>
        </w:tblBorders>
      </w:tblPr>
      <w:tblGrid>
        <w:gridCol w:w="2800"/>
        <w:gridCol w:w="2400"/>
        <w:gridCol w:w="4000"/>
      </w:tblGrid>
      <w:tr>
        <w:trPr>
          <w:tblHeader/>
        </w:trPr>
        <w:tc>
          <w:tcPr>
            <w:tcW w:type="dxa" w:w="2800"/>
            <w:shd w:fill="1B3A6B" w:color="auto" w:val="clear"/>
            <w:tcMar>
              <w:top w:type="dxa" w:w="80"/>
              <w:left w:type="dxa" w:w="120"/>
              <w:bottom w:type="dxa" w:w="80"/>
              <w:right w:type="dxa" w:w="120"/>
            </w:tcMar>
          </w:tcPr>
          <w:p>
            <w:pPr>
              <w:jc w:val="center"/>
            </w:pPr>
            <w:r>
              <w:rPr>
                <w:b/>
                <w:bCs/>
                <w:color w:val="FFFFFF"/>
                <w:sz w:val="18"/>
                <w:szCs w:val="18"/>
              </w:rPr>
              <w:t xml:space="preserve">Scenario</w:t>
            </w:r>
          </w:p>
        </w:tc>
        <w:tc>
          <w:tcPr>
            <w:tcW w:type="dxa" w:w="2400"/>
            <w:shd w:fill="1B3A6B" w:color="auto" w:val="clear"/>
            <w:tcMar>
              <w:top w:type="dxa" w:w="80"/>
              <w:left w:type="dxa" w:w="120"/>
              <w:bottom w:type="dxa" w:w="80"/>
              <w:right w:type="dxa" w:w="120"/>
            </w:tcMar>
          </w:tcPr>
          <w:p>
            <w:pPr>
              <w:jc w:val="center"/>
            </w:pPr>
            <w:r>
              <w:rPr>
                <w:b/>
                <w:bCs/>
                <w:color w:val="FFFFFF"/>
                <w:sz w:val="18"/>
                <w:szCs w:val="18"/>
              </w:rPr>
              <w:t xml:space="preserve">Reporting Timeline</w:t>
            </w:r>
          </w:p>
        </w:tc>
        <w:tc>
          <w:tcPr>
            <w:tcW w:type="dxa" w:w="4000"/>
            <w:shd w:fill="1B3A6B" w:color="auto" w:val="clear"/>
            <w:tcMar>
              <w:top w:type="dxa" w:w="80"/>
              <w:left w:type="dxa" w:w="120"/>
              <w:bottom w:type="dxa" w:w="80"/>
              <w:right w:type="dxa" w:w="120"/>
            </w:tcMar>
          </w:tcPr>
          <w:p>
            <w:pPr>
              <w:jc w:val="center"/>
            </w:pPr>
            <w:r>
              <w:rPr>
                <w:b/>
                <w:bCs/>
                <w:color w:val="FFFFFF"/>
                <w:sz w:val="18"/>
                <w:szCs w:val="18"/>
              </w:rPr>
              <w:t xml:space="preserve">Cardholder Liability</w:t>
            </w:r>
          </w:p>
        </w:tc>
      </w:tr>
      <w:tr>
        <w:tc>
          <w:tcPr>
            <w:tcW w:type="dxa" w:w="2800"/>
            <w:shd w:fill="F0F4FF" w:color="auto" w:val="clear"/>
            <w:tcMar>
              <w:top w:type="dxa" w:w="80"/>
              <w:left w:type="dxa" w:w="120"/>
              <w:bottom w:type="dxa" w:w="80"/>
              <w:right w:type="dxa" w:w="120"/>
            </w:tcMar>
          </w:tcPr>
          <w:p>
            <w:pPr>
              <w:jc w:val="left"/>
            </w:pPr>
            <w:r>
              <w:rPr>
                <w:color w:val="1F2937"/>
                <w:sz w:val="18"/>
                <w:szCs w:val="18"/>
              </w:rPr>
              <w:t xml:space="preserve">Bank/Third-party breach, no cardholder negligence</w:t>
            </w:r>
          </w:p>
        </w:tc>
        <w:tc>
          <w:tcPr>
            <w:tcW w:type="dxa" w:w="2400"/>
            <w:shd w:fill="F0F4FF" w:color="auto" w:val="clear"/>
            <w:tcMar>
              <w:top w:type="dxa" w:w="80"/>
              <w:left w:type="dxa" w:w="120"/>
              <w:bottom w:type="dxa" w:w="80"/>
              <w:right w:type="dxa" w:w="120"/>
            </w:tcMar>
          </w:tcPr>
          <w:p>
            <w:pPr>
              <w:jc w:val="center"/>
            </w:pPr>
            <w:r>
              <w:rPr>
                <w:color w:val="1F2937"/>
                <w:sz w:val="18"/>
                <w:szCs w:val="18"/>
              </w:rPr>
              <w:t xml:space="preserve">Any time</w:t>
            </w:r>
          </w:p>
        </w:tc>
        <w:tc>
          <w:tcPr>
            <w:tcW w:type="dxa" w:w="4000"/>
            <w:shd w:fill="F0F4FF" w:color="auto" w:val="clear"/>
            <w:tcMar>
              <w:top w:type="dxa" w:w="80"/>
              <w:left w:type="dxa" w:w="120"/>
              <w:bottom w:type="dxa" w:w="80"/>
              <w:right w:type="dxa" w:w="120"/>
            </w:tcMar>
          </w:tcPr>
          <w:p>
            <w:pPr>
              <w:jc w:val="center"/>
            </w:pPr>
            <w:r>
              <w:rPr>
                <w:color w:val="1F2937"/>
                <w:sz w:val="18"/>
                <w:szCs w:val="18"/>
              </w:rPr>
              <w:t xml:space="preserve">Zero Liability</w:t>
            </w:r>
          </w:p>
        </w:tc>
      </w:tr>
      <w:tr>
        <w:tc>
          <w:tcPr>
            <w:tcW w:type="dxa" w:w="2800"/>
            <w:shd w:fill="FFFFFF" w:color="auto" w:val="clear"/>
            <w:tcMar>
              <w:top w:type="dxa" w:w="80"/>
              <w:left w:type="dxa" w:w="120"/>
              <w:bottom w:type="dxa" w:w="80"/>
              <w:right w:type="dxa" w:w="120"/>
            </w:tcMar>
          </w:tcPr>
          <w:p>
            <w:pPr>
              <w:jc w:val="left"/>
            </w:pPr>
            <w:r>
              <w:rPr>
                <w:color w:val="1F2937"/>
                <w:sz w:val="18"/>
                <w:szCs w:val="18"/>
              </w:rPr>
              <w:t xml:space="preserve">Negligence by cardholder (e.g., shared PIN/OTP)</w:t>
            </w:r>
          </w:p>
        </w:tc>
        <w:tc>
          <w:tcPr>
            <w:tcW w:type="dxa" w:w="2400"/>
            <w:shd w:fill="FFFFFF" w:color="auto" w:val="clear"/>
            <w:tcMar>
              <w:top w:type="dxa" w:w="80"/>
              <w:left w:type="dxa" w:w="120"/>
              <w:bottom w:type="dxa" w:w="80"/>
              <w:right w:type="dxa" w:w="120"/>
            </w:tcMar>
          </w:tcPr>
          <w:p>
            <w:pPr>
              <w:jc w:val="center"/>
            </w:pPr>
            <w:r>
              <w:rPr>
                <w:color w:val="1F2937"/>
                <w:sz w:val="18"/>
                <w:szCs w:val="18"/>
              </w:rPr>
              <w:t xml:space="preserve">Any time</w:t>
            </w:r>
          </w:p>
        </w:tc>
        <w:tc>
          <w:tcPr>
            <w:tcW w:type="dxa" w:w="4000"/>
            <w:shd w:fill="FFFFFF" w:color="auto" w:val="clear"/>
            <w:tcMar>
              <w:top w:type="dxa" w:w="80"/>
              <w:left w:type="dxa" w:w="120"/>
              <w:bottom w:type="dxa" w:w="80"/>
              <w:right w:type="dxa" w:w="120"/>
            </w:tcMar>
          </w:tcPr>
          <w:p>
            <w:pPr>
              <w:jc w:val="center"/>
            </w:pPr>
            <w:r>
              <w:rPr>
                <w:color w:val="1F2937"/>
                <w:sz w:val="18"/>
                <w:szCs w:val="18"/>
              </w:rPr>
              <w:t xml:space="preserve">Full liability on cardholder</w:t>
            </w:r>
          </w:p>
        </w:tc>
      </w:tr>
      <w:tr>
        <w:tc>
          <w:tcPr>
            <w:tcW w:type="dxa" w:w="2800"/>
            <w:shd w:fill="F0F4FF" w:color="auto" w:val="clear"/>
            <w:tcMar>
              <w:top w:type="dxa" w:w="80"/>
              <w:left w:type="dxa" w:w="120"/>
              <w:bottom w:type="dxa" w:w="80"/>
              <w:right w:type="dxa" w:w="120"/>
            </w:tcMar>
          </w:tcPr>
          <w:p>
            <w:pPr>
              <w:jc w:val="left"/>
            </w:pPr>
            <w:r>
              <w:rPr>
                <w:color w:val="1F2937"/>
                <w:sz w:val="18"/>
                <w:szCs w:val="18"/>
              </w:rPr>
              <w:t xml:space="preserve">Cardholder not notified by Bank</w:t>
            </w:r>
          </w:p>
        </w:tc>
        <w:tc>
          <w:tcPr>
            <w:tcW w:type="dxa" w:w="2400"/>
            <w:shd w:fill="F0F4FF" w:color="auto" w:val="clear"/>
            <w:tcMar>
              <w:top w:type="dxa" w:w="80"/>
              <w:left w:type="dxa" w:w="120"/>
              <w:bottom w:type="dxa" w:w="80"/>
              <w:right w:type="dxa" w:w="120"/>
            </w:tcMar>
          </w:tcPr>
          <w:p>
            <w:pPr>
              <w:jc w:val="center"/>
            </w:pPr>
            <w:r>
              <w:rPr>
                <w:color w:val="1F2937"/>
                <w:sz w:val="18"/>
                <w:szCs w:val="18"/>
              </w:rPr>
              <w:t xml:space="preserve">Within 4-7 days of Bank notification</w:t>
            </w:r>
          </w:p>
        </w:tc>
        <w:tc>
          <w:tcPr>
            <w:tcW w:type="dxa" w:w="4000"/>
            <w:shd w:fill="F0F4FF" w:color="auto" w:val="clear"/>
            <w:tcMar>
              <w:top w:type="dxa" w:w="80"/>
              <w:left w:type="dxa" w:w="120"/>
              <w:bottom w:type="dxa" w:w="80"/>
              <w:right w:type="dxa" w:w="120"/>
            </w:tcMar>
          </w:tcPr>
          <w:p>
            <w:pPr>
              <w:jc w:val="center"/>
            </w:pPr>
            <w:r>
              <w:rPr>
                <w:color w:val="1F2937"/>
                <w:sz w:val="18"/>
                <w:szCs w:val="18"/>
              </w:rPr>
              <w:t xml:space="preserve">₹5,000 or transaction value, whichever is lower</w:t>
            </w:r>
          </w:p>
        </w:tc>
      </w:tr>
      <w:tr>
        <w:tc>
          <w:tcPr>
            <w:tcW w:type="dxa" w:w="2800"/>
            <w:shd w:fill="FFFFFF" w:color="auto" w:val="clear"/>
            <w:tcMar>
              <w:top w:type="dxa" w:w="80"/>
              <w:left w:type="dxa" w:w="120"/>
              <w:bottom w:type="dxa" w:w="80"/>
              <w:right w:type="dxa" w:w="120"/>
            </w:tcMar>
          </w:tcPr>
          <w:p>
            <w:pPr>
              <w:jc w:val="left"/>
            </w:pPr>
            <w:r>
              <w:rPr>
                <w:color w:val="1F2937"/>
                <w:sz w:val="18"/>
                <w:szCs w:val="18"/>
              </w:rPr>
              <w:t xml:space="preserve">Reported within 4-7 days</w:t>
            </w:r>
          </w:p>
        </w:tc>
        <w:tc>
          <w:tcPr>
            <w:tcW w:type="dxa" w:w="2400"/>
            <w:shd w:fill="FFFFFF" w:color="auto" w:val="clear"/>
            <w:tcMar>
              <w:top w:type="dxa" w:w="80"/>
              <w:left w:type="dxa" w:w="120"/>
              <w:bottom w:type="dxa" w:w="80"/>
              <w:right w:type="dxa" w:w="120"/>
            </w:tcMar>
          </w:tcPr>
          <w:p>
            <w:pPr>
              <w:jc w:val="center"/>
            </w:pPr>
            <w:r>
              <w:rPr>
                <w:color w:val="1F2937"/>
                <w:sz w:val="18"/>
                <w:szCs w:val="18"/>
              </w:rPr>
              <w:t xml:space="preserve">4-7 days from detection</w:t>
            </w:r>
          </w:p>
        </w:tc>
        <w:tc>
          <w:tcPr>
            <w:tcW w:type="dxa" w:w="4000"/>
            <w:shd w:fill="FFFFFF" w:color="auto" w:val="clear"/>
            <w:tcMar>
              <w:top w:type="dxa" w:w="80"/>
              <w:left w:type="dxa" w:w="120"/>
              <w:bottom w:type="dxa" w:w="80"/>
              <w:right w:type="dxa" w:w="120"/>
            </w:tcMar>
          </w:tcPr>
          <w:p>
            <w:pPr>
              <w:jc w:val="center"/>
            </w:pPr>
            <w:r>
              <w:rPr>
                <w:color w:val="1F2937"/>
                <w:sz w:val="18"/>
                <w:szCs w:val="18"/>
              </w:rPr>
              <w:t xml:space="preserve">₹10,000 or transaction value, whichever is lower</w:t>
            </w:r>
          </w:p>
        </w:tc>
      </w:tr>
      <w:tr>
        <w:tc>
          <w:tcPr>
            <w:tcW w:type="dxa" w:w="2800"/>
            <w:shd w:fill="F0F4FF" w:color="auto" w:val="clear"/>
            <w:tcMar>
              <w:top w:type="dxa" w:w="80"/>
              <w:left w:type="dxa" w:w="120"/>
              <w:bottom w:type="dxa" w:w="80"/>
              <w:right w:type="dxa" w:w="120"/>
            </w:tcMar>
          </w:tcPr>
          <w:p>
            <w:pPr>
              <w:jc w:val="left"/>
            </w:pPr>
            <w:r>
              <w:rPr>
                <w:color w:val="1F2937"/>
                <w:sz w:val="18"/>
                <w:szCs w:val="18"/>
              </w:rPr>
              <w:t xml:space="preserve">Reported after 7 days</w:t>
            </w:r>
          </w:p>
        </w:tc>
        <w:tc>
          <w:tcPr>
            <w:tcW w:type="dxa" w:w="2400"/>
            <w:shd w:fill="F0F4FF" w:color="auto" w:val="clear"/>
            <w:tcMar>
              <w:top w:type="dxa" w:w="80"/>
              <w:left w:type="dxa" w:w="120"/>
              <w:bottom w:type="dxa" w:w="80"/>
              <w:right w:type="dxa" w:w="120"/>
            </w:tcMar>
          </w:tcPr>
          <w:p>
            <w:pPr>
              <w:jc w:val="center"/>
            </w:pPr>
            <w:r>
              <w:rPr>
                <w:color w:val="1F2937"/>
                <w:sz w:val="18"/>
                <w:szCs w:val="18"/>
              </w:rPr>
              <w:t xml:space="preserve">Beyond 7 days</w:t>
            </w:r>
          </w:p>
        </w:tc>
        <w:tc>
          <w:tcPr>
            <w:tcW w:type="dxa" w:w="4000"/>
            <w:shd w:fill="F0F4FF" w:color="auto" w:val="clear"/>
            <w:tcMar>
              <w:top w:type="dxa" w:w="80"/>
              <w:left w:type="dxa" w:w="120"/>
              <w:bottom w:type="dxa" w:w="80"/>
              <w:right w:type="dxa" w:w="120"/>
            </w:tcMar>
          </w:tcPr>
          <w:p>
            <w:pPr>
              <w:jc w:val="center"/>
            </w:pPr>
            <w:r>
              <w:rPr>
                <w:color w:val="1F2937"/>
                <w:sz w:val="18"/>
                <w:szCs w:val="18"/>
              </w:rPr>
              <w:t xml:space="preserve">As per Board-approved policy, reviewed case by case</w:t>
            </w:r>
          </w:p>
        </w:tc>
      </w:tr>
    </w:tbl>
    <w:p>
      <w:pPr>
        <w:spacing w:before="80"/>
      </w:pPr>
      <w:r>
        <w:t xml:space="preserve"/>
      </w:r>
    </w:p>
    <w:p>
      <w:pPr>
        <w:spacing w:after="60" w:before="100"/>
        <w:ind w:left="360"/>
      </w:pPr>
      <w:r>
        <w:rPr>
          <w:b/>
          <w:bCs/>
          <w:color w:val="6B7280"/>
          <w:sz w:val="20"/>
          <w:szCs w:val="20"/>
        </w:rPr>
        <w:t xml:space="preserve">10.5  </w:t>
      </w:r>
      <w:r>
        <w:rPr>
          <w:color w:val="1F2937"/>
          <w:sz w:val="20"/>
          <w:szCs w:val="20"/>
        </w:rPr>
        <w:t xml:space="preserve">All fraud incidents must be reported to RBI DAKSH portal within 24 hours of detection. Consolidated fraud reports must be submitted to RBI on a monthly basis (FMR-1 format).</w:t>
      </w:r>
    </w:p>
    <w:p>
      <w:pPr>
        <w:spacing w:after="60" w:before="100"/>
        <w:ind w:left="360"/>
      </w:pPr>
      <w:r>
        <w:rPr>
          <w:b/>
          <w:bCs/>
          <w:color w:val="6B7280"/>
          <w:sz w:val="20"/>
          <w:szCs w:val="20"/>
        </w:rPr>
        <w:t xml:space="preserve">10.6  </w:t>
      </w:r>
      <w:r>
        <w:rPr>
          <w:color w:val="1F2937"/>
          <w:sz w:val="20"/>
          <w:szCs w:val="20"/>
        </w:rPr>
        <w:t xml:space="preserve">The Bank must conduct quarterly fraud risk reviews and update detection rules based on emerging fraud typologies. Results must be presented to the BRCC.</w:t>
      </w:r>
    </w:p>
    <w:p>
      <w:r>
        <w:br w:type="page"/>
      </w:r>
    </w:p>
    <w:p>
      <w:pPr>
        <w:spacing w:after="80" w:before="240"/>
      </w:pPr>
      <w:r>
        <w:rPr>
          <w:b/>
          <w:bCs/>
          <w:color w:val="B45309"/>
          <w:sz w:val="22"/>
          <w:szCs w:val="22"/>
        </w:rPr>
        <w:t xml:space="preserve">11.  </w:t>
      </w:r>
      <w:r>
        <w:rPr>
          <w:b/>
          <w:bCs/>
          <w:color w:val="1B3A6B"/>
          <w:sz w:val="22"/>
          <w:szCs w:val="22"/>
        </w:rPr>
        <w:t xml:space="preserve">DATA PRIVACY &amp; INFORMATION SECURITY</w:t>
      </w:r>
    </w:p>
    <w:p>
      <w:pPr>
        <w:spacing w:after="60" w:before="100"/>
        <w:ind w:left="360"/>
      </w:pPr>
      <w:r>
        <w:rPr>
          <w:b/>
          <w:bCs/>
          <w:color w:val="6B7280"/>
          <w:sz w:val="20"/>
          <w:szCs w:val="20"/>
        </w:rPr>
        <w:t xml:space="preserve">11.1  </w:t>
      </w:r>
      <w:r>
        <w:rPr>
          <w:color w:val="1F2937"/>
          <w:sz w:val="20"/>
          <w:szCs w:val="20"/>
        </w:rPr>
        <w:t xml:space="preserve">All credit card data (PAN, CVV, expiry date, transaction history) is classified as Sensitive Personal Data under the Digital Personal Data Protection Act 2023 (DPDPA) and must be handled accordingly.</w:t>
      </w:r>
    </w:p>
    <w:p>
      <w:pPr>
        <w:spacing w:after="60" w:before="100"/>
        <w:ind w:left="360"/>
      </w:pPr>
      <w:r>
        <w:rPr>
          <w:b/>
          <w:bCs/>
          <w:color w:val="6B7280"/>
          <w:sz w:val="20"/>
          <w:szCs w:val="20"/>
        </w:rPr>
        <w:t xml:space="preserve">11.2  </w:t>
      </w:r>
      <w:r>
        <w:rPr>
          <w:color w:val="1F2937"/>
          <w:sz w:val="20"/>
          <w:szCs w:val="20"/>
        </w:rPr>
        <w:t xml:space="preserve">Payment card data must be stored in compliance with PCI-DSS v4.0 standards. Annual PCI-DSS audit must be conducted by a QSA (Qualified Security Assessor). Audit report must be shared with the BRCC and RBI on request.</w:t>
      </w:r>
    </w:p>
    <w:p>
      <w:pPr>
        <w:spacing w:after="60" w:before="100"/>
        <w:ind w:left="360"/>
      </w:pPr>
      <w:r>
        <w:rPr>
          <w:b/>
          <w:bCs/>
          <w:color w:val="6B7280"/>
          <w:sz w:val="20"/>
          <w:szCs w:val="20"/>
        </w:rPr>
        <w:t xml:space="preserve">11.3  </w:t>
      </w:r>
      <w:r>
        <w:rPr>
          <w:color w:val="1F2937"/>
          <w:sz w:val="20"/>
          <w:szCs w:val="20"/>
        </w:rPr>
        <w:t xml:space="preserve">CVV/CVV2 data must NEVER be stored in any system post-authorisation. Violation of this clause is a Severity-1 incident requiring immediate escalation.</w:t>
      </w:r>
    </w:p>
    <w:p>
      <w:pPr>
        <w:spacing w:after="60" w:before="100"/>
        <w:ind w:left="360"/>
      </w:pPr>
      <w:r>
        <w:rPr>
          <w:b/>
          <w:bCs/>
          <w:color w:val="6B7280"/>
          <w:sz w:val="20"/>
          <w:szCs w:val="20"/>
        </w:rPr>
        <w:t xml:space="preserve">11.4  </w:t>
      </w:r>
      <w:r>
        <w:rPr>
          <w:color w:val="1F2937"/>
          <w:sz w:val="20"/>
          <w:szCs w:val="20"/>
        </w:rPr>
        <w:t xml:space="preserve">All credit card transaction data must be stored in India (data localisation) in compliance with RBI Payment Data Storage norms. Cross-border data sharing is permitted only for transaction processing and must be deleted within 24 hours from foreign servers.</w:t>
      </w:r>
    </w:p>
    <w:p>
      <w:pPr>
        <w:spacing w:after="60" w:before="100"/>
        <w:ind w:left="360"/>
      </w:pPr>
      <w:r>
        <w:rPr>
          <w:b/>
          <w:bCs/>
          <w:color w:val="6B7280"/>
          <w:sz w:val="20"/>
          <w:szCs w:val="20"/>
        </w:rPr>
        <w:t xml:space="preserve">11.5  </w:t>
      </w:r>
      <w:r>
        <w:rPr>
          <w:color w:val="1F2937"/>
          <w:sz w:val="20"/>
          <w:szCs w:val="20"/>
        </w:rPr>
        <w:t xml:space="preserve">Cardholder consent must be obtained before sharing data with co-brand partners, analytics vendors, or marketing agencies. Consent records must be maintained for 5 years.</w:t>
      </w:r>
    </w:p>
    <w:p>
      <w:pPr>
        <w:spacing w:after="60" w:before="100"/>
        <w:ind w:left="360"/>
      </w:pPr>
      <w:r>
        <w:rPr>
          <w:b/>
          <w:bCs/>
          <w:color w:val="6B7280"/>
          <w:sz w:val="20"/>
          <w:szCs w:val="20"/>
        </w:rPr>
        <w:t xml:space="preserve">11.6  </w:t>
      </w:r>
      <w:r>
        <w:rPr>
          <w:color w:val="1F2937"/>
          <w:sz w:val="20"/>
          <w:szCs w:val="20"/>
        </w:rPr>
        <w:t xml:space="preserve">Data breach response SLA: Contain breach within 2 hours; notify CCO and CISO within 4 hours; notify RBI and CERT-In within 6 hours; notify affected cardholders within 24 hours.</w:t>
      </w:r>
    </w:p>
    <w:p>
      <w:pPr>
        <w:spacing w:after="80" w:before="240"/>
      </w:pPr>
      <w:r>
        <w:rPr>
          <w:b/>
          <w:bCs/>
          <w:color w:val="B45309"/>
          <w:sz w:val="22"/>
          <w:szCs w:val="22"/>
        </w:rPr>
        <w:t xml:space="preserve">12.  </w:t>
      </w:r>
      <w:r>
        <w:rPr>
          <w:b/>
          <w:bCs/>
          <w:color w:val="1B3A6B"/>
          <w:sz w:val="22"/>
          <w:szCs w:val="22"/>
        </w:rPr>
        <w:t xml:space="preserve">GRIEVANCE REDRESSAL MECHANISM</w:t>
      </w:r>
    </w:p>
    <w:p>
      <w:pPr>
        <w:spacing w:after="60" w:before="100"/>
        <w:ind w:left="360"/>
      </w:pPr>
      <w:r>
        <w:rPr>
          <w:b/>
          <w:bCs/>
          <w:color w:val="6B7280"/>
          <w:sz w:val="20"/>
          <w:szCs w:val="20"/>
        </w:rPr>
        <w:t xml:space="preserve">12.1  </w:t>
      </w:r>
      <w:r>
        <w:rPr>
          <w:color w:val="1F2937"/>
          <w:sz w:val="20"/>
          <w:szCs w:val="20"/>
        </w:rPr>
        <w:t xml:space="preserve">BCB shall maintain a dedicated Credit Card Grievance Cell operating 24x7 through the following channels: Toll-free: 1800-XXX-XXXX, Email: ccgrievance@bcbbank.com, Website: www.bcbbank.com/complaints, Branch (in-person).</w:t>
      </w:r>
    </w:p>
    <w:p>
      <w:pPr>
        <w:spacing w:after="60" w:before="100"/>
        <w:ind w:left="360"/>
      </w:pPr>
      <w:r>
        <w:rPr>
          <w:b/>
          <w:bCs/>
          <w:color w:val="6B7280"/>
          <w:sz w:val="20"/>
          <w:szCs w:val="20"/>
        </w:rPr>
        <w:t xml:space="preserve">12.2  </w:t>
      </w:r>
      <w:r>
        <w:rPr>
          <w:color w:val="1F2937"/>
          <w:sz w:val="20"/>
          <w:szCs w:val="20"/>
        </w:rPr>
        <w:t xml:space="preserve">Turnaround Times (TAT) for complaint resolution:</w:t>
      </w:r>
    </w:p>
    <w:p>
      <w:pPr>
        <w:spacing w:before="80"/>
      </w:pPr>
      <w:r>
        <w:t xml:space="preserve"/>
      </w:r>
    </w:p>
    <w:tbl>
      <w:tblPr>
        <w:tblW w:type="dxa" w:w="9200"/>
        <w:tblBorders>
          <w:top w:val="single" w:color="CBD5E1" w:sz="2"/>
          <w:left w:val="single" w:color="CBD5E1" w:sz="2"/>
          <w:bottom w:val="single" w:color="CBD5E1" w:sz="2"/>
          <w:right w:val="single" w:color="CBD5E1" w:sz="2"/>
          <w:insideH w:val="single" w:color="auto" w:sz="4"/>
          <w:insideV w:val="single" w:color="auto" w:sz="4"/>
        </w:tblBorders>
      </w:tblPr>
      <w:tblGrid>
        <w:gridCol w:w="2400"/>
        <w:gridCol w:w="1400"/>
        <w:gridCol w:w="1800"/>
        <w:gridCol w:w="3600"/>
      </w:tblGrid>
      <w:tr>
        <w:trPr>
          <w:tblHeader/>
        </w:trPr>
        <w:tc>
          <w:tcPr>
            <w:tcW w:type="dxa" w:w="2400"/>
            <w:shd w:fill="1B3A6B" w:color="auto" w:val="clear"/>
            <w:tcMar>
              <w:top w:type="dxa" w:w="80"/>
              <w:left w:type="dxa" w:w="120"/>
              <w:bottom w:type="dxa" w:w="80"/>
              <w:right w:type="dxa" w:w="120"/>
            </w:tcMar>
          </w:tcPr>
          <w:p>
            <w:pPr>
              <w:jc w:val="center"/>
            </w:pPr>
            <w:r>
              <w:rPr>
                <w:b/>
                <w:bCs/>
                <w:color w:val="FFFFFF"/>
                <w:sz w:val="18"/>
                <w:szCs w:val="18"/>
              </w:rPr>
              <w:t xml:space="preserve">Complaint Category</w:t>
            </w:r>
          </w:p>
        </w:tc>
        <w:tc>
          <w:tcPr>
            <w:tcW w:type="dxa" w:w="1400"/>
            <w:shd w:fill="1B3A6B" w:color="auto" w:val="clear"/>
            <w:tcMar>
              <w:top w:type="dxa" w:w="80"/>
              <w:left w:type="dxa" w:w="120"/>
              <w:bottom w:type="dxa" w:w="80"/>
              <w:right w:type="dxa" w:w="120"/>
            </w:tcMar>
          </w:tcPr>
          <w:p>
            <w:pPr>
              <w:jc w:val="center"/>
            </w:pPr>
            <w:r>
              <w:rPr>
                <w:b/>
                <w:bCs/>
                <w:color w:val="FFFFFF"/>
                <w:sz w:val="18"/>
                <w:szCs w:val="18"/>
              </w:rPr>
              <w:t xml:space="preserve">Acknowledgement</w:t>
            </w:r>
          </w:p>
        </w:tc>
        <w:tc>
          <w:tcPr>
            <w:tcW w:type="dxa" w:w="1800"/>
            <w:shd w:fill="1B3A6B" w:color="auto" w:val="clear"/>
            <w:tcMar>
              <w:top w:type="dxa" w:w="80"/>
              <w:left w:type="dxa" w:w="120"/>
              <w:bottom w:type="dxa" w:w="80"/>
              <w:right w:type="dxa" w:w="120"/>
            </w:tcMar>
          </w:tcPr>
          <w:p>
            <w:pPr>
              <w:jc w:val="center"/>
            </w:pPr>
            <w:r>
              <w:rPr>
                <w:b/>
                <w:bCs/>
                <w:color w:val="FFFFFF"/>
                <w:sz w:val="18"/>
                <w:szCs w:val="18"/>
              </w:rPr>
              <w:t xml:space="preserve">Resolution TAT</w:t>
            </w:r>
          </w:p>
        </w:tc>
        <w:tc>
          <w:tcPr>
            <w:tcW w:type="dxa" w:w="3600"/>
            <w:shd w:fill="1B3A6B" w:color="auto" w:val="clear"/>
            <w:tcMar>
              <w:top w:type="dxa" w:w="80"/>
              <w:left w:type="dxa" w:w="120"/>
              <w:bottom w:type="dxa" w:w="80"/>
              <w:right w:type="dxa" w:w="120"/>
            </w:tcMar>
          </w:tcPr>
          <w:p>
            <w:pPr>
              <w:jc w:val="center"/>
            </w:pPr>
            <w:r>
              <w:rPr>
                <w:b/>
                <w:bCs/>
                <w:color w:val="FFFFFF"/>
                <w:sz w:val="18"/>
                <w:szCs w:val="18"/>
              </w:rPr>
              <w:t xml:space="preserve">Escalation if Unresolved</w:t>
            </w:r>
          </w:p>
        </w:tc>
      </w:tr>
      <w:tr>
        <w:tc>
          <w:tcPr>
            <w:tcW w:type="dxa" w:w="2400"/>
            <w:shd w:fill="F0F4FF" w:color="auto" w:val="clear"/>
            <w:tcMar>
              <w:top w:type="dxa" w:w="80"/>
              <w:left w:type="dxa" w:w="120"/>
              <w:bottom w:type="dxa" w:w="80"/>
              <w:right w:type="dxa" w:w="120"/>
            </w:tcMar>
          </w:tcPr>
          <w:p>
            <w:pPr>
              <w:jc w:val="left"/>
            </w:pPr>
            <w:r>
              <w:rPr>
                <w:color w:val="1F2937"/>
                <w:sz w:val="18"/>
                <w:szCs w:val="18"/>
              </w:rPr>
              <w:t xml:space="preserve">Billing dispute / Incorrect charge</w:t>
            </w:r>
          </w:p>
        </w:tc>
        <w:tc>
          <w:tcPr>
            <w:tcW w:type="dxa" w:w="1400"/>
            <w:shd w:fill="F0F4FF" w:color="auto" w:val="clear"/>
            <w:tcMar>
              <w:top w:type="dxa" w:w="80"/>
              <w:left w:type="dxa" w:w="120"/>
              <w:bottom w:type="dxa" w:w="80"/>
              <w:right w:type="dxa" w:w="120"/>
            </w:tcMar>
          </w:tcPr>
          <w:p>
            <w:pPr>
              <w:jc w:val="center"/>
            </w:pPr>
            <w:r>
              <w:rPr>
                <w:color w:val="1F2937"/>
                <w:sz w:val="18"/>
                <w:szCs w:val="18"/>
              </w:rPr>
              <w:t xml:space="preserve">24 hours</w:t>
            </w:r>
          </w:p>
        </w:tc>
        <w:tc>
          <w:tcPr>
            <w:tcW w:type="dxa" w:w="1800"/>
            <w:shd w:fill="F0F4FF" w:color="auto" w:val="clear"/>
            <w:tcMar>
              <w:top w:type="dxa" w:w="80"/>
              <w:left w:type="dxa" w:w="120"/>
              <w:bottom w:type="dxa" w:w="80"/>
              <w:right w:type="dxa" w:w="120"/>
            </w:tcMar>
          </w:tcPr>
          <w:p>
            <w:pPr>
              <w:jc w:val="center"/>
            </w:pPr>
            <w:r>
              <w:rPr>
                <w:color w:val="1F2937"/>
                <w:sz w:val="18"/>
                <w:szCs w:val="18"/>
              </w:rPr>
              <w:t xml:space="preserve">7 working days</w:t>
            </w:r>
          </w:p>
        </w:tc>
        <w:tc>
          <w:tcPr>
            <w:tcW w:type="dxa" w:w="3600"/>
            <w:shd w:fill="F0F4FF" w:color="auto" w:val="clear"/>
            <w:tcMar>
              <w:top w:type="dxa" w:w="80"/>
              <w:left w:type="dxa" w:w="120"/>
              <w:bottom w:type="dxa" w:w="80"/>
              <w:right w:type="dxa" w:w="120"/>
            </w:tcMar>
          </w:tcPr>
          <w:p>
            <w:pPr>
              <w:jc w:val="center"/>
            </w:pPr>
            <w:r>
              <w:rPr>
                <w:color w:val="1F2937"/>
                <w:sz w:val="18"/>
                <w:szCs w:val="18"/>
              </w:rPr>
              <w:t xml:space="preserve">Nodal Officer</w:t>
            </w:r>
          </w:p>
        </w:tc>
      </w:tr>
      <w:tr>
        <w:tc>
          <w:tcPr>
            <w:tcW w:type="dxa" w:w="2400"/>
            <w:shd w:fill="FFFFFF" w:color="auto" w:val="clear"/>
            <w:tcMar>
              <w:top w:type="dxa" w:w="80"/>
              <w:left w:type="dxa" w:w="120"/>
              <w:bottom w:type="dxa" w:w="80"/>
              <w:right w:type="dxa" w:w="120"/>
            </w:tcMar>
          </w:tcPr>
          <w:p>
            <w:pPr>
              <w:jc w:val="left"/>
            </w:pPr>
            <w:r>
              <w:rPr>
                <w:color w:val="1F2937"/>
                <w:sz w:val="18"/>
                <w:szCs w:val="18"/>
              </w:rPr>
              <w:t xml:space="preserve">Fraudulent / Unauthorised transaction</w:t>
            </w:r>
          </w:p>
        </w:tc>
        <w:tc>
          <w:tcPr>
            <w:tcW w:type="dxa" w:w="1400"/>
            <w:shd w:fill="FFFFFF" w:color="auto" w:val="clear"/>
            <w:tcMar>
              <w:top w:type="dxa" w:w="80"/>
              <w:left w:type="dxa" w:w="120"/>
              <w:bottom w:type="dxa" w:w="80"/>
              <w:right w:type="dxa" w:w="120"/>
            </w:tcMar>
          </w:tcPr>
          <w:p>
            <w:pPr>
              <w:jc w:val="center"/>
            </w:pPr>
            <w:r>
              <w:rPr>
                <w:color w:val="1F2937"/>
                <w:sz w:val="18"/>
                <w:szCs w:val="18"/>
              </w:rPr>
              <w:t xml:space="preserve">Immediate (auto)</w:t>
            </w:r>
          </w:p>
        </w:tc>
        <w:tc>
          <w:tcPr>
            <w:tcW w:type="dxa" w:w="1800"/>
            <w:shd w:fill="FFFFFF" w:color="auto" w:val="clear"/>
            <w:tcMar>
              <w:top w:type="dxa" w:w="80"/>
              <w:left w:type="dxa" w:w="120"/>
              <w:bottom w:type="dxa" w:w="80"/>
              <w:right w:type="dxa" w:w="120"/>
            </w:tcMar>
          </w:tcPr>
          <w:p>
            <w:pPr>
              <w:jc w:val="center"/>
            </w:pPr>
            <w:r>
              <w:rPr>
                <w:color w:val="1F2937"/>
                <w:sz w:val="18"/>
                <w:szCs w:val="18"/>
              </w:rPr>
              <w:t xml:space="preserve">10 working days</w:t>
            </w:r>
          </w:p>
        </w:tc>
        <w:tc>
          <w:tcPr>
            <w:tcW w:type="dxa" w:w="3600"/>
            <w:shd w:fill="FFFFFF" w:color="auto" w:val="clear"/>
            <w:tcMar>
              <w:top w:type="dxa" w:w="80"/>
              <w:left w:type="dxa" w:w="120"/>
              <w:bottom w:type="dxa" w:w="80"/>
              <w:right w:type="dxa" w:w="120"/>
            </w:tcMar>
          </w:tcPr>
          <w:p>
            <w:pPr>
              <w:jc w:val="center"/>
            </w:pPr>
            <w:r>
              <w:rPr>
                <w:color w:val="1F2937"/>
                <w:sz w:val="18"/>
                <w:szCs w:val="18"/>
              </w:rPr>
              <w:t xml:space="preserve">Nodal Officer + MLRO</w:t>
            </w:r>
          </w:p>
        </w:tc>
      </w:tr>
      <w:tr>
        <w:tc>
          <w:tcPr>
            <w:tcW w:type="dxa" w:w="2400"/>
            <w:shd w:fill="F0F4FF" w:color="auto" w:val="clear"/>
            <w:tcMar>
              <w:top w:type="dxa" w:w="80"/>
              <w:left w:type="dxa" w:w="120"/>
              <w:bottom w:type="dxa" w:w="80"/>
              <w:right w:type="dxa" w:w="120"/>
            </w:tcMar>
          </w:tcPr>
          <w:p>
            <w:pPr>
              <w:jc w:val="left"/>
            </w:pPr>
            <w:r>
              <w:rPr>
                <w:color w:val="1F2937"/>
                <w:sz w:val="18"/>
                <w:szCs w:val="18"/>
              </w:rPr>
              <w:t xml:space="preserve">Card not received / Damaged card</w:t>
            </w:r>
          </w:p>
        </w:tc>
        <w:tc>
          <w:tcPr>
            <w:tcW w:type="dxa" w:w="1400"/>
            <w:shd w:fill="F0F4FF" w:color="auto" w:val="clear"/>
            <w:tcMar>
              <w:top w:type="dxa" w:w="80"/>
              <w:left w:type="dxa" w:w="120"/>
              <w:bottom w:type="dxa" w:w="80"/>
              <w:right w:type="dxa" w:w="120"/>
            </w:tcMar>
          </w:tcPr>
          <w:p>
            <w:pPr>
              <w:jc w:val="center"/>
            </w:pPr>
            <w:r>
              <w:rPr>
                <w:color w:val="1F2937"/>
                <w:sz w:val="18"/>
                <w:szCs w:val="18"/>
              </w:rPr>
              <w:t xml:space="preserve">24 hours</w:t>
            </w:r>
          </w:p>
        </w:tc>
        <w:tc>
          <w:tcPr>
            <w:tcW w:type="dxa" w:w="1800"/>
            <w:shd w:fill="F0F4FF" w:color="auto" w:val="clear"/>
            <w:tcMar>
              <w:top w:type="dxa" w:w="80"/>
              <w:left w:type="dxa" w:w="120"/>
              <w:bottom w:type="dxa" w:w="80"/>
              <w:right w:type="dxa" w:w="120"/>
            </w:tcMar>
          </w:tcPr>
          <w:p>
            <w:pPr>
              <w:jc w:val="center"/>
            </w:pPr>
            <w:r>
              <w:rPr>
                <w:color w:val="1F2937"/>
                <w:sz w:val="18"/>
                <w:szCs w:val="18"/>
              </w:rPr>
              <w:t xml:space="preserve">5 working days</w:t>
            </w:r>
          </w:p>
        </w:tc>
        <w:tc>
          <w:tcPr>
            <w:tcW w:type="dxa" w:w="3600"/>
            <w:shd w:fill="F0F4FF" w:color="auto" w:val="clear"/>
            <w:tcMar>
              <w:top w:type="dxa" w:w="80"/>
              <w:left w:type="dxa" w:w="120"/>
              <w:bottom w:type="dxa" w:w="80"/>
              <w:right w:type="dxa" w:w="120"/>
            </w:tcMar>
          </w:tcPr>
          <w:p>
            <w:pPr>
              <w:jc w:val="center"/>
            </w:pPr>
            <w:r>
              <w:rPr>
                <w:color w:val="1F2937"/>
                <w:sz w:val="18"/>
                <w:szCs w:val="18"/>
              </w:rPr>
              <w:t xml:space="preserve">Nodal Officer</w:t>
            </w:r>
          </w:p>
        </w:tc>
      </w:tr>
      <w:tr>
        <w:tc>
          <w:tcPr>
            <w:tcW w:type="dxa" w:w="2400"/>
            <w:shd w:fill="FFFFFF" w:color="auto" w:val="clear"/>
            <w:tcMar>
              <w:top w:type="dxa" w:w="80"/>
              <w:left w:type="dxa" w:w="120"/>
              <w:bottom w:type="dxa" w:w="80"/>
              <w:right w:type="dxa" w:w="120"/>
            </w:tcMar>
          </w:tcPr>
          <w:p>
            <w:pPr>
              <w:jc w:val="left"/>
            </w:pPr>
            <w:r>
              <w:rPr>
                <w:color w:val="1F2937"/>
                <w:sz w:val="18"/>
                <w:szCs w:val="18"/>
              </w:rPr>
              <w:t xml:space="preserve">Reward points discrepancy</w:t>
            </w:r>
          </w:p>
        </w:tc>
        <w:tc>
          <w:tcPr>
            <w:tcW w:type="dxa" w:w="1400"/>
            <w:shd w:fill="FFFFFF" w:color="auto" w:val="clear"/>
            <w:tcMar>
              <w:top w:type="dxa" w:w="80"/>
              <w:left w:type="dxa" w:w="120"/>
              <w:bottom w:type="dxa" w:w="80"/>
              <w:right w:type="dxa" w:w="120"/>
            </w:tcMar>
          </w:tcPr>
          <w:p>
            <w:pPr>
              <w:jc w:val="center"/>
            </w:pPr>
            <w:r>
              <w:rPr>
                <w:color w:val="1F2937"/>
                <w:sz w:val="18"/>
                <w:szCs w:val="18"/>
              </w:rPr>
              <w:t xml:space="preserve">48 hours</w:t>
            </w:r>
          </w:p>
        </w:tc>
        <w:tc>
          <w:tcPr>
            <w:tcW w:type="dxa" w:w="1800"/>
            <w:shd w:fill="FFFFFF" w:color="auto" w:val="clear"/>
            <w:tcMar>
              <w:top w:type="dxa" w:w="80"/>
              <w:left w:type="dxa" w:w="120"/>
              <w:bottom w:type="dxa" w:w="80"/>
              <w:right w:type="dxa" w:w="120"/>
            </w:tcMar>
          </w:tcPr>
          <w:p>
            <w:pPr>
              <w:jc w:val="center"/>
            </w:pPr>
            <w:r>
              <w:rPr>
                <w:color w:val="1F2937"/>
                <w:sz w:val="18"/>
                <w:szCs w:val="18"/>
              </w:rPr>
              <w:t xml:space="preserve">15 working days</w:t>
            </w:r>
          </w:p>
        </w:tc>
        <w:tc>
          <w:tcPr>
            <w:tcW w:type="dxa" w:w="3600"/>
            <w:shd w:fill="FFFFFF" w:color="auto" w:val="clear"/>
            <w:tcMar>
              <w:top w:type="dxa" w:w="80"/>
              <w:left w:type="dxa" w:w="120"/>
              <w:bottom w:type="dxa" w:w="80"/>
              <w:right w:type="dxa" w:w="120"/>
            </w:tcMar>
          </w:tcPr>
          <w:p>
            <w:pPr>
              <w:jc w:val="center"/>
            </w:pPr>
            <w:r>
              <w:rPr>
                <w:color w:val="1F2937"/>
                <w:sz w:val="18"/>
                <w:szCs w:val="18"/>
              </w:rPr>
              <w:t xml:space="preserve">Nodal Officer</w:t>
            </w:r>
          </w:p>
        </w:tc>
      </w:tr>
      <w:tr>
        <w:tc>
          <w:tcPr>
            <w:tcW w:type="dxa" w:w="2400"/>
            <w:shd w:fill="F0F4FF" w:color="auto" w:val="clear"/>
            <w:tcMar>
              <w:top w:type="dxa" w:w="80"/>
              <w:left w:type="dxa" w:w="120"/>
              <w:bottom w:type="dxa" w:w="80"/>
              <w:right w:type="dxa" w:w="120"/>
            </w:tcMar>
          </w:tcPr>
          <w:p>
            <w:pPr>
              <w:jc w:val="left"/>
            </w:pPr>
            <w:r>
              <w:rPr>
                <w:color w:val="1F2937"/>
                <w:sz w:val="18"/>
                <w:szCs w:val="18"/>
              </w:rPr>
              <w:t xml:space="preserve">Account closure request</w:t>
            </w:r>
          </w:p>
        </w:tc>
        <w:tc>
          <w:tcPr>
            <w:tcW w:type="dxa" w:w="1400"/>
            <w:shd w:fill="F0F4FF" w:color="auto" w:val="clear"/>
            <w:tcMar>
              <w:top w:type="dxa" w:w="80"/>
              <w:left w:type="dxa" w:w="120"/>
              <w:bottom w:type="dxa" w:w="80"/>
              <w:right w:type="dxa" w:w="120"/>
            </w:tcMar>
          </w:tcPr>
          <w:p>
            <w:pPr>
              <w:jc w:val="center"/>
            </w:pPr>
            <w:r>
              <w:rPr>
                <w:color w:val="1F2937"/>
                <w:sz w:val="18"/>
                <w:szCs w:val="18"/>
              </w:rPr>
              <w:t xml:space="preserve">24 hours</w:t>
            </w:r>
          </w:p>
        </w:tc>
        <w:tc>
          <w:tcPr>
            <w:tcW w:type="dxa" w:w="1800"/>
            <w:shd w:fill="F0F4FF" w:color="auto" w:val="clear"/>
            <w:tcMar>
              <w:top w:type="dxa" w:w="80"/>
              <w:left w:type="dxa" w:w="120"/>
              <w:bottom w:type="dxa" w:w="80"/>
              <w:right w:type="dxa" w:w="120"/>
            </w:tcMar>
          </w:tcPr>
          <w:p>
            <w:pPr>
              <w:jc w:val="center"/>
            </w:pPr>
            <w:r>
              <w:rPr>
                <w:color w:val="1F2937"/>
                <w:sz w:val="18"/>
                <w:szCs w:val="18"/>
              </w:rPr>
              <w:t xml:space="preserve">7 working days</w:t>
            </w:r>
          </w:p>
        </w:tc>
        <w:tc>
          <w:tcPr>
            <w:tcW w:type="dxa" w:w="3600"/>
            <w:shd w:fill="F0F4FF" w:color="auto" w:val="clear"/>
            <w:tcMar>
              <w:top w:type="dxa" w:w="80"/>
              <w:left w:type="dxa" w:w="120"/>
              <w:bottom w:type="dxa" w:w="80"/>
              <w:right w:type="dxa" w:w="120"/>
            </w:tcMar>
          </w:tcPr>
          <w:p>
            <w:pPr>
              <w:jc w:val="center"/>
            </w:pPr>
            <w:r>
              <w:rPr>
                <w:color w:val="1F2937"/>
                <w:sz w:val="18"/>
                <w:szCs w:val="18"/>
              </w:rPr>
              <w:t xml:space="preserve">Nodal Officer</w:t>
            </w:r>
          </w:p>
        </w:tc>
      </w:tr>
      <w:tr>
        <w:tc>
          <w:tcPr>
            <w:tcW w:type="dxa" w:w="2400"/>
            <w:shd w:fill="FFFFFF" w:color="auto" w:val="clear"/>
            <w:tcMar>
              <w:top w:type="dxa" w:w="80"/>
              <w:left w:type="dxa" w:w="120"/>
              <w:bottom w:type="dxa" w:w="80"/>
              <w:right w:type="dxa" w:w="120"/>
            </w:tcMar>
          </w:tcPr>
          <w:p>
            <w:pPr>
              <w:jc w:val="left"/>
            </w:pPr>
            <w:r>
              <w:rPr>
                <w:color w:val="1F2937"/>
                <w:sz w:val="18"/>
                <w:szCs w:val="18"/>
              </w:rPr>
              <w:t xml:space="preserve">Credit limit dispute</w:t>
            </w:r>
          </w:p>
        </w:tc>
        <w:tc>
          <w:tcPr>
            <w:tcW w:type="dxa" w:w="1400"/>
            <w:shd w:fill="FFFFFF" w:color="auto" w:val="clear"/>
            <w:tcMar>
              <w:top w:type="dxa" w:w="80"/>
              <w:left w:type="dxa" w:w="120"/>
              <w:bottom w:type="dxa" w:w="80"/>
              <w:right w:type="dxa" w:w="120"/>
            </w:tcMar>
          </w:tcPr>
          <w:p>
            <w:pPr>
              <w:jc w:val="center"/>
            </w:pPr>
            <w:r>
              <w:rPr>
                <w:color w:val="1F2937"/>
                <w:sz w:val="18"/>
                <w:szCs w:val="18"/>
              </w:rPr>
              <w:t xml:space="preserve">48 hours</w:t>
            </w:r>
          </w:p>
        </w:tc>
        <w:tc>
          <w:tcPr>
            <w:tcW w:type="dxa" w:w="1800"/>
            <w:shd w:fill="FFFFFF" w:color="auto" w:val="clear"/>
            <w:tcMar>
              <w:top w:type="dxa" w:w="80"/>
              <w:left w:type="dxa" w:w="120"/>
              <w:bottom w:type="dxa" w:w="80"/>
              <w:right w:type="dxa" w:w="120"/>
            </w:tcMar>
          </w:tcPr>
          <w:p>
            <w:pPr>
              <w:jc w:val="center"/>
            </w:pPr>
            <w:r>
              <w:rPr>
                <w:color w:val="1F2937"/>
                <w:sz w:val="18"/>
                <w:szCs w:val="18"/>
              </w:rPr>
              <w:t xml:space="preserve">10 working days</w:t>
            </w:r>
          </w:p>
        </w:tc>
        <w:tc>
          <w:tcPr>
            <w:tcW w:type="dxa" w:w="3600"/>
            <w:shd w:fill="FFFFFF" w:color="auto" w:val="clear"/>
            <w:tcMar>
              <w:top w:type="dxa" w:w="80"/>
              <w:left w:type="dxa" w:w="120"/>
              <w:bottom w:type="dxa" w:w="80"/>
              <w:right w:type="dxa" w:w="120"/>
            </w:tcMar>
          </w:tcPr>
          <w:p>
            <w:pPr>
              <w:jc w:val="center"/>
            </w:pPr>
            <w:r>
              <w:rPr>
                <w:color w:val="1F2937"/>
                <w:sz w:val="18"/>
                <w:szCs w:val="18"/>
              </w:rPr>
              <w:t xml:space="preserve">Nodal Officer</w:t>
            </w:r>
          </w:p>
        </w:tc>
      </w:tr>
      <w:tr>
        <w:tc>
          <w:tcPr>
            <w:tcW w:type="dxa" w:w="2400"/>
            <w:shd w:fill="F0F4FF" w:color="auto" w:val="clear"/>
            <w:tcMar>
              <w:top w:type="dxa" w:w="80"/>
              <w:left w:type="dxa" w:w="120"/>
              <w:bottom w:type="dxa" w:w="80"/>
              <w:right w:type="dxa" w:w="120"/>
            </w:tcMar>
          </w:tcPr>
          <w:p>
            <w:pPr>
              <w:jc w:val="left"/>
            </w:pPr>
            <w:r>
              <w:rPr>
                <w:color w:val="1F2937"/>
                <w:sz w:val="18"/>
                <w:szCs w:val="18"/>
              </w:rPr>
              <w:t xml:space="preserve">Interest / Charges waiver request</w:t>
            </w:r>
          </w:p>
        </w:tc>
        <w:tc>
          <w:tcPr>
            <w:tcW w:type="dxa" w:w="1400"/>
            <w:shd w:fill="F0F4FF" w:color="auto" w:val="clear"/>
            <w:tcMar>
              <w:top w:type="dxa" w:w="80"/>
              <w:left w:type="dxa" w:w="120"/>
              <w:bottom w:type="dxa" w:w="80"/>
              <w:right w:type="dxa" w:w="120"/>
            </w:tcMar>
          </w:tcPr>
          <w:p>
            <w:pPr>
              <w:jc w:val="center"/>
            </w:pPr>
            <w:r>
              <w:rPr>
                <w:color w:val="1F2937"/>
                <w:sz w:val="18"/>
                <w:szCs w:val="18"/>
              </w:rPr>
              <w:t xml:space="preserve">24 hours</w:t>
            </w:r>
          </w:p>
        </w:tc>
        <w:tc>
          <w:tcPr>
            <w:tcW w:type="dxa" w:w="1800"/>
            <w:shd w:fill="F0F4FF" w:color="auto" w:val="clear"/>
            <w:tcMar>
              <w:top w:type="dxa" w:w="80"/>
              <w:left w:type="dxa" w:w="120"/>
              <w:bottom w:type="dxa" w:w="80"/>
              <w:right w:type="dxa" w:w="120"/>
            </w:tcMar>
          </w:tcPr>
          <w:p>
            <w:pPr>
              <w:jc w:val="center"/>
            </w:pPr>
            <w:r>
              <w:rPr>
                <w:color w:val="1F2937"/>
                <w:sz w:val="18"/>
                <w:szCs w:val="18"/>
              </w:rPr>
              <w:t xml:space="preserve">15 working days</w:t>
            </w:r>
          </w:p>
        </w:tc>
        <w:tc>
          <w:tcPr>
            <w:tcW w:type="dxa" w:w="3600"/>
            <w:shd w:fill="F0F4FF" w:color="auto" w:val="clear"/>
            <w:tcMar>
              <w:top w:type="dxa" w:w="80"/>
              <w:left w:type="dxa" w:w="120"/>
              <w:bottom w:type="dxa" w:w="80"/>
              <w:right w:type="dxa" w:w="120"/>
            </w:tcMar>
          </w:tcPr>
          <w:p>
            <w:pPr>
              <w:jc w:val="center"/>
            </w:pPr>
            <w:r>
              <w:rPr>
                <w:color w:val="1F2937"/>
                <w:sz w:val="18"/>
                <w:szCs w:val="18"/>
              </w:rPr>
              <w:t xml:space="preserve">Nodal Officer</w:t>
            </w:r>
          </w:p>
        </w:tc>
      </w:tr>
    </w:tbl>
    <w:p>
      <w:pPr>
        <w:spacing w:before="80"/>
      </w:pPr>
      <w:r>
        <w:t xml:space="preserve"/>
      </w:r>
    </w:p>
    <w:p>
      <w:pPr>
        <w:spacing w:after="60" w:before="100"/>
        <w:ind w:left="360"/>
      </w:pPr>
      <w:r>
        <w:rPr>
          <w:b/>
          <w:bCs/>
          <w:color w:val="6B7280"/>
          <w:sz w:val="20"/>
          <w:szCs w:val="20"/>
        </w:rPr>
        <w:t xml:space="preserve">12.3  </w:t>
      </w:r>
      <w:r>
        <w:rPr>
          <w:color w:val="1F2937"/>
          <w:sz w:val="20"/>
          <w:szCs w:val="20"/>
        </w:rPr>
        <w:t xml:space="preserve">If complaints are not resolved within the stipulated TAT, or if the cardholder is dissatisfied with the resolution, they may escalate to:</w:t>
      </w:r>
    </w:p>
    <w:p>
      <w:pPr>
        <w:spacing w:after="40" w:before="60"/>
        <w:ind w:left="360"/>
      </w:pPr>
      <w:r>
        <w:rPr>
          <w:color w:val="374151"/>
          <w:sz w:val="20"/>
          <w:szCs w:val="20"/>
        </w:rPr>
        <w:t xml:space="preserve">• Level 2: Nodal Officer, BCB – nodalofficer@bcbbank.com</w:t>
      </w:r>
    </w:p>
    <w:p>
      <w:pPr>
        <w:spacing w:after="40" w:before="60"/>
        <w:ind w:left="360"/>
      </w:pPr>
      <w:r>
        <w:rPr>
          <w:color w:val="374151"/>
          <w:sz w:val="20"/>
          <w:szCs w:val="20"/>
        </w:rPr>
        <w:t xml:space="preserve">• Level 3: RBI Integrated Ombudsman Scheme (IOS) at cms.rbi.org.in (after 30 days from date of complaint to Bank)</w:t>
      </w:r>
    </w:p>
    <w:p>
      <w:pPr>
        <w:spacing w:after="60" w:before="100"/>
        <w:ind w:left="360"/>
      </w:pPr>
      <w:r>
        <w:rPr>
          <w:b/>
          <w:bCs/>
          <w:color w:val="6B7280"/>
          <w:sz w:val="20"/>
          <w:szCs w:val="20"/>
        </w:rPr>
        <w:t xml:space="preserve">12.4  </w:t>
      </w:r>
      <w:r>
        <w:rPr>
          <w:color w:val="1F2937"/>
          <w:sz w:val="20"/>
          <w:szCs w:val="20"/>
        </w:rPr>
        <w:t xml:space="preserve">Complaints data must be reported to BRCC quarterly. Any spike in complaint volumes (&gt;20% month-on-month) must trigger a root cause analysis and corrective action plan within 30 days.</w:t>
      </w:r>
    </w:p>
    <w:p>
      <w:pPr>
        <w:spacing w:after="80" w:before="240"/>
      </w:pPr>
      <w:r>
        <w:rPr>
          <w:b/>
          <w:bCs/>
          <w:color w:val="B45309"/>
          <w:sz w:val="22"/>
          <w:szCs w:val="22"/>
        </w:rPr>
        <w:t xml:space="preserve">13.  </w:t>
      </w:r>
      <w:r>
        <w:rPr>
          <w:b/>
          <w:bCs/>
          <w:color w:val="1B3A6B"/>
          <w:sz w:val="22"/>
          <w:szCs w:val="22"/>
        </w:rPr>
        <w:t xml:space="preserve">REPORTING &amp; REGULATORY DISCLOSURES</w:t>
      </w:r>
    </w:p>
    <w:p>
      <w:pPr>
        <w:spacing w:after="60" w:before="100"/>
        <w:ind w:left="360"/>
      </w:pPr>
      <w:r>
        <w:rPr>
          <w:b/>
          <w:bCs/>
          <w:color w:val="6B7280"/>
          <w:sz w:val="20"/>
          <w:szCs w:val="20"/>
        </w:rPr>
        <w:t xml:space="preserve">13.1  </w:t>
      </w:r>
      <w:r>
        <w:rPr>
          <w:color w:val="1F2937"/>
          <w:sz w:val="20"/>
          <w:szCs w:val="20"/>
        </w:rPr>
        <w:t xml:space="preserve">The following regulatory reports must be submitted within prescribed timelines:</w:t>
      </w:r>
    </w:p>
    <w:p>
      <w:pPr>
        <w:spacing w:before="80"/>
      </w:pPr>
      <w:r>
        <w:t xml:space="preserve"/>
      </w:r>
    </w:p>
    <w:tbl>
      <w:tblPr>
        <w:tblW w:type="dxa" w:w="9200"/>
        <w:tblBorders>
          <w:top w:val="single" w:color="CBD5E1" w:sz="2"/>
          <w:left w:val="single" w:color="CBD5E1" w:sz="2"/>
          <w:bottom w:val="single" w:color="CBD5E1" w:sz="2"/>
          <w:right w:val="single" w:color="CBD5E1" w:sz="2"/>
          <w:insideH w:val="single" w:color="auto" w:sz="4"/>
          <w:insideV w:val="single" w:color="auto" w:sz="4"/>
        </w:tblBorders>
      </w:tblPr>
      <w:tblGrid>
        <w:gridCol w:w="2400"/>
        <w:gridCol w:w="1600"/>
        <w:gridCol w:w="1200"/>
        <w:gridCol w:w="1600"/>
        <w:gridCol w:w="2400"/>
      </w:tblGrid>
      <w:tr>
        <w:trPr>
          <w:tblHeader/>
        </w:trPr>
        <w:tc>
          <w:tcPr>
            <w:tcW w:type="dxa" w:w="2400"/>
            <w:shd w:fill="1B3A6B" w:color="auto" w:val="clear"/>
            <w:tcMar>
              <w:top w:type="dxa" w:w="80"/>
              <w:left w:type="dxa" w:w="120"/>
              <w:bottom w:type="dxa" w:w="80"/>
              <w:right w:type="dxa" w:w="120"/>
            </w:tcMar>
          </w:tcPr>
          <w:p>
            <w:pPr>
              <w:jc w:val="center"/>
            </w:pPr>
            <w:r>
              <w:rPr>
                <w:b/>
                <w:bCs/>
                <w:color w:val="FFFFFF"/>
                <w:sz w:val="18"/>
                <w:szCs w:val="18"/>
              </w:rPr>
              <w:t xml:space="preserve">Report</w:t>
            </w:r>
          </w:p>
        </w:tc>
        <w:tc>
          <w:tcPr>
            <w:tcW w:type="dxa" w:w="1600"/>
            <w:shd w:fill="1B3A6B" w:color="auto" w:val="clear"/>
            <w:tcMar>
              <w:top w:type="dxa" w:w="80"/>
              <w:left w:type="dxa" w:w="120"/>
              <w:bottom w:type="dxa" w:w="80"/>
              <w:right w:type="dxa" w:w="120"/>
            </w:tcMar>
          </w:tcPr>
          <w:p>
            <w:pPr>
              <w:jc w:val="center"/>
            </w:pPr>
            <w:r>
              <w:rPr>
                <w:b/>
                <w:bCs/>
                <w:color w:val="FFFFFF"/>
                <w:sz w:val="18"/>
                <w:szCs w:val="18"/>
              </w:rPr>
              <w:t xml:space="preserve">Regulatory Body</w:t>
            </w:r>
          </w:p>
        </w:tc>
        <w:tc>
          <w:tcPr>
            <w:tcW w:type="dxa" w:w="1200"/>
            <w:shd w:fill="1B3A6B" w:color="auto" w:val="clear"/>
            <w:tcMar>
              <w:top w:type="dxa" w:w="80"/>
              <w:left w:type="dxa" w:w="120"/>
              <w:bottom w:type="dxa" w:w="80"/>
              <w:right w:type="dxa" w:w="120"/>
            </w:tcMar>
          </w:tcPr>
          <w:p>
            <w:pPr>
              <w:jc w:val="center"/>
            </w:pPr>
            <w:r>
              <w:rPr>
                <w:b/>
                <w:bCs/>
                <w:color w:val="FFFFFF"/>
                <w:sz w:val="18"/>
                <w:szCs w:val="18"/>
              </w:rPr>
              <w:t xml:space="preserve">Frequency</w:t>
            </w:r>
          </w:p>
        </w:tc>
        <w:tc>
          <w:tcPr>
            <w:tcW w:type="dxa" w:w="1600"/>
            <w:shd w:fill="1B3A6B" w:color="auto" w:val="clear"/>
            <w:tcMar>
              <w:top w:type="dxa" w:w="80"/>
              <w:left w:type="dxa" w:w="120"/>
              <w:bottom w:type="dxa" w:w="80"/>
              <w:right w:type="dxa" w:w="120"/>
            </w:tcMar>
          </w:tcPr>
          <w:p>
            <w:pPr>
              <w:jc w:val="center"/>
            </w:pPr>
            <w:r>
              <w:rPr>
                <w:b/>
                <w:bCs/>
                <w:color w:val="FFFFFF"/>
                <w:sz w:val="18"/>
                <w:szCs w:val="18"/>
              </w:rPr>
              <w:t xml:space="preserve">Submission Deadline</w:t>
            </w:r>
          </w:p>
        </w:tc>
        <w:tc>
          <w:tcPr>
            <w:tcW w:type="dxa" w:w="2400"/>
            <w:shd w:fill="1B3A6B" w:color="auto" w:val="clear"/>
            <w:tcMar>
              <w:top w:type="dxa" w:w="80"/>
              <w:left w:type="dxa" w:w="120"/>
              <w:bottom w:type="dxa" w:w="80"/>
              <w:right w:type="dxa" w:w="120"/>
            </w:tcMar>
          </w:tcPr>
          <w:p>
            <w:pPr>
              <w:jc w:val="center"/>
            </w:pPr>
            <w:r>
              <w:rPr>
                <w:b/>
                <w:bCs/>
                <w:color w:val="FFFFFF"/>
                <w:sz w:val="18"/>
                <w:szCs w:val="18"/>
              </w:rPr>
              <w:t xml:space="preserve">Responsible Team</w:t>
            </w:r>
          </w:p>
        </w:tc>
      </w:tr>
      <w:tr>
        <w:tc>
          <w:tcPr>
            <w:tcW w:type="dxa" w:w="2400"/>
            <w:shd w:fill="F0F4FF" w:color="auto" w:val="clear"/>
            <w:tcMar>
              <w:top w:type="dxa" w:w="80"/>
              <w:left w:type="dxa" w:w="120"/>
              <w:bottom w:type="dxa" w:w="80"/>
              <w:right w:type="dxa" w:w="120"/>
            </w:tcMar>
          </w:tcPr>
          <w:p>
            <w:pPr>
              <w:jc w:val="left"/>
            </w:pPr>
            <w:r>
              <w:rPr>
                <w:color w:val="1F2937"/>
                <w:sz w:val="18"/>
                <w:szCs w:val="18"/>
              </w:rPr>
              <w:t xml:space="preserve">FMR-1: Fraud Monitoring Return</w:t>
            </w:r>
          </w:p>
        </w:tc>
        <w:tc>
          <w:tcPr>
            <w:tcW w:type="dxa" w:w="1600"/>
            <w:shd w:fill="F0F4FF" w:color="auto" w:val="clear"/>
            <w:tcMar>
              <w:top w:type="dxa" w:w="80"/>
              <w:left w:type="dxa" w:w="120"/>
              <w:bottom w:type="dxa" w:w="80"/>
              <w:right w:type="dxa" w:w="120"/>
            </w:tcMar>
          </w:tcPr>
          <w:p>
            <w:pPr>
              <w:jc w:val="center"/>
            </w:pPr>
            <w:r>
              <w:rPr>
                <w:color w:val="1F2937"/>
                <w:sz w:val="18"/>
                <w:szCs w:val="18"/>
              </w:rPr>
              <w:t xml:space="preserve">RBI – DAKSH</w:t>
            </w:r>
          </w:p>
        </w:tc>
        <w:tc>
          <w:tcPr>
            <w:tcW w:type="dxa" w:w="1200"/>
            <w:shd w:fill="F0F4FF" w:color="auto" w:val="clear"/>
            <w:tcMar>
              <w:top w:type="dxa" w:w="80"/>
              <w:left w:type="dxa" w:w="120"/>
              <w:bottom w:type="dxa" w:w="80"/>
              <w:right w:type="dxa" w:w="120"/>
            </w:tcMar>
          </w:tcPr>
          <w:p>
            <w:pPr>
              <w:jc w:val="center"/>
            </w:pPr>
            <w:r>
              <w:rPr>
                <w:color w:val="1F2937"/>
                <w:sz w:val="18"/>
                <w:szCs w:val="18"/>
              </w:rPr>
              <w:t xml:space="preserve">Monthly</w:t>
            </w:r>
          </w:p>
        </w:tc>
        <w:tc>
          <w:tcPr>
            <w:tcW w:type="dxa" w:w="1600"/>
            <w:shd w:fill="F0F4FF" w:color="auto" w:val="clear"/>
            <w:tcMar>
              <w:top w:type="dxa" w:w="80"/>
              <w:left w:type="dxa" w:w="120"/>
              <w:bottom w:type="dxa" w:w="80"/>
              <w:right w:type="dxa" w:w="120"/>
            </w:tcMar>
          </w:tcPr>
          <w:p>
            <w:pPr>
              <w:jc w:val="center"/>
            </w:pPr>
            <w:r>
              <w:rPr>
                <w:color w:val="1F2937"/>
                <w:sz w:val="18"/>
                <w:szCs w:val="18"/>
              </w:rPr>
              <w:t xml:space="preserve">15th of following month</w:t>
            </w:r>
          </w:p>
        </w:tc>
        <w:tc>
          <w:tcPr>
            <w:tcW w:type="dxa" w:w="2400"/>
            <w:shd w:fill="F0F4FF" w:color="auto" w:val="clear"/>
            <w:tcMar>
              <w:top w:type="dxa" w:w="80"/>
              <w:left w:type="dxa" w:w="120"/>
              <w:bottom w:type="dxa" w:w="80"/>
              <w:right w:type="dxa" w:w="120"/>
            </w:tcMar>
          </w:tcPr>
          <w:p>
            <w:pPr>
              <w:jc w:val="center"/>
            </w:pPr>
            <w:r>
              <w:rPr>
                <w:color w:val="1F2937"/>
                <w:sz w:val="18"/>
                <w:szCs w:val="18"/>
              </w:rPr>
              <w:t xml:space="preserve">Fraud Risk Team</w:t>
            </w:r>
          </w:p>
        </w:tc>
      </w:tr>
      <w:tr>
        <w:tc>
          <w:tcPr>
            <w:tcW w:type="dxa" w:w="2400"/>
            <w:shd w:fill="FFFFFF" w:color="auto" w:val="clear"/>
            <w:tcMar>
              <w:top w:type="dxa" w:w="80"/>
              <w:left w:type="dxa" w:w="120"/>
              <w:bottom w:type="dxa" w:w="80"/>
              <w:right w:type="dxa" w:w="120"/>
            </w:tcMar>
          </w:tcPr>
          <w:p>
            <w:pPr>
              <w:jc w:val="left"/>
            </w:pPr>
            <w:r>
              <w:rPr>
                <w:color w:val="1F2937"/>
                <w:sz w:val="18"/>
                <w:szCs w:val="18"/>
              </w:rPr>
              <w:t xml:space="preserve">Credit Card Outstandings – BSR Return</w:t>
            </w:r>
          </w:p>
        </w:tc>
        <w:tc>
          <w:tcPr>
            <w:tcW w:type="dxa" w:w="1600"/>
            <w:shd w:fill="FFFFFF" w:color="auto" w:val="clear"/>
            <w:tcMar>
              <w:top w:type="dxa" w:w="80"/>
              <w:left w:type="dxa" w:w="120"/>
              <w:bottom w:type="dxa" w:w="80"/>
              <w:right w:type="dxa" w:w="120"/>
            </w:tcMar>
          </w:tcPr>
          <w:p>
            <w:pPr>
              <w:jc w:val="center"/>
            </w:pPr>
            <w:r>
              <w:rPr>
                <w:color w:val="1F2937"/>
                <w:sz w:val="18"/>
                <w:szCs w:val="18"/>
              </w:rPr>
              <w:t xml:space="preserve">RBI</w:t>
            </w:r>
          </w:p>
        </w:tc>
        <w:tc>
          <w:tcPr>
            <w:tcW w:type="dxa" w:w="1200"/>
            <w:shd w:fill="FFFFFF" w:color="auto" w:val="clear"/>
            <w:tcMar>
              <w:top w:type="dxa" w:w="80"/>
              <w:left w:type="dxa" w:w="120"/>
              <w:bottom w:type="dxa" w:w="80"/>
              <w:right w:type="dxa" w:w="120"/>
            </w:tcMar>
          </w:tcPr>
          <w:p>
            <w:pPr>
              <w:jc w:val="center"/>
            </w:pPr>
            <w:r>
              <w:rPr>
                <w:color w:val="1F2937"/>
                <w:sz w:val="18"/>
                <w:szCs w:val="18"/>
              </w:rPr>
              <w:t xml:space="preserve">Monthly</w:t>
            </w:r>
          </w:p>
        </w:tc>
        <w:tc>
          <w:tcPr>
            <w:tcW w:type="dxa" w:w="1600"/>
            <w:shd w:fill="FFFFFF" w:color="auto" w:val="clear"/>
            <w:tcMar>
              <w:top w:type="dxa" w:w="80"/>
              <w:left w:type="dxa" w:w="120"/>
              <w:bottom w:type="dxa" w:w="80"/>
              <w:right w:type="dxa" w:w="120"/>
            </w:tcMar>
          </w:tcPr>
          <w:p>
            <w:pPr>
              <w:jc w:val="center"/>
            </w:pPr>
            <w:r>
              <w:rPr>
                <w:color w:val="1F2937"/>
                <w:sz w:val="18"/>
                <w:szCs w:val="18"/>
              </w:rPr>
              <w:t xml:space="preserve">15th of following month</w:t>
            </w:r>
          </w:p>
        </w:tc>
        <w:tc>
          <w:tcPr>
            <w:tcW w:type="dxa" w:w="2400"/>
            <w:shd w:fill="FFFFFF" w:color="auto" w:val="clear"/>
            <w:tcMar>
              <w:top w:type="dxa" w:w="80"/>
              <w:left w:type="dxa" w:w="120"/>
              <w:bottom w:type="dxa" w:w="80"/>
              <w:right w:type="dxa" w:w="120"/>
            </w:tcMar>
          </w:tcPr>
          <w:p>
            <w:pPr>
              <w:jc w:val="center"/>
            </w:pPr>
            <w:r>
              <w:rPr>
                <w:color w:val="1F2937"/>
                <w:sz w:val="18"/>
                <w:szCs w:val="18"/>
              </w:rPr>
              <w:t xml:space="preserve">MIS / Finance</w:t>
            </w:r>
          </w:p>
        </w:tc>
      </w:tr>
      <w:tr>
        <w:tc>
          <w:tcPr>
            <w:tcW w:type="dxa" w:w="2400"/>
            <w:shd w:fill="F0F4FF" w:color="auto" w:val="clear"/>
            <w:tcMar>
              <w:top w:type="dxa" w:w="80"/>
              <w:left w:type="dxa" w:w="120"/>
              <w:bottom w:type="dxa" w:w="80"/>
              <w:right w:type="dxa" w:w="120"/>
            </w:tcMar>
          </w:tcPr>
          <w:p>
            <w:pPr>
              <w:jc w:val="left"/>
            </w:pPr>
            <w:r>
              <w:rPr>
                <w:color w:val="1F2937"/>
                <w:sz w:val="18"/>
                <w:szCs w:val="18"/>
              </w:rPr>
              <w:t xml:space="preserve">Sensitive Sector Exposures</w:t>
            </w:r>
          </w:p>
        </w:tc>
        <w:tc>
          <w:tcPr>
            <w:tcW w:type="dxa" w:w="1600"/>
            <w:shd w:fill="F0F4FF" w:color="auto" w:val="clear"/>
            <w:tcMar>
              <w:top w:type="dxa" w:w="80"/>
              <w:left w:type="dxa" w:w="120"/>
              <w:bottom w:type="dxa" w:w="80"/>
              <w:right w:type="dxa" w:w="120"/>
            </w:tcMar>
          </w:tcPr>
          <w:p>
            <w:pPr>
              <w:jc w:val="center"/>
            </w:pPr>
            <w:r>
              <w:rPr>
                <w:color w:val="1F2937"/>
                <w:sz w:val="18"/>
                <w:szCs w:val="18"/>
              </w:rPr>
              <w:t xml:space="preserve">RBI</w:t>
            </w:r>
          </w:p>
        </w:tc>
        <w:tc>
          <w:tcPr>
            <w:tcW w:type="dxa" w:w="1200"/>
            <w:shd w:fill="F0F4FF" w:color="auto" w:val="clear"/>
            <w:tcMar>
              <w:top w:type="dxa" w:w="80"/>
              <w:left w:type="dxa" w:w="120"/>
              <w:bottom w:type="dxa" w:w="80"/>
              <w:right w:type="dxa" w:w="120"/>
            </w:tcMar>
          </w:tcPr>
          <w:p>
            <w:pPr>
              <w:jc w:val="center"/>
            </w:pPr>
            <w:r>
              <w:rPr>
                <w:color w:val="1F2937"/>
                <w:sz w:val="18"/>
                <w:szCs w:val="18"/>
              </w:rPr>
              <w:t xml:space="preserve">Quarterly</w:t>
            </w:r>
          </w:p>
        </w:tc>
        <w:tc>
          <w:tcPr>
            <w:tcW w:type="dxa" w:w="1600"/>
            <w:shd w:fill="F0F4FF" w:color="auto" w:val="clear"/>
            <w:tcMar>
              <w:top w:type="dxa" w:w="80"/>
              <w:left w:type="dxa" w:w="120"/>
              <w:bottom w:type="dxa" w:w="80"/>
              <w:right w:type="dxa" w:w="120"/>
            </w:tcMar>
          </w:tcPr>
          <w:p>
            <w:pPr>
              <w:jc w:val="center"/>
            </w:pPr>
            <w:r>
              <w:rPr>
                <w:color w:val="1F2937"/>
                <w:sz w:val="18"/>
                <w:szCs w:val="18"/>
              </w:rPr>
              <w:t xml:space="preserve">21 days after quarter end</w:t>
            </w:r>
          </w:p>
        </w:tc>
        <w:tc>
          <w:tcPr>
            <w:tcW w:type="dxa" w:w="2400"/>
            <w:shd w:fill="F0F4FF" w:color="auto" w:val="clear"/>
            <w:tcMar>
              <w:top w:type="dxa" w:w="80"/>
              <w:left w:type="dxa" w:w="120"/>
              <w:bottom w:type="dxa" w:w="80"/>
              <w:right w:type="dxa" w:w="120"/>
            </w:tcMar>
          </w:tcPr>
          <w:p>
            <w:pPr>
              <w:jc w:val="center"/>
            </w:pPr>
            <w:r>
              <w:rPr>
                <w:color w:val="1F2937"/>
                <w:sz w:val="18"/>
                <w:szCs w:val="18"/>
              </w:rPr>
              <w:t xml:space="preserve">Risk Management</w:t>
            </w:r>
          </w:p>
        </w:tc>
      </w:tr>
      <w:tr>
        <w:tc>
          <w:tcPr>
            <w:tcW w:type="dxa" w:w="2400"/>
            <w:shd w:fill="FFFFFF" w:color="auto" w:val="clear"/>
            <w:tcMar>
              <w:top w:type="dxa" w:w="80"/>
              <w:left w:type="dxa" w:w="120"/>
              <w:bottom w:type="dxa" w:w="80"/>
              <w:right w:type="dxa" w:w="120"/>
            </w:tcMar>
          </w:tcPr>
          <w:p>
            <w:pPr>
              <w:jc w:val="left"/>
            </w:pPr>
            <w:r>
              <w:rPr>
                <w:color w:val="1F2937"/>
                <w:sz w:val="18"/>
                <w:szCs w:val="18"/>
              </w:rPr>
              <w:t xml:space="preserve">KYC/AML Suspicious Transaction Report (STR)</w:t>
            </w:r>
          </w:p>
        </w:tc>
        <w:tc>
          <w:tcPr>
            <w:tcW w:type="dxa" w:w="1600"/>
            <w:shd w:fill="FFFFFF" w:color="auto" w:val="clear"/>
            <w:tcMar>
              <w:top w:type="dxa" w:w="80"/>
              <w:left w:type="dxa" w:w="120"/>
              <w:bottom w:type="dxa" w:w="80"/>
              <w:right w:type="dxa" w:w="120"/>
            </w:tcMar>
          </w:tcPr>
          <w:p>
            <w:pPr>
              <w:jc w:val="center"/>
            </w:pPr>
            <w:r>
              <w:rPr>
                <w:color w:val="1F2937"/>
                <w:sz w:val="18"/>
                <w:szCs w:val="18"/>
              </w:rPr>
              <w:t xml:space="preserve">FIU-IND</w:t>
            </w:r>
          </w:p>
        </w:tc>
        <w:tc>
          <w:tcPr>
            <w:tcW w:type="dxa" w:w="1200"/>
            <w:shd w:fill="FFFFFF" w:color="auto" w:val="clear"/>
            <w:tcMar>
              <w:top w:type="dxa" w:w="80"/>
              <w:left w:type="dxa" w:w="120"/>
              <w:bottom w:type="dxa" w:w="80"/>
              <w:right w:type="dxa" w:w="120"/>
            </w:tcMar>
          </w:tcPr>
          <w:p>
            <w:pPr>
              <w:jc w:val="center"/>
            </w:pPr>
            <w:r>
              <w:rPr>
                <w:color w:val="1F2937"/>
                <w:sz w:val="18"/>
                <w:szCs w:val="18"/>
              </w:rPr>
              <w:t xml:space="preserve">As and when</w:t>
            </w:r>
          </w:p>
        </w:tc>
        <w:tc>
          <w:tcPr>
            <w:tcW w:type="dxa" w:w="1600"/>
            <w:shd w:fill="FFFFFF" w:color="auto" w:val="clear"/>
            <w:tcMar>
              <w:top w:type="dxa" w:w="80"/>
              <w:left w:type="dxa" w:w="120"/>
              <w:bottom w:type="dxa" w:w="80"/>
              <w:right w:type="dxa" w:w="120"/>
            </w:tcMar>
          </w:tcPr>
          <w:p>
            <w:pPr>
              <w:jc w:val="center"/>
            </w:pPr>
            <w:r>
              <w:rPr>
                <w:color w:val="1F2937"/>
                <w:sz w:val="18"/>
                <w:szCs w:val="18"/>
              </w:rPr>
              <w:t xml:space="preserve">Within 7 days of suspicion</w:t>
            </w:r>
          </w:p>
        </w:tc>
        <w:tc>
          <w:tcPr>
            <w:tcW w:type="dxa" w:w="2400"/>
            <w:shd w:fill="FFFFFF" w:color="auto" w:val="clear"/>
            <w:tcMar>
              <w:top w:type="dxa" w:w="80"/>
              <w:left w:type="dxa" w:w="120"/>
              <w:bottom w:type="dxa" w:w="80"/>
              <w:right w:type="dxa" w:w="120"/>
            </w:tcMar>
          </w:tcPr>
          <w:p>
            <w:pPr>
              <w:jc w:val="center"/>
            </w:pPr>
            <w:r>
              <w:rPr>
                <w:color w:val="1F2937"/>
                <w:sz w:val="18"/>
                <w:szCs w:val="18"/>
              </w:rPr>
              <w:t xml:space="preserve">MLRO / Compliance</w:t>
            </w:r>
          </w:p>
        </w:tc>
      </w:tr>
      <w:tr>
        <w:tc>
          <w:tcPr>
            <w:tcW w:type="dxa" w:w="2400"/>
            <w:shd w:fill="F0F4FF" w:color="auto" w:val="clear"/>
            <w:tcMar>
              <w:top w:type="dxa" w:w="80"/>
              <w:left w:type="dxa" w:w="120"/>
              <w:bottom w:type="dxa" w:w="80"/>
              <w:right w:type="dxa" w:w="120"/>
            </w:tcMar>
          </w:tcPr>
          <w:p>
            <w:pPr>
              <w:jc w:val="left"/>
            </w:pPr>
            <w:r>
              <w:rPr>
                <w:color w:val="1F2937"/>
                <w:sz w:val="18"/>
                <w:szCs w:val="18"/>
              </w:rPr>
              <w:t xml:space="preserve">Large Cash Transaction Report (CTR)</w:t>
            </w:r>
          </w:p>
        </w:tc>
        <w:tc>
          <w:tcPr>
            <w:tcW w:type="dxa" w:w="1600"/>
            <w:shd w:fill="F0F4FF" w:color="auto" w:val="clear"/>
            <w:tcMar>
              <w:top w:type="dxa" w:w="80"/>
              <w:left w:type="dxa" w:w="120"/>
              <w:bottom w:type="dxa" w:w="80"/>
              <w:right w:type="dxa" w:w="120"/>
            </w:tcMar>
          </w:tcPr>
          <w:p>
            <w:pPr>
              <w:jc w:val="center"/>
            </w:pPr>
            <w:r>
              <w:rPr>
                <w:color w:val="1F2937"/>
                <w:sz w:val="18"/>
                <w:szCs w:val="18"/>
              </w:rPr>
              <w:t xml:space="preserve">FIU-IND</w:t>
            </w:r>
          </w:p>
        </w:tc>
        <w:tc>
          <w:tcPr>
            <w:tcW w:type="dxa" w:w="1200"/>
            <w:shd w:fill="F0F4FF" w:color="auto" w:val="clear"/>
            <w:tcMar>
              <w:top w:type="dxa" w:w="80"/>
              <w:left w:type="dxa" w:w="120"/>
              <w:bottom w:type="dxa" w:w="80"/>
              <w:right w:type="dxa" w:w="120"/>
            </w:tcMar>
          </w:tcPr>
          <w:p>
            <w:pPr>
              <w:jc w:val="center"/>
            </w:pPr>
            <w:r>
              <w:rPr>
                <w:color w:val="1F2937"/>
                <w:sz w:val="18"/>
                <w:szCs w:val="18"/>
              </w:rPr>
              <w:t xml:space="preserve">Monthly</w:t>
            </w:r>
          </w:p>
        </w:tc>
        <w:tc>
          <w:tcPr>
            <w:tcW w:type="dxa" w:w="1600"/>
            <w:shd w:fill="F0F4FF" w:color="auto" w:val="clear"/>
            <w:tcMar>
              <w:top w:type="dxa" w:w="80"/>
              <w:left w:type="dxa" w:w="120"/>
              <w:bottom w:type="dxa" w:w="80"/>
              <w:right w:type="dxa" w:w="120"/>
            </w:tcMar>
          </w:tcPr>
          <w:p>
            <w:pPr>
              <w:jc w:val="center"/>
            </w:pPr>
            <w:r>
              <w:rPr>
                <w:color w:val="1F2937"/>
                <w:sz w:val="18"/>
                <w:szCs w:val="18"/>
              </w:rPr>
              <w:t xml:space="preserve">15th of following month</w:t>
            </w:r>
          </w:p>
        </w:tc>
        <w:tc>
          <w:tcPr>
            <w:tcW w:type="dxa" w:w="2400"/>
            <w:shd w:fill="F0F4FF" w:color="auto" w:val="clear"/>
            <w:tcMar>
              <w:top w:type="dxa" w:w="80"/>
              <w:left w:type="dxa" w:w="120"/>
              <w:bottom w:type="dxa" w:w="80"/>
              <w:right w:type="dxa" w:w="120"/>
            </w:tcMar>
          </w:tcPr>
          <w:p>
            <w:pPr>
              <w:jc w:val="center"/>
            </w:pPr>
            <w:r>
              <w:rPr>
                <w:color w:val="1F2937"/>
                <w:sz w:val="18"/>
                <w:szCs w:val="18"/>
              </w:rPr>
              <w:t xml:space="preserve">Compliance / Ops</w:t>
            </w:r>
          </w:p>
        </w:tc>
      </w:tr>
      <w:tr>
        <w:tc>
          <w:tcPr>
            <w:tcW w:type="dxa" w:w="2400"/>
            <w:shd w:fill="FFFFFF" w:color="auto" w:val="clear"/>
            <w:tcMar>
              <w:top w:type="dxa" w:w="80"/>
              <w:left w:type="dxa" w:w="120"/>
              <w:bottom w:type="dxa" w:w="80"/>
              <w:right w:type="dxa" w:w="120"/>
            </w:tcMar>
          </w:tcPr>
          <w:p>
            <w:pPr>
              <w:jc w:val="left"/>
            </w:pPr>
            <w:r>
              <w:rPr>
                <w:color w:val="1F2937"/>
                <w:sz w:val="18"/>
                <w:szCs w:val="18"/>
              </w:rPr>
              <w:t xml:space="preserve">PCI-DSS Compliance Status</w:t>
            </w:r>
          </w:p>
        </w:tc>
        <w:tc>
          <w:tcPr>
            <w:tcW w:type="dxa" w:w="1600"/>
            <w:shd w:fill="FFFFFF" w:color="auto" w:val="clear"/>
            <w:tcMar>
              <w:top w:type="dxa" w:w="80"/>
              <w:left w:type="dxa" w:w="120"/>
              <w:bottom w:type="dxa" w:w="80"/>
              <w:right w:type="dxa" w:w="120"/>
            </w:tcMar>
          </w:tcPr>
          <w:p>
            <w:pPr>
              <w:jc w:val="center"/>
            </w:pPr>
            <w:r>
              <w:rPr>
                <w:color w:val="1F2937"/>
                <w:sz w:val="18"/>
                <w:szCs w:val="18"/>
              </w:rPr>
              <w:t xml:space="preserve">RBI Payment Systems</w:t>
            </w:r>
          </w:p>
        </w:tc>
        <w:tc>
          <w:tcPr>
            <w:tcW w:type="dxa" w:w="1200"/>
            <w:shd w:fill="FFFFFF" w:color="auto" w:val="clear"/>
            <w:tcMar>
              <w:top w:type="dxa" w:w="80"/>
              <w:left w:type="dxa" w:w="120"/>
              <w:bottom w:type="dxa" w:w="80"/>
              <w:right w:type="dxa" w:w="120"/>
            </w:tcMar>
          </w:tcPr>
          <w:p>
            <w:pPr>
              <w:jc w:val="center"/>
            </w:pPr>
            <w:r>
              <w:rPr>
                <w:color w:val="1F2937"/>
                <w:sz w:val="18"/>
                <w:szCs w:val="18"/>
              </w:rPr>
              <w:t xml:space="preserve">Annual</w:t>
            </w:r>
          </w:p>
        </w:tc>
        <w:tc>
          <w:tcPr>
            <w:tcW w:type="dxa" w:w="1600"/>
            <w:shd w:fill="FFFFFF" w:color="auto" w:val="clear"/>
            <w:tcMar>
              <w:top w:type="dxa" w:w="80"/>
              <w:left w:type="dxa" w:w="120"/>
              <w:bottom w:type="dxa" w:w="80"/>
              <w:right w:type="dxa" w:w="120"/>
            </w:tcMar>
          </w:tcPr>
          <w:p>
            <w:pPr>
              <w:jc w:val="center"/>
            </w:pPr>
            <w:r>
              <w:rPr>
                <w:color w:val="1F2937"/>
                <w:sz w:val="18"/>
                <w:szCs w:val="18"/>
              </w:rPr>
              <w:t xml:space="preserve">30 June each year</w:t>
            </w:r>
          </w:p>
        </w:tc>
        <w:tc>
          <w:tcPr>
            <w:tcW w:type="dxa" w:w="2400"/>
            <w:shd w:fill="FFFFFF" w:color="auto" w:val="clear"/>
            <w:tcMar>
              <w:top w:type="dxa" w:w="80"/>
              <w:left w:type="dxa" w:w="120"/>
              <w:bottom w:type="dxa" w:w="80"/>
              <w:right w:type="dxa" w:w="120"/>
            </w:tcMar>
          </w:tcPr>
          <w:p>
            <w:pPr>
              <w:jc w:val="center"/>
            </w:pPr>
            <w:r>
              <w:rPr>
                <w:color w:val="1F2937"/>
                <w:sz w:val="18"/>
                <w:szCs w:val="18"/>
              </w:rPr>
              <w:t xml:space="preserve">IT Security</w:t>
            </w:r>
          </w:p>
        </w:tc>
      </w:tr>
      <w:tr>
        <w:tc>
          <w:tcPr>
            <w:tcW w:type="dxa" w:w="2400"/>
            <w:shd w:fill="F0F4FF" w:color="auto" w:val="clear"/>
            <w:tcMar>
              <w:top w:type="dxa" w:w="80"/>
              <w:left w:type="dxa" w:w="120"/>
              <w:bottom w:type="dxa" w:w="80"/>
              <w:right w:type="dxa" w:w="120"/>
            </w:tcMar>
          </w:tcPr>
          <w:p>
            <w:pPr>
              <w:jc w:val="left"/>
            </w:pPr>
            <w:r>
              <w:rPr>
                <w:color w:val="1F2937"/>
                <w:sz w:val="18"/>
                <w:szCs w:val="18"/>
              </w:rPr>
              <w:t xml:space="preserve">Credit Card Portfolio – CRILC</w:t>
            </w:r>
          </w:p>
        </w:tc>
        <w:tc>
          <w:tcPr>
            <w:tcW w:type="dxa" w:w="1600"/>
            <w:shd w:fill="F0F4FF" w:color="auto" w:val="clear"/>
            <w:tcMar>
              <w:top w:type="dxa" w:w="80"/>
              <w:left w:type="dxa" w:w="120"/>
              <w:bottom w:type="dxa" w:w="80"/>
              <w:right w:type="dxa" w:w="120"/>
            </w:tcMar>
          </w:tcPr>
          <w:p>
            <w:pPr>
              <w:jc w:val="center"/>
            </w:pPr>
            <w:r>
              <w:rPr>
                <w:color w:val="1F2937"/>
                <w:sz w:val="18"/>
                <w:szCs w:val="18"/>
              </w:rPr>
              <w:t xml:space="preserve">RBI – CRILC</w:t>
            </w:r>
          </w:p>
        </w:tc>
        <w:tc>
          <w:tcPr>
            <w:tcW w:type="dxa" w:w="1200"/>
            <w:shd w:fill="F0F4FF" w:color="auto" w:val="clear"/>
            <w:tcMar>
              <w:top w:type="dxa" w:w="80"/>
              <w:left w:type="dxa" w:w="120"/>
              <w:bottom w:type="dxa" w:w="80"/>
              <w:right w:type="dxa" w:w="120"/>
            </w:tcMar>
          </w:tcPr>
          <w:p>
            <w:pPr>
              <w:jc w:val="center"/>
            </w:pPr>
            <w:r>
              <w:rPr>
                <w:color w:val="1F2937"/>
                <w:sz w:val="18"/>
                <w:szCs w:val="18"/>
              </w:rPr>
              <w:t xml:space="preserve">Quarterly</w:t>
            </w:r>
          </w:p>
        </w:tc>
        <w:tc>
          <w:tcPr>
            <w:tcW w:type="dxa" w:w="1600"/>
            <w:shd w:fill="F0F4FF" w:color="auto" w:val="clear"/>
            <w:tcMar>
              <w:top w:type="dxa" w:w="80"/>
              <w:left w:type="dxa" w:w="120"/>
              <w:bottom w:type="dxa" w:w="80"/>
              <w:right w:type="dxa" w:w="120"/>
            </w:tcMar>
          </w:tcPr>
          <w:p>
            <w:pPr>
              <w:jc w:val="center"/>
            </w:pPr>
            <w:r>
              <w:rPr>
                <w:color w:val="1F2937"/>
                <w:sz w:val="18"/>
                <w:szCs w:val="18"/>
              </w:rPr>
              <w:t xml:space="preserve">21 days after quarter end</w:t>
            </w:r>
          </w:p>
        </w:tc>
        <w:tc>
          <w:tcPr>
            <w:tcW w:type="dxa" w:w="2400"/>
            <w:shd w:fill="F0F4FF" w:color="auto" w:val="clear"/>
            <w:tcMar>
              <w:top w:type="dxa" w:w="80"/>
              <w:left w:type="dxa" w:w="120"/>
              <w:bottom w:type="dxa" w:w="80"/>
              <w:right w:type="dxa" w:w="120"/>
            </w:tcMar>
          </w:tcPr>
          <w:p>
            <w:pPr>
              <w:jc w:val="center"/>
            </w:pPr>
            <w:r>
              <w:rPr>
                <w:color w:val="1F2937"/>
                <w:sz w:val="18"/>
                <w:szCs w:val="18"/>
              </w:rPr>
              <w:t xml:space="preserve">Risk / Finance</w:t>
            </w:r>
          </w:p>
        </w:tc>
      </w:tr>
      <w:tr>
        <w:tc>
          <w:tcPr>
            <w:tcW w:type="dxa" w:w="2400"/>
            <w:shd w:fill="FFFFFF" w:color="auto" w:val="clear"/>
            <w:tcMar>
              <w:top w:type="dxa" w:w="80"/>
              <w:left w:type="dxa" w:w="120"/>
              <w:bottom w:type="dxa" w:w="80"/>
              <w:right w:type="dxa" w:w="120"/>
            </w:tcMar>
          </w:tcPr>
          <w:p>
            <w:pPr>
              <w:jc w:val="left"/>
            </w:pPr>
            <w:r>
              <w:rPr>
                <w:color w:val="1F2937"/>
                <w:sz w:val="18"/>
                <w:szCs w:val="18"/>
              </w:rPr>
              <w:t xml:space="preserve">NPA and Provisioning – Credit Cards</w:t>
            </w:r>
          </w:p>
        </w:tc>
        <w:tc>
          <w:tcPr>
            <w:tcW w:type="dxa" w:w="1600"/>
            <w:shd w:fill="FFFFFF" w:color="auto" w:val="clear"/>
            <w:tcMar>
              <w:top w:type="dxa" w:w="80"/>
              <w:left w:type="dxa" w:w="120"/>
              <w:bottom w:type="dxa" w:w="80"/>
              <w:right w:type="dxa" w:w="120"/>
            </w:tcMar>
          </w:tcPr>
          <w:p>
            <w:pPr>
              <w:jc w:val="center"/>
            </w:pPr>
            <w:r>
              <w:rPr>
                <w:color w:val="1F2937"/>
                <w:sz w:val="18"/>
                <w:szCs w:val="18"/>
              </w:rPr>
              <w:t xml:space="preserve">RBI</w:t>
            </w:r>
          </w:p>
        </w:tc>
        <w:tc>
          <w:tcPr>
            <w:tcW w:type="dxa" w:w="1200"/>
            <w:shd w:fill="FFFFFF" w:color="auto" w:val="clear"/>
            <w:tcMar>
              <w:top w:type="dxa" w:w="80"/>
              <w:left w:type="dxa" w:w="120"/>
              <w:bottom w:type="dxa" w:w="80"/>
              <w:right w:type="dxa" w:w="120"/>
            </w:tcMar>
          </w:tcPr>
          <w:p>
            <w:pPr>
              <w:jc w:val="center"/>
            </w:pPr>
            <w:r>
              <w:rPr>
                <w:color w:val="1F2937"/>
                <w:sz w:val="18"/>
                <w:szCs w:val="18"/>
              </w:rPr>
              <w:t xml:space="preserve">Monthly</w:t>
            </w:r>
          </w:p>
        </w:tc>
        <w:tc>
          <w:tcPr>
            <w:tcW w:type="dxa" w:w="1600"/>
            <w:shd w:fill="FFFFFF" w:color="auto" w:val="clear"/>
            <w:tcMar>
              <w:top w:type="dxa" w:w="80"/>
              <w:left w:type="dxa" w:w="120"/>
              <w:bottom w:type="dxa" w:w="80"/>
              <w:right w:type="dxa" w:w="120"/>
            </w:tcMar>
          </w:tcPr>
          <w:p>
            <w:pPr>
              <w:jc w:val="center"/>
            </w:pPr>
            <w:r>
              <w:rPr>
                <w:color w:val="1F2937"/>
                <w:sz w:val="18"/>
                <w:szCs w:val="18"/>
              </w:rPr>
              <w:t xml:space="preserve">7th of following month</w:t>
            </w:r>
          </w:p>
        </w:tc>
        <w:tc>
          <w:tcPr>
            <w:tcW w:type="dxa" w:w="2400"/>
            <w:shd w:fill="FFFFFF" w:color="auto" w:val="clear"/>
            <w:tcMar>
              <w:top w:type="dxa" w:w="80"/>
              <w:left w:type="dxa" w:w="120"/>
              <w:bottom w:type="dxa" w:w="80"/>
              <w:right w:type="dxa" w:w="120"/>
            </w:tcMar>
          </w:tcPr>
          <w:p>
            <w:pPr>
              <w:jc w:val="center"/>
            </w:pPr>
            <w:r>
              <w:rPr>
                <w:color w:val="1F2937"/>
                <w:sz w:val="18"/>
                <w:szCs w:val="18"/>
              </w:rPr>
              <w:t xml:space="preserve">Finance</w:t>
            </w:r>
          </w:p>
        </w:tc>
      </w:tr>
    </w:tbl>
    <w:p>
      <w:pPr>
        <w:spacing w:before="80"/>
      </w:pPr>
      <w:r>
        <w:t xml:space="preserve"/>
      </w:r>
    </w:p>
    <w:p>
      <w:pPr>
        <w:spacing w:after="60" w:before="100"/>
        <w:ind w:left="360"/>
      </w:pPr>
      <w:r>
        <w:rPr>
          <w:b/>
          <w:bCs/>
          <w:color w:val="6B7280"/>
          <w:sz w:val="20"/>
          <w:szCs w:val="20"/>
        </w:rPr>
        <w:t xml:space="preserve">13.2  </w:t>
      </w:r>
      <w:r>
        <w:rPr>
          <w:color w:val="1F2937"/>
          <w:sz w:val="20"/>
          <w:szCs w:val="20"/>
        </w:rPr>
        <w:t xml:space="preserve">Delays in regulatory reporting shall be reported to CCO and BRCC immediately. Three or more consecutive reporting delays in the same report type shall be treated as a Compliance Failure and escalated to the MD &amp; CEO.</w:t>
      </w:r>
    </w:p>
    <w:p>
      <w:r>
        <w:br w:type="page"/>
      </w:r>
    </w:p>
    <w:p>
      <w:pPr>
        <w:spacing w:after="80" w:before="240"/>
      </w:pPr>
      <w:r>
        <w:rPr>
          <w:b/>
          <w:bCs/>
          <w:color w:val="B45309"/>
          <w:sz w:val="22"/>
          <w:szCs w:val="22"/>
        </w:rPr>
        <w:t xml:space="preserve">14.  </w:t>
      </w:r>
      <w:r>
        <w:rPr>
          <w:b/>
          <w:bCs/>
          <w:color w:val="1B3A6B"/>
          <w:sz w:val="22"/>
          <w:szCs w:val="22"/>
        </w:rPr>
        <w:t xml:space="preserve">RISK ASSESSMENT &amp; PENALTY MATRIX</w:t>
      </w:r>
    </w:p>
    <w:p>
      <w:pPr>
        <w:spacing w:after="60" w:before="100"/>
        <w:ind w:left="360"/>
      </w:pPr>
      <w:r>
        <w:rPr>
          <w:b/>
          <w:bCs/>
          <w:color w:val="6B7280"/>
          <w:sz w:val="20"/>
          <w:szCs w:val="20"/>
        </w:rPr>
        <w:t xml:space="preserve">14.1  </w:t>
      </w:r>
      <w:r>
        <w:rPr>
          <w:color w:val="1F2937"/>
          <w:sz w:val="20"/>
          <w:szCs w:val="20"/>
        </w:rPr>
        <w:t xml:space="preserve">Compliance violations identified through internal audit, RBI inspection, or self-assessment shall be classified as follows:</w:t>
      </w:r>
    </w:p>
    <w:p>
      <w:pPr>
        <w:spacing w:before="80"/>
      </w:pPr>
      <w:r>
        <w:t xml:space="preserve"/>
      </w:r>
    </w:p>
    <w:tbl>
      <w:tblPr>
        <w:tblW w:type="dxa" w:w="9200"/>
        <w:tblBorders>
          <w:top w:val="single" w:color="CBD5E1" w:sz="2"/>
          <w:left w:val="single" w:color="CBD5E1" w:sz="2"/>
          <w:bottom w:val="single" w:color="CBD5E1" w:sz="2"/>
          <w:right w:val="single" w:color="CBD5E1" w:sz="2"/>
          <w:insideH w:val="single" w:color="auto" w:sz="4"/>
          <w:insideV w:val="single" w:color="auto" w:sz="4"/>
        </w:tblBorders>
      </w:tblPr>
      <w:tblGrid>
        <w:gridCol w:w="700"/>
        <w:gridCol w:w="1400"/>
        <w:gridCol w:w="3000"/>
        <w:gridCol w:w="1300"/>
        <w:gridCol w:w="2800"/>
      </w:tblGrid>
      <w:tr>
        <w:trPr>
          <w:tblHeader/>
        </w:trPr>
        <w:tc>
          <w:tcPr>
            <w:tcW w:type="dxa" w:w="700"/>
            <w:shd w:fill="1B3A6B" w:color="auto" w:val="clear"/>
            <w:tcMar>
              <w:top w:type="dxa" w:w="80"/>
              <w:left w:type="dxa" w:w="120"/>
              <w:bottom w:type="dxa" w:w="80"/>
              <w:right w:type="dxa" w:w="120"/>
            </w:tcMar>
          </w:tcPr>
          <w:p>
            <w:pPr>
              <w:jc w:val="center"/>
            </w:pPr>
            <w:r>
              <w:rPr>
                <w:b/>
                <w:bCs/>
                <w:color w:val="FFFFFF"/>
                <w:sz w:val="18"/>
                <w:szCs w:val="18"/>
              </w:rPr>
              <w:t xml:space="preserve">Level</w:t>
            </w:r>
          </w:p>
        </w:tc>
        <w:tc>
          <w:tcPr>
            <w:tcW w:type="dxa" w:w="1400"/>
            <w:shd w:fill="1B3A6B" w:color="auto" w:val="clear"/>
            <w:tcMar>
              <w:top w:type="dxa" w:w="80"/>
              <w:left w:type="dxa" w:w="120"/>
              <w:bottom w:type="dxa" w:w="80"/>
              <w:right w:type="dxa" w:w="120"/>
            </w:tcMar>
          </w:tcPr>
          <w:p>
            <w:pPr>
              <w:jc w:val="center"/>
            </w:pPr>
            <w:r>
              <w:rPr>
                <w:b/>
                <w:bCs/>
                <w:color w:val="FFFFFF"/>
                <w:sz w:val="18"/>
                <w:szCs w:val="18"/>
              </w:rPr>
              <w:t xml:space="preserve">Classification</w:t>
            </w:r>
          </w:p>
        </w:tc>
        <w:tc>
          <w:tcPr>
            <w:tcW w:type="dxa" w:w="3000"/>
            <w:shd w:fill="1B3A6B" w:color="auto" w:val="clear"/>
            <w:tcMar>
              <w:top w:type="dxa" w:w="80"/>
              <w:left w:type="dxa" w:w="120"/>
              <w:bottom w:type="dxa" w:w="80"/>
              <w:right w:type="dxa" w:w="120"/>
            </w:tcMar>
          </w:tcPr>
          <w:p>
            <w:pPr>
              <w:jc w:val="center"/>
            </w:pPr>
            <w:r>
              <w:rPr>
                <w:b/>
                <w:bCs/>
                <w:color w:val="FFFFFF"/>
                <w:sz w:val="18"/>
                <w:szCs w:val="18"/>
              </w:rPr>
              <w:t xml:space="preserve">Examples</w:t>
            </w:r>
          </w:p>
        </w:tc>
        <w:tc>
          <w:tcPr>
            <w:tcW w:type="dxa" w:w="1300"/>
            <w:shd w:fill="1B3A6B" w:color="auto" w:val="clear"/>
            <w:tcMar>
              <w:top w:type="dxa" w:w="80"/>
              <w:left w:type="dxa" w:w="120"/>
              <w:bottom w:type="dxa" w:w="80"/>
              <w:right w:type="dxa" w:w="120"/>
            </w:tcMar>
          </w:tcPr>
          <w:p>
            <w:pPr>
              <w:jc w:val="center"/>
            </w:pPr>
            <w:r>
              <w:rPr>
                <w:b/>
                <w:bCs/>
                <w:color w:val="FFFFFF"/>
                <w:sz w:val="18"/>
                <w:szCs w:val="18"/>
              </w:rPr>
              <w:t xml:space="preserve">Response SLA</w:t>
            </w:r>
          </w:p>
        </w:tc>
        <w:tc>
          <w:tcPr>
            <w:tcW w:type="dxa" w:w="2800"/>
            <w:shd w:fill="1B3A6B" w:color="auto" w:val="clear"/>
            <w:tcMar>
              <w:top w:type="dxa" w:w="80"/>
              <w:left w:type="dxa" w:w="120"/>
              <w:bottom w:type="dxa" w:w="80"/>
              <w:right w:type="dxa" w:w="120"/>
            </w:tcMar>
          </w:tcPr>
          <w:p>
            <w:pPr>
              <w:jc w:val="center"/>
            </w:pPr>
            <w:r>
              <w:rPr>
                <w:b/>
                <w:bCs/>
                <w:color w:val="FFFFFF"/>
                <w:sz w:val="18"/>
                <w:szCs w:val="18"/>
              </w:rPr>
              <w:t xml:space="preserve">Approver</w:t>
            </w:r>
          </w:p>
        </w:tc>
      </w:tr>
      <w:tr>
        <w:tc>
          <w:tcPr>
            <w:tcW w:type="dxa" w:w="700"/>
            <w:shd w:fill="F0F4FF" w:color="auto" w:val="clear"/>
            <w:tcMar>
              <w:top w:type="dxa" w:w="80"/>
              <w:left w:type="dxa" w:w="120"/>
              <w:bottom w:type="dxa" w:w="80"/>
              <w:right w:type="dxa" w:w="120"/>
            </w:tcMar>
          </w:tcPr>
          <w:p>
            <w:pPr>
              <w:jc w:val="left"/>
            </w:pPr>
            <w:r>
              <w:rPr>
                <w:color w:val="1F2937"/>
                <w:sz w:val="18"/>
                <w:szCs w:val="18"/>
              </w:rPr>
              <w:t xml:space="preserve">Level 1</w:t>
            </w:r>
          </w:p>
        </w:tc>
        <w:tc>
          <w:tcPr>
            <w:tcW w:type="dxa" w:w="1400"/>
            <w:shd w:fill="F0F4FF" w:color="auto" w:val="clear"/>
            <w:tcMar>
              <w:top w:type="dxa" w:w="80"/>
              <w:left w:type="dxa" w:w="120"/>
              <w:bottom w:type="dxa" w:w="80"/>
              <w:right w:type="dxa" w:w="120"/>
            </w:tcMar>
          </w:tcPr>
          <w:p>
            <w:pPr>
              <w:jc w:val="center"/>
            </w:pPr>
            <w:r>
              <w:rPr>
                <w:color w:val="1F2937"/>
                <w:sz w:val="18"/>
                <w:szCs w:val="18"/>
              </w:rPr>
              <w:t xml:space="preserve">Low Risk</w:t>
            </w:r>
          </w:p>
        </w:tc>
        <w:tc>
          <w:tcPr>
            <w:tcW w:type="dxa" w:w="3000"/>
            <w:shd w:fill="F0F4FF" w:color="auto" w:val="clear"/>
            <w:tcMar>
              <w:top w:type="dxa" w:w="80"/>
              <w:left w:type="dxa" w:w="120"/>
              <w:bottom w:type="dxa" w:w="80"/>
              <w:right w:type="dxa" w:w="120"/>
            </w:tcMar>
          </w:tcPr>
          <w:p>
            <w:pPr>
              <w:jc w:val="center"/>
            </w:pPr>
            <w:r>
              <w:rPr>
                <w:color w:val="1F2937"/>
                <w:sz w:val="18"/>
                <w:szCs w:val="18"/>
              </w:rPr>
              <w:t xml:space="preserve">Minor documentation gaps, delayed internal reporting by 1-2 days</w:t>
            </w:r>
          </w:p>
        </w:tc>
        <w:tc>
          <w:tcPr>
            <w:tcW w:type="dxa" w:w="1300"/>
            <w:shd w:fill="F0F4FF" w:color="auto" w:val="clear"/>
            <w:tcMar>
              <w:top w:type="dxa" w:w="80"/>
              <w:left w:type="dxa" w:w="120"/>
              <w:bottom w:type="dxa" w:w="80"/>
              <w:right w:type="dxa" w:w="120"/>
            </w:tcMar>
          </w:tcPr>
          <w:p>
            <w:pPr>
              <w:jc w:val="center"/>
            </w:pPr>
            <w:r>
              <w:rPr>
                <w:color w:val="1F2937"/>
                <w:sz w:val="18"/>
                <w:szCs w:val="18"/>
              </w:rPr>
              <w:t xml:space="preserve">30 days</w:t>
            </w:r>
          </w:p>
        </w:tc>
        <w:tc>
          <w:tcPr>
            <w:tcW w:type="dxa" w:w="2800"/>
            <w:shd w:fill="F0F4FF" w:color="auto" w:val="clear"/>
            <w:tcMar>
              <w:top w:type="dxa" w:w="80"/>
              <w:left w:type="dxa" w:w="120"/>
              <w:bottom w:type="dxa" w:w="80"/>
              <w:right w:type="dxa" w:w="120"/>
            </w:tcMar>
          </w:tcPr>
          <w:p>
            <w:pPr>
              <w:jc w:val="center"/>
            </w:pPr>
            <w:r>
              <w:rPr>
                <w:color w:val="1F2937"/>
                <w:sz w:val="18"/>
                <w:szCs w:val="18"/>
              </w:rPr>
              <w:t xml:space="preserve">Compliance Manager</w:t>
            </w:r>
          </w:p>
        </w:tc>
      </w:tr>
      <w:tr>
        <w:tc>
          <w:tcPr>
            <w:tcW w:type="dxa" w:w="700"/>
            <w:shd w:fill="FFFFFF" w:color="auto" w:val="clear"/>
            <w:tcMar>
              <w:top w:type="dxa" w:w="80"/>
              <w:left w:type="dxa" w:w="120"/>
              <w:bottom w:type="dxa" w:w="80"/>
              <w:right w:type="dxa" w:w="120"/>
            </w:tcMar>
          </w:tcPr>
          <w:p>
            <w:pPr>
              <w:jc w:val="left"/>
            </w:pPr>
            <w:r>
              <w:rPr>
                <w:color w:val="1F2937"/>
                <w:sz w:val="18"/>
                <w:szCs w:val="18"/>
              </w:rPr>
              <w:t xml:space="preserve">Level 2</w:t>
            </w:r>
          </w:p>
        </w:tc>
        <w:tc>
          <w:tcPr>
            <w:tcW w:type="dxa" w:w="1400"/>
            <w:shd w:fill="FFFFFF" w:color="auto" w:val="clear"/>
            <w:tcMar>
              <w:top w:type="dxa" w:w="80"/>
              <w:left w:type="dxa" w:w="120"/>
              <w:bottom w:type="dxa" w:w="80"/>
              <w:right w:type="dxa" w:w="120"/>
            </w:tcMar>
          </w:tcPr>
          <w:p>
            <w:pPr>
              <w:jc w:val="center"/>
            </w:pPr>
            <w:r>
              <w:rPr>
                <w:color w:val="1F2937"/>
                <w:sz w:val="18"/>
                <w:szCs w:val="18"/>
              </w:rPr>
              <w:t xml:space="preserve">Medium Risk</w:t>
            </w:r>
          </w:p>
        </w:tc>
        <w:tc>
          <w:tcPr>
            <w:tcW w:type="dxa" w:w="3000"/>
            <w:shd w:fill="FFFFFF" w:color="auto" w:val="clear"/>
            <w:tcMar>
              <w:top w:type="dxa" w:w="80"/>
              <w:left w:type="dxa" w:w="120"/>
              <w:bottom w:type="dxa" w:w="80"/>
              <w:right w:type="dxa" w:w="120"/>
            </w:tcMar>
          </w:tcPr>
          <w:p>
            <w:pPr>
              <w:jc w:val="center"/>
            </w:pPr>
            <w:r>
              <w:rPr>
                <w:color w:val="1F2937"/>
                <w:sz w:val="18"/>
                <w:szCs w:val="18"/>
              </w:rPr>
              <w:t xml:space="preserve">Late payment fee calculation error, KFS not provided before activation, OTP process bypassed</w:t>
            </w:r>
          </w:p>
        </w:tc>
        <w:tc>
          <w:tcPr>
            <w:tcW w:type="dxa" w:w="1300"/>
            <w:shd w:fill="FFFFFF" w:color="auto" w:val="clear"/>
            <w:tcMar>
              <w:top w:type="dxa" w:w="80"/>
              <w:left w:type="dxa" w:w="120"/>
              <w:bottom w:type="dxa" w:w="80"/>
              <w:right w:type="dxa" w:w="120"/>
            </w:tcMar>
          </w:tcPr>
          <w:p>
            <w:pPr>
              <w:jc w:val="center"/>
            </w:pPr>
            <w:r>
              <w:rPr>
                <w:color w:val="1F2937"/>
                <w:sz w:val="18"/>
                <w:szCs w:val="18"/>
              </w:rPr>
              <w:t xml:space="preserve">15 days</w:t>
            </w:r>
          </w:p>
        </w:tc>
        <w:tc>
          <w:tcPr>
            <w:tcW w:type="dxa" w:w="2800"/>
            <w:shd w:fill="FFFFFF" w:color="auto" w:val="clear"/>
            <w:tcMar>
              <w:top w:type="dxa" w:w="80"/>
              <w:left w:type="dxa" w:w="120"/>
              <w:bottom w:type="dxa" w:w="80"/>
              <w:right w:type="dxa" w:w="120"/>
            </w:tcMar>
          </w:tcPr>
          <w:p>
            <w:pPr>
              <w:jc w:val="center"/>
            </w:pPr>
            <w:r>
              <w:rPr>
                <w:color w:val="1F2937"/>
                <w:sz w:val="18"/>
                <w:szCs w:val="18"/>
              </w:rPr>
              <w:t xml:space="preserve">CCO</w:t>
            </w:r>
          </w:p>
        </w:tc>
      </w:tr>
      <w:tr>
        <w:tc>
          <w:tcPr>
            <w:tcW w:type="dxa" w:w="700"/>
            <w:shd w:fill="F0F4FF" w:color="auto" w:val="clear"/>
            <w:tcMar>
              <w:top w:type="dxa" w:w="80"/>
              <w:left w:type="dxa" w:w="120"/>
              <w:bottom w:type="dxa" w:w="80"/>
              <w:right w:type="dxa" w:w="120"/>
            </w:tcMar>
          </w:tcPr>
          <w:p>
            <w:pPr>
              <w:jc w:val="left"/>
            </w:pPr>
            <w:r>
              <w:rPr>
                <w:color w:val="1F2937"/>
                <w:sz w:val="18"/>
                <w:szCs w:val="18"/>
              </w:rPr>
              <w:t xml:space="preserve">Level 3</w:t>
            </w:r>
          </w:p>
        </w:tc>
        <w:tc>
          <w:tcPr>
            <w:tcW w:type="dxa" w:w="1400"/>
            <w:shd w:fill="F0F4FF" w:color="auto" w:val="clear"/>
            <w:tcMar>
              <w:top w:type="dxa" w:w="80"/>
              <w:left w:type="dxa" w:w="120"/>
              <w:bottom w:type="dxa" w:w="80"/>
              <w:right w:type="dxa" w:w="120"/>
            </w:tcMar>
          </w:tcPr>
          <w:p>
            <w:pPr>
              <w:jc w:val="center"/>
            </w:pPr>
            <w:r>
              <w:rPr>
                <w:color w:val="1F2937"/>
                <w:sz w:val="18"/>
                <w:szCs w:val="18"/>
              </w:rPr>
              <w:t xml:space="preserve">High Risk</w:t>
            </w:r>
          </w:p>
        </w:tc>
        <w:tc>
          <w:tcPr>
            <w:tcW w:type="dxa" w:w="3000"/>
            <w:shd w:fill="F0F4FF" w:color="auto" w:val="clear"/>
            <w:tcMar>
              <w:top w:type="dxa" w:w="80"/>
              <w:left w:type="dxa" w:w="120"/>
              <w:bottom w:type="dxa" w:w="80"/>
              <w:right w:type="dxa" w:w="120"/>
            </w:tcMar>
          </w:tcPr>
          <w:p>
            <w:pPr>
              <w:jc w:val="center"/>
            </w:pPr>
            <w:r>
              <w:rPr>
                <w:color w:val="1F2937"/>
                <w:sz w:val="18"/>
                <w:szCs w:val="18"/>
              </w:rPr>
              <w:t xml:space="preserve">Credit card issued to minor, NACH reversal without reason, STR not filed within deadline, PCI-DSS breach</w:t>
            </w:r>
          </w:p>
        </w:tc>
        <w:tc>
          <w:tcPr>
            <w:tcW w:type="dxa" w:w="1300"/>
            <w:shd w:fill="F0F4FF" w:color="auto" w:val="clear"/>
            <w:tcMar>
              <w:top w:type="dxa" w:w="80"/>
              <w:left w:type="dxa" w:w="120"/>
              <w:bottom w:type="dxa" w:w="80"/>
              <w:right w:type="dxa" w:w="120"/>
            </w:tcMar>
          </w:tcPr>
          <w:p>
            <w:pPr>
              <w:jc w:val="center"/>
            </w:pPr>
            <w:r>
              <w:rPr>
                <w:color w:val="1F2937"/>
                <w:sz w:val="18"/>
                <w:szCs w:val="18"/>
              </w:rPr>
              <w:t xml:space="preserve">7 days</w:t>
            </w:r>
          </w:p>
        </w:tc>
        <w:tc>
          <w:tcPr>
            <w:tcW w:type="dxa" w:w="2800"/>
            <w:shd w:fill="F0F4FF" w:color="auto" w:val="clear"/>
            <w:tcMar>
              <w:top w:type="dxa" w:w="80"/>
              <w:left w:type="dxa" w:w="120"/>
              <w:bottom w:type="dxa" w:w="80"/>
              <w:right w:type="dxa" w:w="120"/>
            </w:tcMar>
          </w:tcPr>
          <w:p>
            <w:pPr>
              <w:jc w:val="center"/>
            </w:pPr>
            <w:r>
              <w:rPr>
                <w:color w:val="1F2937"/>
                <w:sz w:val="18"/>
                <w:szCs w:val="18"/>
              </w:rPr>
              <w:t xml:space="preserve">MD &amp; CEO + BRCC</w:t>
            </w:r>
          </w:p>
        </w:tc>
      </w:tr>
      <w:tr>
        <w:tc>
          <w:tcPr>
            <w:tcW w:type="dxa" w:w="700"/>
            <w:shd w:fill="FFFFFF" w:color="auto" w:val="clear"/>
            <w:tcMar>
              <w:top w:type="dxa" w:w="80"/>
              <w:left w:type="dxa" w:w="120"/>
              <w:bottom w:type="dxa" w:w="80"/>
              <w:right w:type="dxa" w:w="120"/>
            </w:tcMar>
          </w:tcPr>
          <w:p>
            <w:pPr>
              <w:jc w:val="left"/>
            </w:pPr>
            <w:r>
              <w:rPr>
                <w:color w:val="1F2937"/>
                <w:sz w:val="18"/>
                <w:szCs w:val="18"/>
              </w:rPr>
              <w:t xml:space="preserve">Level 4</w:t>
            </w:r>
          </w:p>
        </w:tc>
        <w:tc>
          <w:tcPr>
            <w:tcW w:type="dxa" w:w="1400"/>
            <w:shd w:fill="FFFFFF" w:color="auto" w:val="clear"/>
            <w:tcMar>
              <w:top w:type="dxa" w:w="80"/>
              <w:left w:type="dxa" w:w="120"/>
              <w:bottom w:type="dxa" w:w="80"/>
              <w:right w:type="dxa" w:w="120"/>
            </w:tcMar>
          </w:tcPr>
          <w:p>
            <w:pPr>
              <w:jc w:val="center"/>
            </w:pPr>
            <w:r>
              <w:rPr>
                <w:color w:val="1F2937"/>
                <w:sz w:val="18"/>
                <w:szCs w:val="18"/>
              </w:rPr>
              <w:t xml:space="preserve">Critical / Regulatory</w:t>
            </w:r>
          </w:p>
        </w:tc>
        <w:tc>
          <w:tcPr>
            <w:tcW w:type="dxa" w:w="3000"/>
            <w:shd w:fill="FFFFFF" w:color="auto" w:val="clear"/>
            <w:tcMar>
              <w:top w:type="dxa" w:w="80"/>
              <w:left w:type="dxa" w:w="120"/>
              <w:bottom w:type="dxa" w:w="80"/>
              <w:right w:type="dxa" w:w="120"/>
            </w:tcMar>
          </w:tcPr>
          <w:p>
            <w:pPr>
              <w:jc w:val="center"/>
            </w:pPr>
            <w:r>
              <w:rPr>
                <w:color w:val="1F2937"/>
                <w:sz w:val="18"/>
                <w:szCs w:val="18"/>
              </w:rPr>
              <w:t xml:space="preserve">RBI inspection finding, data breach, systemic fraud, non-submission of regulatory reports</w:t>
            </w:r>
          </w:p>
        </w:tc>
        <w:tc>
          <w:tcPr>
            <w:tcW w:type="dxa" w:w="1300"/>
            <w:shd w:fill="FFFFFF" w:color="auto" w:val="clear"/>
            <w:tcMar>
              <w:top w:type="dxa" w:w="80"/>
              <w:left w:type="dxa" w:w="120"/>
              <w:bottom w:type="dxa" w:w="80"/>
              <w:right w:type="dxa" w:w="120"/>
            </w:tcMar>
          </w:tcPr>
          <w:p>
            <w:pPr>
              <w:jc w:val="center"/>
            </w:pPr>
            <w:r>
              <w:rPr>
                <w:color w:val="1F2937"/>
                <w:sz w:val="18"/>
                <w:szCs w:val="18"/>
              </w:rPr>
              <w:t xml:space="preserve">Immediate (24 hrs)</w:t>
            </w:r>
          </w:p>
        </w:tc>
        <w:tc>
          <w:tcPr>
            <w:tcW w:type="dxa" w:w="2800"/>
            <w:shd w:fill="FFFFFF" w:color="auto" w:val="clear"/>
            <w:tcMar>
              <w:top w:type="dxa" w:w="80"/>
              <w:left w:type="dxa" w:w="120"/>
              <w:bottom w:type="dxa" w:w="80"/>
              <w:right w:type="dxa" w:w="120"/>
            </w:tcMar>
          </w:tcPr>
          <w:p>
            <w:pPr>
              <w:jc w:val="center"/>
            </w:pPr>
            <w:r>
              <w:rPr>
                <w:color w:val="1F2937"/>
                <w:sz w:val="18"/>
                <w:szCs w:val="18"/>
              </w:rPr>
              <w:t xml:space="preserve">Board + External Legal</w:t>
            </w:r>
          </w:p>
        </w:tc>
      </w:tr>
    </w:tbl>
    <w:p>
      <w:pPr>
        <w:spacing w:before="80"/>
      </w:pPr>
      <w:r>
        <w:t xml:space="preserve"/>
      </w:r>
    </w:p>
    <w:p>
      <w:pPr>
        <w:spacing w:after="60" w:before="100"/>
        <w:ind w:left="360"/>
      </w:pPr>
      <w:r>
        <w:rPr>
          <w:b/>
          <w:bCs/>
          <w:color w:val="6B7280"/>
          <w:sz w:val="20"/>
          <w:szCs w:val="20"/>
        </w:rPr>
        <w:t xml:space="preserve">14.2  </w:t>
      </w:r>
      <w:r>
        <w:rPr>
          <w:color w:val="1F2937"/>
          <w:sz w:val="20"/>
          <w:szCs w:val="20"/>
        </w:rPr>
        <w:t xml:space="preserve">Internal financial penalties applicable for repeated or systemic violations:</w:t>
      </w:r>
    </w:p>
    <w:p>
      <w:pPr>
        <w:spacing w:before="80"/>
      </w:pPr>
      <w:r>
        <w:t xml:space="preserve"/>
      </w:r>
    </w:p>
    <w:tbl>
      <w:tblPr>
        <w:tblW w:type="dxa" w:w="9200"/>
        <w:tblBorders>
          <w:top w:val="single" w:color="CBD5E1" w:sz="2"/>
          <w:left w:val="single" w:color="CBD5E1" w:sz="2"/>
          <w:bottom w:val="single" w:color="CBD5E1" w:sz="2"/>
          <w:right w:val="single" w:color="CBD5E1" w:sz="2"/>
          <w:insideH w:val="single" w:color="auto" w:sz="4"/>
          <w:insideV w:val="single" w:color="auto" w:sz="4"/>
        </w:tblBorders>
      </w:tblPr>
      <w:tblGrid>
        <w:gridCol w:w="2800"/>
        <w:gridCol w:w="1800"/>
        <w:gridCol w:w="2000"/>
        <w:gridCol w:w="2600"/>
      </w:tblGrid>
      <w:tr>
        <w:trPr>
          <w:tblHeader/>
        </w:trPr>
        <w:tc>
          <w:tcPr>
            <w:tcW w:type="dxa" w:w="2800"/>
            <w:shd w:fill="1B3A6B" w:color="auto" w:val="clear"/>
            <w:tcMar>
              <w:top w:type="dxa" w:w="80"/>
              <w:left w:type="dxa" w:w="120"/>
              <w:bottom w:type="dxa" w:w="80"/>
              <w:right w:type="dxa" w:w="120"/>
            </w:tcMar>
          </w:tcPr>
          <w:p>
            <w:pPr>
              <w:jc w:val="center"/>
            </w:pPr>
            <w:r>
              <w:rPr>
                <w:b/>
                <w:bCs/>
                <w:color w:val="FFFFFF"/>
                <w:sz w:val="18"/>
                <w:szCs w:val="18"/>
              </w:rPr>
              <w:t xml:space="preserve">Violation</w:t>
            </w:r>
          </w:p>
        </w:tc>
        <w:tc>
          <w:tcPr>
            <w:tcW w:type="dxa" w:w="1800"/>
            <w:shd w:fill="1B3A6B" w:color="auto" w:val="clear"/>
            <w:tcMar>
              <w:top w:type="dxa" w:w="80"/>
              <w:left w:type="dxa" w:w="120"/>
              <w:bottom w:type="dxa" w:w="80"/>
              <w:right w:type="dxa" w:w="120"/>
            </w:tcMar>
          </w:tcPr>
          <w:p>
            <w:pPr>
              <w:jc w:val="center"/>
            </w:pPr>
            <w:r>
              <w:rPr>
                <w:b/>
                <w:bCs/>
                <w:color w:val="FFFFFF"/>
                <w:sz w:val="18"/>
                <w:szCs w:val="18"/>
              </w:rPr>
              <w:t xml:space="preserve">First Occurrence</w:t>
            </w:r>
          </w:p>
        </w:tc>
        <w:tc>
          <w:tcPr>
            <w:tcW w:type="dxa" w:w="2000"/>
            <w:shd w:fill="1B3A6B" w:color="auto" w:val="clear"/>
            <w:tcMar>
              <w:top w:type="dxa" w:w="80"/>
              <w:left w:type="dxa" w:w="120"/>
              <w:bottom w:type="dxa" w:w="80"/>
              <w:right w:type="dxa" w:w="120"/>
            </w:tcMar>
          </w:tcPr>
          <w:p>
            <w:pPr>
              <w:jc w:val="center"/>
            </w:pPr>
            <w:r>
              <w:rPr>
                <w:b/>
                <w:bCs/>
                <w:color w:val="FFFFFF"/>
                <w:sz w:val="18"/>
                <w:szCs w:val="18"/>
              </w:rPr>
              <w:t xml:space="preserve">Repeat Occurrence</w:t>
            </w:r>
          </w:p>
        </w:tc>
        <w:tc>
          <w:tcPr>
            <w:tcW w:type="dxa" w:w="2600"/>
            <w:shd w:fill="1B3A6B" w:color="auto" w:val="clear"/>
            <w:tcMar>
              <w:top w:type="dxa" w:w="80"/>
              <w:left w:type="dxa" w:w="120"/>
              <w:bottom w:type="dxa" w:w="80"/>
              <w:right w:type="dxa" w:w="120"/>
            </w:tcMar>
          </w:tcPr>
          <w:p>
            <w:pPr>
              <w:jc w:val="center"/>
            </w:pPr>
            <w:r>
              <w:rPr>
                <w:b/>
                <w:bCs/>
                <w:color w:val="FFFFFF"/>
                <w:sz w:val="18"/>
                <w:szCs w:val="18"/>
              </w:rPr>
              <w:t xml:space="preserve">Systemic (3+ incidents)</w:t>
            </w:r>
          </w:p>
        </w:tc>
      </w:tr>
      <w:tr>
        <w:tc>
          <w:tcPr>
            <w:tcW w:type="dxa" w:w="2800"/>
            <w:shd w:fill="F0F4FF" w:color="auto" w:val="clear"/>
            <w:tcMar>
              <w:top w:type="dxa" w:w="80"/>
              <w:left w:type="dxa" w:w="120"/>
              <w:bottom w:type="dxa" w:w="80"/>
              <w:right w:type="dxa" w:w="120"/>
            </w:tcMar>
          </w:tcPr>
          <w:p>
            <w:pPr>
              <w:jc w:val="left"/>
            </w:pPr>
            <w:r>
              <w:rPr>
                <w:color w:val="1F2937"/>
                <w:sz w:val="18"/>
                <w:szCs w:val="18"/>
              </w:rPr>
              <w:t xml:space="preserve">Credit card issued without KYC completion</w:t>
            </w:r>
          </w:p>
        </w:tc>
        <w:tc>
          <w:tcPr>
            <w:tcW w:type="dxa" w:w="1800"/>
            <w:shd w:fill="F0F4FF" w:color="auto" w:val="clear"/>
            <w:tcMar>
              <w:top w:type="dxa" w:w="80"/>
              <w:left w:type="dxa" w:w="120"/>
              <w:bottom w:type="dxa" w:w="80"/>
              <w:right w:type="dxa" w:w="120"/>
            </w:tcMar>
          </w:tcPr>
          <w:p>
            <w:pPr>
              <w:jc w:val="center"/>
            </w:pPr>
            <w:r>
              <w:rPr>
                <w:color w:val="1F2937"/>
                <w:sz w:val="18"/>
                <w:szCs w:val="18"/>
              </w:rPr>
              <w:t xml:space="preserve">₹10,000</w:t>
            </w:r>
          </w:p>
        </w:tc>
        <w:tc>
          <w:tcPr>
            <w:tcW w:type="dxa" w:w="2000"/>
            <w:shd w:fill="F0F4FF" w:color="auto" w:val="clear"/>
            <w:tcMar>
              <w:top w:type="dxa" w:w="80"/>
              <w:left w:type="dxa" w:w="120"/>
              <w:bottom w:type="dxa" w:w="80"/>
              <w:right w:type="dxa" w:w="120"/>
            </w:tcMar>
          </w:tcPr>
          <w:p>
            <w:pPr>
              <w:jc w:val="center"/>
            </w:pPr>
            <w:r>
              <w:rPr>
                <w:color w:val="1F2937"/>
                <w:sz w:val="18"/>
                <w:szCs w:val="18"/>
              </w:rPr>
              <w:t xml:space="preserve">₹50,000 + show cause</w:t>
            </w:r>
          </w:p>
        </w:tc>
        <w:tc>
          <w:tcPr>
            <w:tcW w:type="dxa" w:w="2600"/>
            <w:shd w:fill="F0F4FF" w:color="auto" w:val="clear"/>
            <w:tcMar>
              <w:top w:type="dxa" w:w="80"/>
              <w:left w:type="dxa" w:w="120"/>
              <w:bottom w:type="dxa" w:w="80"/>
              <w:right w:type="dxa" w:w="120"/>
            </w:tcMar>
          </w:tcPr>
          <w:p>
            <w:pPr>
              <w:jc w:val="center"/>
            </w:pPr>
            <w:r>
              <w:rPr>
                <w:color w:val="1F2937"/>
                <w:sz w:val="18"/>
                <w:szCs w:val="18"/>
              </w:rPr>
              <w:t xml:space="preserve">Regulatory reporting + product suspension</w:t>
            </w:r>
          </w:p>
        </w:tc>
      </w:tr>
      <w:tr>
        <w:tc>
          <w:tcPr>
            <w:tcW w:type="dxa" w:w="2800"/>
            <w:shd w:fill="FFFFFF" w:color="auto" w:val="clear"/>
            <w:tcMar>
              <w:top w:type="dxa" w:w="80"/>
              <w:left w:type="dxa" w:w="120"/>
              <w:bottom w:type="dxa" w:w="80"/>
              <w:right w:type="dxa" w:w="120"/>
            </w:tcMar>
          </w:tcPr>
          <w:p>
            <w:pPr>
              <w:jc w:val="left"/>
            </w:pPr>
            <w:r>
              <w:rPr>
                <w:color w:val="1F2937"/>
                <w:sz w:val="18"/>
                <w:szCs w:val="18"/>
              </w:rPr>
              <w:t xml:space="preserve">Unsolicited card dispatched</w:t>
            </w:r>
          </w:p>
        </w:tc>
        <w:tc>
          <w:tcPr>
            <w:tcW w:type="dxa" w:w="1800"/>
            <w:shd w:fill="FFFFFF" w:color="auto" w:val="clear"/>
            <w:tcMar>
              <w:top w:type="dxa" w:w="80"/>
              <w:left w:type="dxa" w:w="120"/>
              <w:bottom w:type="dxa" w:w="80"/>
              <w:right w:type="dxa" w:w="120"/>
            </w:tcMar>
          </w:tcPr>
          <w:p>
            <w:pPr>
              <w:jc w:val="center"/>
            </w:pPr>
            <w:r>
              <w:rPr>
                <w:color w:val="1F2937"/>
                <w:sz w:val="18"/>
                <w:szCs w:val="18"/>
              </w:rPr>
              <w:t xml:space="preserve">₹25,000 per card</w:t>
            </w:r>
          </w:p>
        </w:tc>
        <w:tc>
          <w:tcPr>
            <w:tcW w:type="dxa" w:w="2000"/>
            <w:shd w:fill="FFFFFF" w:color="auto" w:val="clear"/>
            <w:tcMar>
              <w:top w:type="dxa" w:w="80"/>
              <w:left w:type="dxa" w:w="120"/>
              <w:bottom w:type="dxa" w:w="80"/>
              <w:right w:type="dxa" w:w="120"/>
            </w:tcMar>
          </w:tcPr>
          <w:p>
            <w:pPr>
              <w:jc w:val="center"/>
            </w:pPr>
            <w:r>
              <w:rPr>
                <w:color w:val="1F2937"/>
                <w:sz w:val="18"/>
                <w:szCs w:val="18"/>
              </w:rPr>
              <w:t xml:space="preserve">₹1,00,000 + BRCC review</w:t>
            </w:r>
          </w:p>
        </w:tc>
        <w:tc>
          <w:tcPr>
            <w:tcW w:type="dxa" w:w="2600"/>
            <w:shd w:fill="FFFFFF" w:color="auto" w:val="clear"/>
            <w:tcMar>
              <w:top w:type="dxa" w:w="80"/>
              <w:left w:type="dxa" w:w="120"/>
              <w:bottom w:type="dxa" w:w="80"/>
              <w:right w:type="dxa" w:w="120"/>
            </w:tcMar>
          </w:tcPr>
          <w:p>
            <w:pPr>
              <w:jc w:val="center"/>
            </w:pPr>
            <w:r>
              <w:rPr>
                <w:color w:val="1F2937"/>
                <w:sz w:val="18"/>
                <w:szCs w:val="18"/>
              </w:rPr>
              <w:t xml:space="preserve">Product recall + RBI notification</w:t>
            </w:r>
          </w:p>
        </w:tc>
      </w:tr>
      <w:tr>
        <w:tc>
          <w:tcPr>
            <w:tcW w:type="dxa" w:w="2800"/>
            <w:shd w:fill="F0F4FF" w:color="auto" w:val="clear"/>
            <w:tcMar>
              <w:top w:type="dxa" w:w="80"/>
              <w:left w:type="dxa" w:w="120"/>
              <w:bottom w:type="dxa" w:w="80"/>
              <w:right w:type="dxa" w:w="120"/>
            </w:tcMar>
          </w:tcPr>
          <w:p>
            <w:pPr>
              <w:jc w:val="left"/>
            </w:pPr>
            <w:r>
              <w:rPr>
                <w:color w:val="1F2937"/>
                <w:sz w:val="18"/>
                <w:szCs w:val="18"/>
              </w:rPr>
              <w:t xml:space="preserve">Late Payment fee exceeds permissible limit</w:t>
            </w:r>
          </w:p>
        </w:tc>
        <w:tc>
          <w:tcPr>
            <w:tcW w:type="dxa" w:w="1800"/>
            <w:shd w:fill="F0F4FF" w:color="auto" w:val="clear"/>
            <w:tcMar>
              <w:top w:type="dxa" w:w="80"/>
              <w:left w:type="dxa" w:w="120"/>
              <w:bottom w:type="dxa" w:w="80"/>
              <w:right w:type="dxa" w:w="120"/>
            </w:tcMar>
          </w:tcPr>
          <w:p>
            <w:pPr>
              <w:jc w:val="center"/>
            </w:pPr>
            <w:r>
              <w:rPr>
                <w:color w:val="1F2937"/>
                <w:sz w:val="18"/>
                <w:szCs w:val="18"/>
              </w:rPr>
              <w:t xml:space="preserve">Refund + ₹5,000</w:t>
            </w:r>
          </w:p>
        </w:tc>
        <w:tc>
          <w:tcPr>
            <w:tcW w:type="dxa" w:w="2000"/>
            <w:shd w:fill="F0F4FF" w:color="auto" w:val="clear"/>
            <w:tcMar>
              <w:top w:type="dxa" w:w="80"/>
              <w:left w:type="dxa" w:w="120"/>
              <w:bottom w:type="dxa" w:w="80"/>
              <w:right w:type="dxa" w:w="120"/>
            </w:tcMar>
          </w:tcPr>
          <w:p>
            <w:pPr>
              <w:jc w:val="center"/>
            </w:pPr>
            <w:r>
              <w:rPr>
                <w:color w:val="1F2937"/>
                <w:sz w:val="18"/>
                <w:szCs w:val="18"/>
              </w:rPr>
              <w:t xml:space="preserve">Refund + ₹25,000 + audit</w:t>
            </w:r>
          </w:p>
        </w:tc>
        <w:tc>
          <w:tcPr>
            <w:tcW w:type="dxa" w:w="2600"/>
            <w:shd w:fill="F0F4FF" w:color="auto" w:val="clear"/>
            <w:tcMar>
              <w:top w:type="dxa" w:w="80"/>
              <w:left w:type="dxa" w:w="120"/>
              <w:bottom w:type="dxa" w:w="80"/>
              <w:right w:type="dxa" w:w="120"/>
            </w:tcMar>
          </w:tcPr>
          <w:p>
            <w:pPr>
              <w:jc w:val="center"/>
            </w:pPr>
            <w:r>
              <w:rPr>
                <w:color w:val="1F2937"/>
                <w:sz w:val="18"/>
                <w:szCs w:val="18"/>
              </w:rPr>
              <w:t xml:space="preserve">Full portfolio review + RBI reporting</w:t>
            </w:r>
          </w:p>
        </w:tc>
      </w:tr>
      <w:tr>
        <w:tc>
          <w:tcPr>
            <w:tcW w:type="dxa" w:w="2800"/>
            <w:shd w:fill="FFFFFF" w:color="auto" w:val="clear"/>
            <w:tcMar>
              <w:top w:type="dxa" w:w="80"/>
              <w:left w:type="dxa" w:w="120"/>
              <w:bottom w:type="dxa" w:w="80"/>
              <w:right w:type="dxa" w:w="120"/>
            </w:tcMar>
          </w:tcPr>
          <w:p>
            <w:pPr>
              <w:jc w:val="left"/>
            </w:pPr>
            <w:r>
              <w:rPr>
                <w:color w:val="1F2937"/>
                <w:sz w:val="18"/>
                <w:szCs w:val="18"/>
              </w:rPr>
              <w:t xml:space="preserve">Fraud not reported to RBI within 24 hrs</w:t>
            </w:r>
          </w:p>
        </w:tc>
        <w:tc>
          <w:tcPr>
            <w:tcW w:type="dxa" w:w="1800"/>
            <w:shd w:fill="FFFFFF" w:color="auto" w:val="clear"/>
            <w:tcMar>
              <w:top w:type="dxa" w:w="80"/>
              <w:left w:type="dxa" w:w="120"/>
              <w:bottom w:type="dxa" w:w="80"/>
              <w:right w:type="dxa" w:w="120"/>
            </w:tcMar>
          </w:tcPr>
          <w:p>
            <w:pPr>
              <w:jc w:val="center"/>
            </w:pPr>
            <w:r>
              <w:rPr>
                <w:color w:val="1F2937"/>
                <w:sz w:val="18"/>
                <w:szCs w:val="18"/>
              </w:rPr>
              <w:t xml:space="preserve">₹50,000</w:t>
            </w:r>
          </w:p>
        </w:tc>
        <w:tc>
          <w:tcPr>
            <w:tcW w:type="dxa" w:w="2000"/>
            <w:shd w:fill="FFFFFF" w:color="auto" w:val="clear"/>
            <w:tcMar>
              <w:top w:type="dxa" w:w="80"/>
              <w:left w:type="dxa" w:w="120"/>
              <w:bottom w:type="dxa" w:w="80"/>
              <w:right w:type="dxa" w:w="120"/>
            </w:tcMar>
          </w:tcPr>
          <w:p>
            <w:pPr>
              <w:jc w:val="center"/>
            </w:pPr>
            <w:r>
              <w:rPr>
                <w:color w:val="1F2937"/>
                <w:sz w:val="18"/>
                <w:szCs w:val="18"/>
              </w:rPr>
              <w:t xml:space="preserve">₹2,00,000 + show cause</w:t>
            </w:r>
          </w:p>
        </w:tc>
        <w:tc>
          <w:tcPr>
            <w:tcW w:type="dxa" w:w="2600"/>
            <w:shd w:fill="FFFFFF" w:color="auto" w:val="clear"/>
            <w:tcMar>
              <w:top w:type="dxa" w:w="80"/>
              <w:left w:type="dxa" w:w="120"/>
              <w:bottom w:type="dxa" w:w="80"/>
              <w:right w:type="dxa" w:w="120"/>
            </w:tcMar>
          </w:tcPr>
          <w:p>
            <w:pPr>
              <w:jc w:val="center"/>
            </w:pPr>
            <w:r>
              <w:rPr>
                <w:color w:val="1F2937"/>
                <w:sz w:val="18"/>
                <w:szCs w:val="18"/>
              </w:rPr>
              <w:t xml:space="preserve">BRCC review + RBI escalation</w:t>
            </w:r>
          </w:p>
        </w:tc>
      </w:tr>
      <w:tr>
        <w:tc>
          <w:tcPr>
            <w:tcW w:type="dxa" w:w="2800"/>
            <w:shd w:fill="F0F4FF" w:color="auto" w:val="clear"/>
            <w:tcMar>
              <w:top w:type="dxa" w:w="80"/>
              <w:left w:type="dxa" w:w="120"/>
              <w:bottom w:type="dxa" w:w="80"/>
              <w:right w:type="dxa" w:w="120"/>
            </w:tcMar>
          </w:tcPr>
          <w:p>
            <w:pPr>
              <w:jc w:val="left"/>
            </w:pPr>
            <w:r>
              <w:rPr>
                <w:color w:val="1F2937"/>
                <w:sz w:val="18"/>
                <w:szCs w:val="18"/>
              </w:rPr>
              <w:t xml:space="preserve">Data breach not reported to RBI within 6 hrs</w:t>
            </w:r>
          </w:p>
        </w:tc>
        <w:tc>
          <w:tcPr>
            <w:tcW w:type="dxa" w:w="1800"/>
            <w:shd w:fill="F0F4FF" w:color="auto" w:val="clear"/>
            <w:tcMar>
              <w:top w:type="dxa" w:w="80"/>
              <w:left w:type="dxa" w:w="120"/>
              <w:bottom w:type="dxa" w:w="80"/>
              <w:right w:type="dxa" w:w="120"/>
            </w:tcMar>
          </w:tcPr>
          <w:p>
            <w:pPr>
              <w:jc w:val="center"/>
            </w:pPr>
            <w:r>
              <w:rPr>
                <w:color w:val="1F2937"/>
                <w:sz w:val="18"/>
                <w:szCs w:val="18"/>
              </w:rPr>
              <w:t xml:space="preserve">₹1,00,000</w:t>
            </w:r>
          </w:p>
        </w:tc>
        <w:tc>
          <w:tcPr>
            <w:tcW w:type="dxa" w:w="2000"/>
            <w:shd w:fill="F0F4FF" w:color="auto" w:val="clear"/>
            <w:tcMar>
              <w:top w:type="dxa" w:w="80"/>
              <w:left w:type="dxa" w:w="120"/>
              <w:bottom w:type="dxa" w:w="80"/>
              <w:right w:type="dxa" w:w="120"/>
            </w:tcMar>
          </w:tcPr>
          <w:p>
            <w:pPr>
              <w:jc w:val="center"/>
            </w:pPr>
            <w:r>
              <w:rPr>
                <w:color w:val="1F2937"/>
                <w:sz w:val="18"/>
                <w:szCs w:val="18"/>
              </w:rPr>
              <w:t xml:space="preserve">₹5,00,000 + board review</w:t>
            </w:r>
          </w:p>
        </w:tc>
        <w:tc>
          <w:tcPr>
            <w:tcW w:type="dxa" w:w="2600"/>
            <w:shd w:fill="F0F4FF" w:color="auto" w:val="clear"/>
            <w:tcMar>
              <w:top w:type="dxa" w:w="80"/>
              <w:left w:type="dxa" w:w="120"/>
              <w:bottom w:type="dxa" w:w="80"/>
              <w:right w:type="dxa" w:w="120"/>
            </w:tcMar>
          </w:tcPr>
          <w:p>
            <w:pPr>
              <w:jc w:val="center"/>
            </w:pPr>
            <w:r>
              <w:rPr>
                <w:color w:val="1F2937"/>
                <w:sz w:val="18"/>
                <w:szCs w:val="18"/>
              </w:rPr>
              <w:t xml:space="preserve">RBI notification mandatory</w:t>
            </w:r>
          </w:p>
        </w:tc>
      </w:tr>
      <w:tr>
        <w:tc>
          <w:tcPr>
            <w:tcW w:type="dxa" w:w="2800"/>
            <w:shd w:fill="FFFFFF" w:color="auto" w:val="clear"/>
            <w:tcMar>
              <w:top w:type="dxa" w:w="80"/>
              <w:left w:type="dxa" w:w="120"/>
              <w:bottom w:type="dxa" w:w="80"/>
              <w:right w:type="dxa" w:w="120"/>
            </w:tcMar>
          </w:tcPr>
          <w:p>
            <w:pPr>
              <w:jc w:val="left"/>
            </w:pPr>
            <w:r>
              <w:rPr>
                <w:color w:val="1F2937"/>
                <w:sz w:val="18"/>
                <w:szCs w:val="18"/>
              </w:rPr>
              <w:t xml:space="preserve">STR not filed with FIU-IND</w:t>
            </w:r>
          </w:p>
        </w:tc>
        <w:tc>
          <w:tcPr>
            <w:tcW w:type="dxa" w:w="1800"/>
            <w:shd w:fill="FFFFFF" w:color="auto" w:val="clear"/>
            <w:tcMar>
              <w:top w:type="dxa" w:w="80"/>
              <w:left w:type="dxa" w:w="120"/>
              <w:bottom w:type="dxa" w:w="80"/>
              <w:right w:type="dxa" w:w="120"/>
            </w:tcMar>
          </w:tcPr>
          <w:p>
            <w:pPr>
              <w:jc w:val="center"/>
            </w:pPr>
            <w:r>
              <w:rPr>
                <w:color w:val="1F2937"/>
                <w:sz w:val="18"/>
                <w:szCs w:val="18"/>
              </w:rPr>
              <w:t xml:space="preserve">₹1,00,000 + warning</w:t>
            </w:r>
          </w:p>
        </w:tc>
        <w:tc>
          <w:tcPr>
            <w:tcW w:type="dxa" w:w="2000"/>
            <w:shd w:fill="FFFFFF" w:color="auto" w:val="clear"/>
            <w:tcMar>
              <w:top w:type="dxa" w:w="80"/>
              <w:left w:type="dxa" w:w="120"/>
              <w:bottom w:type="dxa" w:w="80"/>
              <w:right w:type="dxa" w:w="120"/>
            </w:tcMar>
          </w:tcPr>
          <w:p>
            <w:pPr>
              <w:jc w:val="center"/>
            </w:pPr>
            <w:r>
              <w:rPr>
                <w:color w:val="1F2937"/>
                <w:sz w:val="18"/>
                <w:szCs w:val="18"/>
              </w:rPr>
              <w:t xml:space="preserve">₹5,00,000 + PMLA review</w:t>
            </w:r>
          </w:p>
        </w:tc>
        <w:tc>
          <w:tcPr>
            <w:tcW w:type="dxa" w:w="2600"/>
            <w:shd w:fill="FFFFFF" w:color="auto" w:val="clear"/>
            <w:tcMar>
              <w:top w:type="dxa" w:w="80"/>
              <w:left w:type="dxa" w:w="120"/>
              <w:bottom w:type="dxa" w:w="80"/>
              <w:right w:type="dxa" w:w="120"/>
            </w:tcMar>
          </w:tcPr>
          <w:p>
            <w:pPr>
              <w:jc w:val="center"/>
            </w:pPr>
            <w:r>
              <w:rPr>
                <w:color w:val="1F2937"/>
                <w:sz w:val="18"/>
                <w:szCs w:val="18"/>
              </w:rPr>
              <w:t xml:space="preserve">External legal opinion + RBI reporting</w:t>
            </w:r>
          </w:p>
        </w:tc>
      </w:tr>
    </w:tbl>
    <w:p>
      <w:pPr>
        <w:spacing w:before="80"/>
      </w:pPr>
      <w:r>
        <w:t xml:space="preserve"/>
      </w:r>
    </w:p>
    <w:p>
      <w:pPr>
        <w:spacing w:after="60" w:before="100"/>
        <w:ind w:left="360"/>
      </w:pPr>
      <w:r>
        <w:rPr>
          <w:b/>
          <w:bCs/>
          <w:color w:val="6B7280"/>
          <w:sz w:val="20"/>
          <w:szCs w:val="20"/>
        </w:rPr>
        <w:t xml:space="preserve">14.3  </w:t>
      </w:r>
      <w:r>
        <w:rPr>
          <w:color w:val="1F2937"/>
          <w:sz w:val="20"/>
          <w:szCs w:val="20"/>
        </w:rPr>
        <w:t xml:space="preserve">All compliance violations must be recorded in the Compliance Tracking System (CTS) within 24 hours of identification. Root Cause Analysis (RCA) and Corrective &amp; Preventive Action (CAPA) plans must be documented for Level 3 and Level 4 violations.</w:t>
      </w:r>
    </w:p>
    <w:p>
      <w:pPr>
        <w:spacing w:after="80" w:before="240"/>
      </w:pPr>
      <w:r>
        <w:rPr>
          <w:b/>
          <w:bCs/>
          <w:color w:val="B45309"/>
          <w:sz w:val="22"/>
          <w:szCs w:val="22"/>
        </w:rPr>
        <w:t xml:space="preserve">15.  </w:t>
      </w:r>
      <w:r>
        <w:rPr>
          <w:b/>
          <w:bCs/>
          <w:color w:val="1B3A6B"/>
          <w:sz w:val="22"/>
          <w:szCs w:val="22"/>
        </w:rPr>
        <w:t xml:space="preserve">TRAINING &amp; AWARENESS</w:t>
      </w:r>
    </w:p>
    <w:p>
      <w:pPr>
        <w:spacing w:after="60" w:before="100"/>
        <w:ind w:left="360"/>
      </w:pPr>
      <w:r>
        <w:rPr>
          <w:b/>
          <w:bCs/>
          <w:color w:val="6B7280"/>
          <w:sz w:val="20"/>
          <w:szCs w:val="20"/>
        </w:rPr>
        <w:t xml:space="preserve">15.1  </w:t>
      </w:r>
      <w:r>
        <w:rPr>
          <w:color w:val="1F2937"/>
          <w:sz w:val="20"/>
          <w:szCs w:val="20"/>
        </w:rPr>
        <w:t xml:space="preserve">All employees involved in credit card operations must complete mandatory compliance training:</w:t>
      </w:r>
    </w:p>
    <w:p>
      <w:pPr>
        <w:spacing w:after="40" w:before="60"/>
        <w:ind w:left="360"/>
      </w:pPr>
      <w:r>
        <w:rPr>
          <w:color w:val="374151"/>
          <w:sz w:val="20"/>
          <w:szCs w:val="20"/>
        </w:rPr>
        <w:t xml:space="preserve">• Induction training: Within 30 days of joining – covers KYC, AML, Fair Practices Code, Fraud Prevention</w:t>
      </w:r>
    </w:p>
    <w:p>
      <w:pPr>
        <w:spacing w:after="40" w:before="60"/>
        <w:ind w:left="360"/>
      </w:pPr>
      <w:r>
        <w:rPr>
          <w:color w:val="374151"/>
          <w:sz w:val="20"/>
          <w:szCs w:val="20"/>
        </w:rPr>
        <w:t xml:space="preserve">• Annual refresher: Every 12 months – minimum 4 hours duration with assessment</w:t>
      </w:r>
    </w:p>
    <w:p>
      <w:pPr>
        <w:spacing w:after="40" w:before="60"/>
        <w:ind w:left="360"/>
      </w:pPr>
      <w:r>
        <w:rPr>
          <w:color w:val="374151"/>
          <w:sz w:val="20"/>
          <w:szCs w:val="20"/>
        </w:rPr>
        <w:t xml:space="preserve">• Regulatory update training: Within 30 days of any new RBI circular relevant to credit cards</w:t>
      </w:r>
    </w:p>
    <w:p>
      <w:pPr>
        <w:spacing w:after="60" w:before="100"/>
        <w:ind w:left="360"/>
      </w:pPr>
      <w:r>
        <w:rPr>
          <w:b/>
          <w:bCs/>
          <w:color w:val="6B7280"/>
          <w:sz w:val="20"/>
          <w:szCs w:val="20"/>
        </w:rPr>
        <w:t xml:space="preserve">15.2  </w:t>
      </w:r>
      <w:r>
        <w:rPr>
          <w:color w:val="1F2937"/>
          <w:sz w:val="20"/>
          <w:szCs w:val="20"/>
        </w:rPr>
        <w:t xml:space="preserve">Minimum passing score for compliance training assessments is 75%. Employees who fail must retake within 15 days. Failure in retake triggers escalation to HR and line manager.</w:t>
      </w:r>
    </w:p>
    <w:p>
      <w:pPr>
        <w:spacing w:after="60" w:before="100"/>
        <w:ind w:left="360"/>
      </w:pPr>
      <w:r>
        <w:rPr>
          <w:b/>
          <w:bCs/>
          <w:color w:val="6B7280"/>
          <w:sz w:val="20"/>
          <w:szCs w:val="20"/>
        </w:rPr>
        <w:t xml:space="preserve">15.3  </w:t>
      </w:r>
      <w:r>
        <w:rPr>
          <w:color w:val="1F2937"/>
          <w:sz w:val="20"/>
          <w:szCs w:val="20"/>
        </w:rPr>
        <w:t xml:space="preserve">Training completion records must be maintained for 5 years and made available to RBI inspectors on request.</w:t>
      </w:r>
    </w:p>
    <w:p>
      <w:pPr>
        <w:spacing w:after="80" w:before="240"/>
      </w:pPr>
      <w:r>
        <w:rPr>
          <w:b/>
          <w:bCs/>
          <w:color w:val="B45309"/>
          <w:sz w:val="22"/>
          <w:szCs w:val="22"/>
        </w:rPr>
        <w:t xml:space="preserve">16.  </w:t>
      </w:r>
      <w:r>
        <w:rPr>
          <w:b/>
          <w:bCs/>
          <w:color w:val="1B3A6B"/>
          <w:sz w:val="22"/>
          <w:szCs w:val="22"/>
        </w:rPr>
        <w:t xml:space="preserve">POLICY REVIEW &amp; AMENDMENTS</w:t>
      </w:r>
    </w:p>
    <w:p>
      <w:pPr>
        <w:spacing w:after="60" w:before="100"/>
        <w:ind w:left="360"/>
      </w:pPr>
      <w:r>
        <w:rPr>
          <w:b/>
          <w:bCs/>
          <w:color w:val="6B7280"/>
          <w:sz w:val="20"/>
          <w:szCs w:val="20"/>
        </w:rPr>
        <w:t xml:space="preserve">16.1  </w:t>
      </w:r>
      <w:r>
        <w:rPr>
          <w:color w:val="1F2937"/>
          <w:sz w:val="20"/>
          <w:szCs w:val="20"/>
        </w:rPr>
        <w:t xml:space="preserve">This policy shall be reviewed:</w:t>
      </w:r>
    </w:p>
    <w:p>
      <w:pPr>
        <w:spacing w:after="40" w:before="60"/>
        <w:ind w:left="360"/>
      </w:pPr>
      <w:r>
        <w:rPr>
          <w:color w:val="374151"/>
          <w:sz w:val="20"/>
          <w:szCs w:val="20"/>
        </w:rPr>
        <w:t xml:space="preserve">• Annually: Before 31 March each year by the Compliance Department</w:t>
      </w:r>
    </w:p>
    <w:p>
      <w:pPr>
        <w:spacing w:after="40" w:before="60"/>
        <w:ind w:left="360"/>
      </w:pPr>
      <w:r>
        <w:rPr>
          <w:color w:val="374151"/>
          <w:sz w:val="20"/>
          <w:szCs w:val="20"/>
        </w:rPr>
        <w:t xml:space="preserve">• On issuance of new RBI circular: Within 30 days of the circular</w:t>
      </w:r>
    </w:p>
    <w:p>
      <w:pPr>
        <w:spacing w:after="40" w:before="60"/>
        <w:ind w:left="360"/>
      </w:pPr>
      <w:r>
        <w:rPr>
          <w:color w:val="374151"/>
          <w:sz w:val="20"/>
          <w:szCs w:val="20"/>
        </w:rPr>
        <w:t xml:space="preserve">• Post-RBI inspection: Within 60 days of receipt of inspection report</w:t>
      </w:r>
    </w:p>
    <w:p>
      <w:pPr>
        <w:spacing w:after="40" w:before="60"/>
        <w:ind w:left="360"/>
      </w:pPr>
      <w:r>
        <w:rPr>
          <w:color w:val="374151"/>
          <w:sz w:val="20"/>
          <w:szCs w:val="20"/>
        </w:rPr>
        <w:t xml:space="preserve">• On direction of BRCC or Board: Immediately</w:t>
      </w:r>
    </w:p>
    <w:p>
      <w:pPr>
        <w:spacing w:after="60" w:before="100"/>
        <w:ind w:left="360"/>
      </w:pPr>
      <w:r>
        <w:rPr>
          <w:b/>
          <w:bCs/>
          <w:color w:val="6B7280"/>
          <w:sz w:val="20"/>
          <w:szCs w:val="20"/>
        </w:rPr>
        <w:t xml:space="preserve">16.2  </w:t>
      </w:r>
      <w:r>
        <w:rPr>
          <w:color w:val="1F2937"/>
          <w:sz w:val="20"/>
          <w:szCs w:val="20"/>
        </w:rPr>
        <w:t xml:space="preserve">Material amendments to this policy require approval of the Board Risk &amp; Compliance Committee. Minor amendments (factual corrections, reference updates) may be approved by the CCO.</w:t>
      </w:r>
    </w:p>
    <w:p>
      <w:pPr>
        <w:spacing w:after="60" w:before="100"/>
        <w:ind w:left="360"/>
      </w:pPr>
      <w:r>
        <w:rPr>
          <w:b/>
          <w:bCs/>
          <w:color w:val="6B7280"/>
          <w:sz w:val="20"/>
          <w:szCs w:val="20"/>
        </w:rPr>
        <w:t xml:space="preserve">16.3  </w:t>
      </w:r>
      <w:r>
        <w:rPr>
          <w:color w:val="1F2937"/>
          <w:sz w:val="20"/>
          <w:szCs w:val="20"/>
        </w:rPr>
        <w:t xml:space="preserve">Version control: All versions of this policy shall be maintained in the Document Management System (DMS) with change log. Superseded versions must be archived for minimum 8 years.</w:t>
      </w:r>
    </w:p>
    <w:p>
      <w:pPr>
        <w:spacing w:after="60" w:before="100"/>
        <w:ind w:left="360"/>
      </w:pPr>
      <w:r>
        <w:rPr>
          <w:b/>
          <w:bCs/>
          <w:color w:val="6B7280"/>
          <w:sz w:val="20"/>
          <w:szCs w:val="20"/>
        </w:rPr>
        <w:t xml:space="preserve">16.4  </w:t>
      </w:r>
      <w:r>
        <w:rPr>
          <w:color w:val="1F2937"/>
          <w:sz w:val="20"/>
          <w:szCs w:val="20"/>
        </w:rPr>
        <w:t xml:space="preserve">Policy circulation: On approval, the updated policy shall be circulated to all relevant departments within 5 working days by the Compliance team. Acknowledgement of receipt must be obtained and maintained.</w:t>
      </w:r>
    </w:p>
    <w:p>
      <w:pPr>
        <w:spacing w:before="160"/>
      </w:pPr>
      <w:r>
        <w:t xml:space="preserve"/>
      </w:r>
    </w:p>
    <w:p>
      <w:r>
        <w:br w:type="page"/>
      </w:r>
    </w:p>
    <w:p>
      <w:pPr>
        <w:pStyle w:val="Heading1"/>
        <w:pBdr>
          <w:bottom w:val="single" w:color="1B3A6B" w:sz="6"/>
        </w:pBdr>
        <w:spacing w:after="120" w:before="360"/>
        <w:rPr>
          <w:b/>
          <w:bCs/>
          <w:color w:val="1B3A6B"/>
          <w:sz w:val="28"/>
          <w:szCs w:val="28"/>
        </w:rPr>
      </w:pPr>
      <w:r>
        <w:t xml:space="preserve">APPROVAL &amp; SIGN-OFF</w:t>
      </w:r>
    </w:p>
    <w:p>
      <w:pPr>
        <w:spacing w:before="80"/>
      </w:pPr>
      <w:r>
        <w:t xml:space="preserve"/>
      </w:r>
    </w:p>
    <w:tbl>
      <w:tblPr>
        <w:tblW w:type="dxa" w:w="9200"/>
        <w:tblBorders>
          <w:top w:val="single" w:color="CBD5E1" w:sz="2"/>
          <w:left w:val="single" w:color="CBD5E1" w:sz="2"/>
          <w:bottom w:val="single" w:color="CBD5E1" w:sz="2"/>
          <w:right w:val="single" w:color="CBD5E1" w:sz="2"/>
          <w:insideH w:val="single" w:color="auto" w:sz="4"/>
          <w:insideV w:val="single" w:color="auto" w:sz="4"/>
        </w:tblBorders>
      </w:tblPr>
      <w:tblGrid>
        <w:gridCol w:w="2800"/>
        <w:gridCol w:w="2000"/>
        <w:gridCol w:w="2200"/>
        <w:gridCol w:w="2200"/>
      </w:tblGrid>
      <w:tr>
        <w:trPr>
          <w:tblHeader/>
        </w:trPr>
        <w:tc>
          <w:tcPr>
            <w:tcW w:type="dxa" w:w="2800"/>
            <w:shd w:fill="1B3A6B" w:color="auto" w:val="clear"/>
            <w:tcMar>
              <w:top w:type="dxa" w:w="80"/>
              <w:left w:type="dxa" w:w="120"/>
              <w:bottom w:type="dxa" w:w="80"/>
              <w:right w:type="dxa" w:w="120"/>
            </w:tcMar>
          </w:tcPr>
          <w:p>
            <w:pPr>
              <w:jc w:val="center"/>
            </w:pPr>
            <w:r>
              <w:rPr>
                <w:b/>
                <w:bCs/>
                <w:color w:val="FFFFFF"/>
                <w:sz w:val="18"/>
                <w:szCs w:val="18"/>
              </w:rPr>
              <w:t xml:space="preserve">Role</w:t>
            </w:r>
          </w:p>
        </w:tc>
        <w:tc>
          <w:tcPr>
            <w:tcW w:type="dxa" w:w="2000"/>
            <w:shd w:fill="1B3A6B" w:color="auto" w:val="clear"/>
            <w:tcMar>
              <w:top w:type="dxa" w:w="80"/>
              <w:left w:type="dxa" w:w="120"/>
              <w:bottom w:type="dxa" w:w="80"/>
              <w:right w:type="dxa" w:w="120"/>
            </w:tcMar>
          </w:tcPr>
          <w:p>
            <w:pPr>
              <w:jc w:val="center"/>
            </w:pPr>
            <w:r>
              <w:rPr>
                <w:b/>
                <w:bCs/>
                <w:color w:val="FFFFFF"/>
                <w:sz w:val="18"/>
                <w:szCs w:val="18"/>
              </w:rPr>
              <w:t xml:space="preserve">Name</w:t>
            </w:r>
          </w:p>
        </w:tc>
        <w:tc>
          <w:tcPr>
            <w:tcW w:type="dxa" w:w="2200"/>
            <w:shd w:fill="1B3A6B" w:color="auto" w:val="clear"/>
            <w:tcMar>
              <w:top w:type="dxa" w:w="80"/>
              <w:left w:type="dxa" w:w="120"/>
              <w:bottom w:type="dxa" w:w="80"/>
              <w:right w:type="dxa" w:w="120"/>
            </w:tcMar>
          </w:tcPr>
          <w:p>
            <w:pPr>
              <w:jc w:val="center"/>
            </w:pPr>
            <w:r>
              <w:rPr>
                <w:b/>
                <w:bCs/>
                <w:color w:val="FFFFFF"/>
                <w:sz w:val="18"/>
                <w:szCs w:val="18"/>
              </w:rPr>
              <w:t xml:space="preserve">Signature</w:t>
            </w:r>
          </w:p>
        </w:tc>
        <w:tc>
          <w:tcPr>
            <w:tcW w:type="dxa" w:w="2200"/>
            <w:shd w:fill="1B3A6B" w:color="auto" w:val="clear"/>
            <w:tcMar>
              <w:top w:type="dxa" w:w="80"/>
              <w:left w:type="dxa" w:w="120"/>
              <w:bottom w:type="dxa" w:w="80"/>
              <w:right w:type="dxa" w:w="120"/>
            </w:tcMar>
          </w:tcPr>
          <w:p>
            <w:pPr>
              <w:jc w:val="center"/>
            </w:pPr>
            <w:r>
              <w:rPr>
                <w:b/>
                <w:bCs/>
                <w:color w:val="FFFFFF"/>
                <w:sz w:val="18"/>
                <w:szCs w:val="18"/>
              </w:rPr>
              <w:t xml:space="preserve">Date</w:t>
            </w:r>
          </w:p>
        </w:tc>
      </w:tr>
      <w:tr>
        <w:tc>
          <w:tcPr>
            <w:tcW w:type="dxa" w:w="2800"/>
            <w:shd w:fill="F0F4FF" w:color="auto" w:val="clear"/>
            <w:tcMar>
              <w:top w:type="dxa" w:w="80"/>
              <w:left w:type="dxa" w:w="120"/>
              <w:bottom w:type="dxa" w:w="80"/>
              <w:right w:type="dxa" w:w="120"/>
            </w:tcMar>
          </w:tcPr>
          <w:p>
            <w:pPr>
              <w:jc w:val="left"/>
            </w:pPr>
            <w:r>
              <w:rPr>
                <w:color w:val="1F2937"/>
                <w:sz w:val="18"/>
                <w:szCs w:val="18"/>
              </w:rPr>
              <w:t xml:space="preserve">Prepared By – Chief Compliance Officer</w:t>
            </w:r>
          </w:p>
        </w:tc>
        <w:tc>
          <w:tcPr>
            <w:tcW w:type="dxa" w:w="2000"/>
            <w:shd w:fill="F0F4FF" w:color="auto" w:val="clear"/>
            <w:tcMar>
              <w:top w:type="dxa" w:w="80"/>
              <w:left w:type="dxa" w:w="120"/>
              <w:bottom w:type="dxa" w:w="80"/>
              <w:right w:type="dxa" w:w="120"/>
            </w:tcMar>
          </w:tcPr>
          <w:p>
            <w:pPr>
              <w:jc w:val="center"/>
            </w:pPr>
            <w:r>
              <w:rPr>
                <w:color w:val="1F2937"/>
                <w:sz w:val="18"/>
                <w:szCs w:val="18"/>
              </w:rPr>
              <w:t xml:space="preserve">Rajiv Menon</w:t>
            </w:r>
          </w:p>
        </w:tc>
        <w:tc>
          <w:tcPr>
            <w:tcW w:type="dxa" w:w="2200"/>
            <w:shd w:fill="F0F4FF" w:color="auto" w:val="clear"/>
            <w:tcMar>
              <w:top w:type="dxa" w:w="80"/>
              <w:left w:type="dxa" w:w="120"/>
              <w:bottom w:type="dxa" w:w="80"/>
              <w:right w:type="dxa" w:w="120"/>
            </w:tcMar>
          </w:tcPr>
          <w:p>
            <w:pPr>
              <w:jc w:val="center"/>
            </w:pPr>
            <w:r>
              <w:rPr>
                <w:color w:val="1F2937"/>
                <w:sz w:val="18"/>
                <w:szCs w:val="18"/>
              </w:rPr>
              <w:t xml:space="preserve">_______________</w:t>
            </w:r>
          </w:p>
        </w:tc>
        <w:tc>
          <w:tcPr>
            <w:tcW w:type="dxa" w:w="2200"/>
            <w:shd w:fill="F0F4FF" w:color="auto" w:val="clear"/>
            <w:tcMar>
              <w:top w:type="dxa" w:w="80"/>
              <w:left w:type="dxa" w:w="120"/>
              <w:bottom w:type="dxa" w:w="80"/>
              <w:right w:type="dxa" w:w="120"/>
            </w:tcMar>
          </w:tcPr>
          <w:p>
            <w:pPr>
              <w:jc w:val="center"/>
            </w:pPr>
            <w:r>
              <w:rPr>
                <w:color w:val="1F2937"/>
                <w:sz w:val="18"/>
                <w:szCs w:val="18"/>
              </w:rPr>
              <w:t xml:space="preserve">01 April 2024</w:t>
            </w:r>
          </w:p>
        </w:tc>
      </w:tr>
      <w:tr>
        <w:tc>
          <w:tcPr>
            <w:tcW w:type="dxa" w:w="2800"/>
            <w:shd w:fill="FFFFFF" w:color="auto" w:val="clear"/>
            <w:tcMar>
              <w:top w:type="dxa" w:w="80"/>
              <w:left w:type="dxa" w:w="120"/>
              <w:bottom w:type="dxa" w:w="80"/>
              <w:right w:type="dxa" w:w="120"/>
            </w:tcMar>
          </w:tcPr>
          <w:p>
            <w:pPr>
              <w:jc w:val="left"/>
            </w:pPr>
            <w:r>
              <w:rPr>
                <w:color w:val="1F2937"/>
                <w:sz w:val="18"/>
                <w:szCs w:val="18"/>
              </w:rPr>
              <w:t xml:space="preserve">Reviewed By – Chief Risk Officer</w:t>
            </w:r>
          </w:p>
        </w:tc>
        <w:tc>
          <w:tcPr>
            <w:tcW w:type="dxa" w:w="2000"/>
            <w:shd w:fill="FFFFFF" w:color="auto" w:val="clear"/>
            <w:tcMar>
              <w:top w:type="dxa" w:w="80"/>
              <w:left w:type="dxa" w:w="120"/>
              <w:bottom w:type="dxa" w:w="80"/>
              <w:right w:type="dxa" w:w="120"/>
            </w:tcMar>
          </w:tcPr>
          <w:p>
            <w:pPr>
              <w:jc w:val="center"/>
            </w:pPr>
            <w:r>
              <w:rPr>
                <w:color w:val="1F2937"/>
                <w:sz w:val="18"/>
                <w:szCs w:val="18"/>
              </w:rPr>
              <w:t xml:space="preserve">Sunita Krishnamurthy</w:t>
            </w:r>
          </w:p>
        </w:tc>
        <w:tc>
          <w:tcPr>
            <w:tcW w:type="dxa" w:w="2200"/>
            <w:shd w:fill="FFFFFF" w:color="auto" w:val="clear"/>
            <w:tcMar>
              <w:top w:type="dxa" w:w="80"/>
              <w:left w:type="dxa" w:w="120"/>
              <w:bottom w:type="dxa" w:w="80"/>
              <w:right w:type="dxa" w:w="120"/>
            </w:tcMar>
          </w:tcPr>
          <w:p>
            <w:pPr>
              <w:jc w:val="center"/>
            </w:pPr>
            <w:r>
              <w:rPr>
                <w:color w:val="1F2937"/>
                <w:sz w:val="18"/>
                <w:szCs w:val="18"/>
              </w:rPr>
              <w:t xml:space="preserve">_______________</w:t>
            </w:r>
          </w:p>
        </w:tc>
        <w:tc>
          <w:tcPr>
            <w:tcW w:type="dxa" w:w="2200"/>
            <w:shd w:fill="FFFFFF" w:color="auto" w:val="clear"/>
            <w:tcMar>
              <w:top w:type="dxa" w:w="80"/>
              <w:left w:type="dxa" w:w="120"/>
              <w:bottom w:type="dxa" w:w="80"/>
              <w:right w:type="dxa" w:w="120"/>
            </w:tcMar>
          </w:tcPr>
          <w:p>
            <w:pPr>
              <w:jc w:val="center"/>
            </w:pPr>
            <w:r>
              <w:rPr>
                <w:color w:val="1F2937"/>
                <w:sz w:val="18"/>
                <w:szCs w:val="18"/>
              </w:rPr>
              <w:t xml:space="preserve">05 April 2024</w:t>
            </w:r>
          </w:p>
        </w:tc>
      </w:tr>
      <w:tr>
        <w:tc>
          <w:tcPr>
            <w:tcW w:type="dxa" w:w="2800"/>
            <w:shd w:fill="F0F4FF" w:color="auto" w:val="clear"/>
            <w:tcMar>
              <w:top w:type="dxa" w:w="80"/>
              <w:left w:type="dxa" w:w="120"/>
              <w:bottom w:type="dxa" w:w="80"/>
              <w:right w:type="dxa" w:w="120"/>
            </w:tcMar>
          </w:tcPr>
          <w:p>
            <w:pPr>
              <w:jc w:val="left"/>
            </w:pPr>
            <w:r>
              <w:rPr>
                <w:color w:val="1F2937"/>
                <w:sz w:val="18"/>
                <w:szCs w:val="18"/>
              </w:rPr>
              <w:t xml:space="preserve">Approved By – MD &amp; CEO</w:t>
            </w:r>
          </w:p>
        </w:tc>
        <w:tc>
          <w:tcPr>
            <w:tcW w:type="dxa" w:w="2000"/>
            <w:shd w:fill="F0F4FF" w:color="auto" w:val="clear"/>
            <w:tcMar>
              <w:top w:type="dxa" w:w="80"/>
              <w:left w:type="dxa" w:w="120"/>
              <w:bottom w:type="dxa" w:w="80"/>
              <w:right w:type="dxa" w:w="120"/>
            </w:tcMar>
          </w:tcPr>
          <w:p>
            <w:pPr>
              <w:jc w:val="center"/>
            </w:pPr>
            <w:r>
              <w:rPr>
                <w:color w:val="1F2937"/>
                <w:sz w:val="18"/>
                <w:szCs w:val="18"/>
              </w:rPr>
              <w:t xml:space="preserve">Anil Sharma</w:t>
            </w:r>
          </w:p>
        </w:tc>
        <w:tc>
          <w:tcPr>
            <w:tcW w:type="dxa" w:w="2200"/>
            <w:shd w:fill="F0F4FF" w:color="auto" w:val="clear"/>
            <w:tcMar>
              <w:top w:type="dxa" w:w="80"/>
              <w:left w:type="dxa" w:w="120"/>
              <w:bottom w:type="dxa" w:w="80"/>
              <w:right w:type="dxa" w:w="120"/>
            </w:tcMar>
          </w:tcPr>
          <w:p>
            <w:pPr>
              <w:jc w:val="center"/>
            </w:pPr>
            <w:r>
              <w:rPr>
                <w:color w:val="1F2937"/>
                <w:sz w:val="18"/>
                <w:szCs w:val="18"/>
              </w:rPr>
              <w:t xml:space="preserve">_______________</w:t>
            </w:r>
          </w:p>
        </w:tc>
        <w:tc>
          <w:tcPr>
            <w:tcW w:type="dxa" w:w="2200"/>
            <w:shd w:fill="F0F4FF" w:color="auto" w:val="clear"/>
            <w:tcMar>
              <w:top w:type="dxa" w:w="80"/>
              <w:left w:type="dxa" w:w="120"/>
              <w:bottom w:type="dxa" w:w="80"/>
              <w:right w:type="dxa" w:w="120"/>
            </w:tcMar>
          </w:tcPr>
          <w:p>
            <w:pPr>
              <w:jc w:val="center"/>
            </w:pPr>
            <w:r>
              <w:rPr>
                <w:color w:val="1F2937"/>
                <w:sz w:val="18"/>
                <w:szCs w:val="18"/>
              </w:rPr>
              <w:t xml:space="preserve">10 April 2024</w:t>
            </w:r>
          </w:p>
        </w:tc>
      </w:tr>
      <w:tr>
        <w:tc>
          <w:tcPr>
            <w:tcW w:type="dxa" w:w="2800"/>
            <w:shd w:fill="FFFFFF" w:color="auto" w:val="clear"/>
            <w:tcMar>
              <w:top w:type="dxa" w:w="80"/>
              <w:left w:type="dxa" w:w="120"/>
              <w:bottom w:type="dxa" w:w="80"/>
              <w:right w:type="dxa" w:w="120"/>
            </w:tcMar>
          </w:tcPr>
          <w:p>
            <w:pPr>
              <w:jc w:val="left"/>
            </w:pPr>
            <w:r>
              <w:rPr>
                <w:color w:val="1F2937"/>
                <w:sz w:val="18"/>
                <w:szCs w:val="18"/>
              </w:rPr>
              <w:t xml:space="preserve">Ratified By – Board Risk &amp; Compliance Committee</w:t>
            </w:r>
          </w:p>
        </w:tc>
        <w:tc>
          <w:tcPr>
            <w:tcW w:type="dxa" w:w="2000"/>
            <w:shd w:fill="FFFFFF" w:color="auto" w:val="clear"/>
            <w:tcMar>
              <w:top w:type="dxa" w:w="80"/>
              <w:left w:type="dxa" w:w="120"/>
              <w:bottom w:type="dxa" w:w="80"/>
              <w:right w:type="dxa" w:w="120"/>
            </w:tcMar>
          </w:tcPr>
          <w:p>
            <w:pPr>
              <w:jc w:val="center"/>
            </w:pPr>
            <w:r>
              <w:rPr>
                <w:color w:val="1F2937"/>
                <w:sz w:val="18"/>
                <w:szCs w:val="18"/>
              </w:rPr>
              <w:t xml:space="preserve">Chairman, BRCC</w:t>
            </w:r>
          </w:p>
        </w:tc>
        <w:tc>
          <w:tcPr>
            <w:tcW w:type="dxa" w:w="2200"/>
            <w:shd w:fill="FFFFFF" w:color="auto" w:val="clear"/>
            <w:tcMar>
              <w:top w:type="dxa" w:w="80"/>
              <w:left w:type="dxa" w:w="120"/>
              <w:bottom w:type="dxa" w:w="80"/>
              <w:right w:type="dxa" w:w="120"/>
            </w:tcMar>
          </w:tcPr>
          <w:p>
            <w:pPr>
              <w:jc w:val="center"/>
            </w:pPr>
            <w:r>
              <w:rPr>
                <w:color w:val="1F2937"/>
                <w:sz w:val="18"/>
                <w:szCs w:val="18"/>
              </w:rPr>
              <w:t xml:space="preserve">_______________</w:t>
            </w:r>
          </w:p>
        </w:tc>
        <w:tc>
          <w:tcPr>
            <w:tcW w:type="dxa" w:w="2200"/>
            <w:shd w:fill="FFFFFF" w:color="auto" w:val="clear"/>
            <w:tcMar>
              <w:top w:type="dxa" w:w="80"/>
              <w:left w:type="dxa" w:w="120"/>
              <w:bottom w:type="dxa" w:w="80"/>
              <w:right w:type="dxa" w:w="120"/>
            </w:tcMar>
          </w:tcPr>
          <w:p>
            <w:pPr>
              <w:jc w:val="center"/>
            </w:pPr>
            <w:r>
              <w:rPr>
                <w:color w:val="1F2937"/>
                <w:sz w:val="18"/>
                <w:szCs w:val="18"/>
              </w:rPr>
              <w:t xml:space="preserve">12 April 2024</w:t>
            </w:r>
          </w:p>
        </w:tc>
      </w:tr>
    </w:tbl>
    <w:p>
      <w:pPr>
        <w:spacing w:before="160"/>
      </w:pPr>
      <w:r>
        <w:t xml:space="preserve"/>
      </w:r>
    </w:p>
    <w:p>
      <w:pPr>
        <w:spacing w:after="60" w:before="80"/>
        <w:jc w:val="both"/>
      </w:pPr>
      <w:r>
        <w:rPr>
          <w:i/>
          <w:iCs/>
          <w:color w:val="6B7280"/>
          <w:sz w:val="18"/>
          <w:szCs w:val="18"/>
        </w:rPr>
        <w:t xml:space="preserve">This document is the property of Bharat Commercial Bank Limited. Any reproduction, distribution, or use outside the Bank without prior written approval of the Compliance Department is strictly prohibited. The policy is intended solely for internal use by authorised personnel of BCB.</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pBdr>
    </w:pPr>
    <w:r>
      <w:rPr>
        <w:color w:val="6B7280"/>
        <w:sz w:val="16"/>
        <w:szCs w:val="16"/>
      </w:rPr>
      <w:t xml:space="preserve">Policy Ref: BCB/COMP/CC/2024-25/001  |  Version 2.3  |  Effective: 01-Apr-2024  |  Next Review: 31-Mar-2025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4"/>
      </w:pBdr>
    </w:pPr>
    <w:r>
      <w:rPr>
        <w:b/>
        <w:bCs/>
        <w:color w:val="1B3A6B"/>
        <w:sz w:val="16"/>
        <w:szCs w:val="16"/>
      </w:rPr>
      <w:t xml:space="preserve">BHARAT COMMERCIAL BANK LIMITED  |  Credit Card Compliance Policy</w:t>
    </w:r>
    <w:r>
      <w:rPr>
        <w:b/>
        <w:bCs/>
        <w:color w:val="B91C1C"/>
        <w:sz w:val="16"/>
        <w:szCs w:val="16"/>
      </w:rPr>
      <w:t xml:space="preserve">          INTERNAL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2026-07-09T07:35:27.351Z</dcterms:created>
  <dcterms:modified xsi:type="dcterms:W3CDTF">2026-07-09T07:35:27.364Z</dcterms:modified>
</cp:coreProperties>
</file>

<file path=docProps/custom.xml><?xml version="1.0" encoding="utf-8"?>
<Properties xmlns="http://schemas.openxmlformats.org/officeDocument/2006/custom-properties" xmlns:vt="http://schemas.openxmlformats.org/officeDocument/2006/docPropsVTypes"/>
</file>