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sz="0"/>
          <w:left w:val="none" w:sz="0"/>
          <w:bottom w:val="none" w:sz="0"/>
          <w:right w:val="none" w:sz="0"/>
          <w:insideH w:val="none" w:sz="0"/>
          <w:insideV w:val="none" w:sz="0"/>
        </w:tblBorders>
      </w:tblPr>
      <w:tblGrid>
        <w:gridCol w:w="100"/>
      </w:tblGrid>
      <w:tr>
        <w:trPr>
          <w:trHeight w:val="16838" w:hRule="exact"/>
        </w:trPr>
        <w:tc>
          <w:tcPr>
            <w:tcW w:type="pct" w:w="100%"/>
            <w:tcBorders>
              <w:top w:val="none" w:sz="0"/>
              <w:left w:val="none" w:sz="0"/>
              <w:bottom w:val="none" w:sz="0"/>
              <w:right w:val="none" w:sz="0"/>
            </w:tcBorders>
            <w:shd w:fill="0C1F1A" w:val="clear"/>
            <w:vAlign w:val="center"/>
          </w:tcPr>
          <w:p>
            <w:pPr>
              <w:spacing w:before="2400"/>
            </w:pPr>
          </w:p>
          <w:p>
            <w:pPr>
              <w:spacing w:after="200" w:before="1200"/>
              <w:jc w:val="center"/>
            </w:pPr>
            <w:r>
              <w:rPr>
                <w:rFonts w:ascii="Times New Roman" w:cs="Times New Roman" w:eastAsia="Times New Roman" w:hAnsi="Times New Roman"/>
                <w:b/>
                <w:bCs/>
                <w:color w:val="FFFFFF"/>
                <w:sz w:val="72"/>
                <w:szCs w:val="72"/>
              </w:rPr>
              <w:t xml:space="preserve">Business Plan</w:t>
            </w:r>
          </w:p>
          <w:p>
            <w:pPr>
              <w:spacing w:after="100" w:before="200"/>
              <w:jc w:val="center"/>
            </w:pPr>
            <w:r>
              <w:rPr>
                <w:rFonts w:ascii="Times New Roman" w:cs="Times New Roman" w:eastAsia="Times New Roman" w:hAnsi="Times New Roman"/>
                <w:color w:val="B0B8C0"/>
                <w:sz w:val="28"/>
                <w:szCs w:val="28"/>
              </w:rPr>
              <w:t xml:space="preserve">Centre de Recherche Agricole LIAMBOU GISELE (LIG)</w:t>
            </w:r>
          </w:p>
          <w:p>
            <w:pPr>
              <w:spacing w:after="80" w:before="80"/>
              <w:jc w:val="center"/>
            </w:pPr>
            <w:r>
              <w:rPr>
                <w:rFonts w:ascii="Calibri" w:cs="Calibri" w:eastAsia="Calibri" w:hAnsi="Calibri"/>
                <w:color w:val="B0B8C0"/>
                <w:sz w:val="24"/>
                <w:szCs w:val="24"/>
              </w:rPr>
              <w:t xml:space="preserve">Implantation en Cote d'Ivoire</w:t>
            </w:r>
          </w:p>
          <w:p>
            <w:pPr>
              <w:spacing w:after="400" w:before="80"/>
              <w:jc w:val="center"/>
            </w:pPr>
            <w:r>
              <w:rPr>
                <w:rFonts w:ascii="Calibri" w:cs="Calibri" w:eastAsia="Calibri" w:hAnsi="Calibri"/>
                <w:i/>
                <w:iCs/>
                <w:color w:val="B0B8C0"/>
                <w:sz w:val="24"/>
                <w:szCs w:val="24"/>
              </w:rPr>
              <w:t xml:space="preserve">Lancement du Biofertilisant Biodynamie</w:t>
            </w:r>
          </w:p>
          <w:p>
            <w:pPr>
              <w:spacing w:after="100" w:before="200"/>
              <w:jc w:val="center"/>
            </w:pPr>
            <w:r>
              <w:rPr>
                <w:rFonts w:ascii="Calibri" w:cs="Calibri" w:eastAsia="Calibri" w:hAnsi="Calibri"/>
                <w:color w:val="90989F"/>
                <w:sz w:val="20"/>
                <w:szCs w:val="20"/>
              </w:rPr>
              <w:t xml:space="preserve">Partenaire Exclusif : Comptoir Agropastoral CI</w:t>
            </w:r>
          </w:p>
          <w:p>
            <w:pPr>
              <w:spacing w:after="200" w:before="80"/>
              <w:jc w:val="center"/>
            </w:pPr>
            <w:r>
              <w:rPr>
                <w:rFonts w:ascii="Calibri" w:cs="Calibri" w:eastAsia="Calibri" w:hAnsi="Calibri"/>
                <w:color w:val="90989F"/>
                <w:sz w:val="20"/>
                <w:szCs w:val="20"/>
              </w:rPr>
              <w:t xml:space="preserve">Decembre 2025</w:t>
            </w:r>
          </w:p>
          <w:p>
            <w:pPr>
              <w:spacing w:after="0" w:before="600"/>
              <w:jc w:val="center"/>
            </w:pPr>
            <w:r>
              <w:rPr>
                <w:rFonts w:ascii="Calibri" w:cs="Calibri" w:eastAsia="Calibri" w:hAnsi="Calibri"/>
                <w:i/>
                <w:iCs/>
                <w:color w:val="687078"/>
                <w:sz w:val="18"/>
                <w:szCs w:val="18"/>
              </w:rPr>
              <w:t xml:space="preserve">Confidentiel</w:t>
            </w:r>
          </w:p>
        </w:tc>
      </w:tr>
    </w:tbl>
    <w:p>
      <w:pPr>
        <w:sectPr>
          <w:pgSz w:w="11906" w:h="16838" w:orient="portrait"/>
          <w:pgMar w:top="0" w:right="0" w:bottom="0" w:left="0" w:header="708" w:footer="708" w:gutter="0"/>
          <w:pgNumType/>
          <w:docGrid w:linePitch="360"/>
        </w:sectPr>
      </w:pPr>
    </w:p>
    <w:p>
      <w:pPr>
        <w:spacing w:after="300" w:before="200"/>
        <w:jc w:val="center"/>
      </w:pPr>
      <w:r>
        <w:rPr>
          <w:rFonts w:ascii="Times New Roman" w:cs="Times New Roman" w:eastAsia="Times New Roman" w:hAnsi="Times New Roman"/>
          <w:b/>
          <w:bCs/>
          <w:color w:val="2A7A65"/>
          <w:sz w:val="36"/>
          <w:szCs w:val="36"/>
        </w:rPr>
        <w:t xml:space="preserve">Table des matieres</w:t>
      </w:r>
    </w:p>
    <w:sdt>
      <w:sdtPr>
        <w:alias w:val="Table des matiere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3. Resume Executif</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4. Presentation du Projet et de l'Entreprise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4.1 Historique et Genese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4.2 Vision, Mission et Valeurs</w:t>
            </w:r>
            <w:r>
              <w:tab/>
            </w:r>
            <w:r>
              <w:fldChar w:fldCharType="begin"/>
            </w:r>
            <w:r>
              <w:instrText xml:space="preserve"> PAGEREF _Toc100003 \h </w:instrText>
            </w:r>
            <w:r>
              <w:fldChar w:fldCharType="separate"/>
            </w:r>
            <w:r>
              <w:t>2</w:t>
            </w:r>
            <w:r>
              <w:fldChar w:fldCharType="end"/>
            </w:r>
          </w:hyperlink>
        </w:p>
        <w:p>
          <w:pPr>
            <w:pStyle w:val="12"/>
            <w:ind w:left="720"/>
            <w:tabs>
              <w:tab w:val="right" w:leader="dot" w:pos="9026"/>
            </w:tabs>
            <w:spacing w:before="120" w:after="60"/>
          </w:pPr>
          <w:hyperlink w:anchor="_Toc100004" w:history="1">
            <w:r>
              <w:rPr>
                <w:rStyle w:val="Hyperlink"/>
              </w:rPr>
              <w:t>Vision</w:t>
            </w:r>
            <w:r>
              <w:tab/>
            </w:r>
            <w:r>
              <w:fldChar w:fldCharType="begin"/>
            </w:r>
            <w:r>
              <w:instrText xml:space="preserve"> PAGEREF _Toc100004 \h </w:instrText>
            </w:r>
            <w:r>
              <w:fldChar w:fldCharType="separate"/>
            </w:r>
            <w:r>
              <w:t>2</w:t>
            </w:r>
            <w:r>
              <w:fldChar w:fldCharType="end"/>
            </w:r>
          </w:hyperlink>
        </w:p>
        <w:p>
          <w:pPr>
            <w:pStyle w:val="12"/>
            <w:ind w:left="720"/>
            <w:tabs>
              <w:tab w:val="right" w:leader="dot" w:pos="9026"/>
            </w:tabs>
            <w:spacing w:before="120" w:after="60"/>
          </w:pPr>
          <w:hyperlink w:anchor="_Toc100005" w:history="1">
            <w:r>
              <w:rPr>
                <w:rStyle w:val="Hyperlink"/>
              </w:rPr>
              <w:t>Mission</w:t>
            </w:r>
            <w:r>
              <w:tab/>
            </w:r>
            <w:r>
              <w:fldChar w:fldCharType="begin"/>
            </w:r>
            <w:r>
              <w:instrText xml:space="preserve"> PAGEREF _Toc100005 \h </w:instrText>
            </w:r>
            <w:r>
              <w:fldChar w:fldCharType="separate"/>
            </w:r>
            <w:r>
              <w:t>3</w:t>
            </w:r>
            <w:r>
              <w:fldChar w:fldCharType="end"/>
            </w:r>
          </w:hyperlink>
        </w:p>
        <w:p>
          <w:pPr>
            <w:pStyle w:val="12"/>
            <w:ind w:left="720"/>
            <w:tabs>
              <w:tab w:val="right" w:leader="dot" w:pos="9026"/>
            </w:tabs>
            <w:spacing w:before="120" w:after="60"/>
          </w:pPr>
          <w:hyperlink w:anchor="_Toc100006" w:history="1">
            <w:r>
              <w:rPr>
                <w:rStyle w:val="Hyperlink"/>
              </w:rPr>
              <w:t>Valeurs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4.3 Structure Juridique et Organisationnelle</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4.4 Partenaire Exclusif : Comptoir Agropastoral CI</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5. Analyse de l'Environnement et du Marche</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5.1 Analyse PESTEL de la Cote d'Ivoire</w:t>
            </w:r>
            <w:r>
              <w:tab/>
            </w:r>
            <w:r>
              <w:fldChar w:fldCharType="begin"/>
            </w:r>
            <w:r>
              <w:instrText xml:space="preserve"> PAGEREF _Toc100010 \h </w:instrText>
            </w:r>
            <w:r>
              <w:fldChar w:fldCharType="separate"/>
            </w:r>
            <w:r>
              <w:t>5</w:t>
            </w:r>
            <w:r>
              <w:fldChar w:fldCharType="end"/>
            </w:r>
          </w:hyperlink>
        </w:p>
        <w:p>
          <w:pPr>
            <w:pStyle w:val="12"/>
            <w:ind w:left="720"/>
            <w:tabs>
              <w:tab w:val="right" w:leader="dot" w:pos="9026"/>
            </w:tabs>
            <w:spacing w:before="120" w:after="60"/>
          </w:pPr>
          <w:hyperlink w:anchor="_Toc100011" w:history="1">
            <w:r>
              <w:rPr>
                <w:rStyle w:val="Hyperlink"/>
              </w:rPr>
              <w:t>Facteurs Politiques</w:t>
            </w:r>
            <w:r>
              <w:tab/>
            </w:r>
            <w:r>
              <w:fldChar w:fldCharType="begin"/>
            </w:r>
            <w:r>
              <w:instrText xml:space="preserve"> PAGEREF _Toc100011 \h </w:instrText>
            </w:r>
            <w:r>
              <w:fldChar w:fldCharType="separate"/>
            </w:r>
            <w:r>
              <w:t>5</w:t>
            </w:r>
            <w:r>
              <w:fldChar w:fldCharType="end"/>
            </w:r>
          </w:hyperlink>
        </w:p>
        <w:p>
          <w:pPr>
            <w:pStyle w:val="12"/>
            <w:ind w:left="720"/>
            <w:tabs>
              <w:tab w:val="right" w:leader="dot" w:pos="9026"/>
            </w:tabs>
            <w:spacing w:before="120" w:after="60"/>
          </w:pPr>
          <w:hyperlink w:anchor="_Toc100012" w:history="1">
            <w:r>
              <w:rPr>
                <w:rStyle w:val="Hyperlink"/>
              </w:rPr>
              <w:t>Facteurs Economiques</w:t>
            </w:r>
            <w:r>
              <w:tab/>
            </w:r>
            <w:r>
              <w:fldChar w:fldCharType="begin"/>
            </w:r>
            <w:r>
              <w:instrText xml:space="preserve"> PAGEREF _Toc100012 \h </w:instrText>
            </w:r>
            <w:r>
              <w:fldChar w:fldCharType="separate"/>
            </w:r>
            <w:r>
              <w:t>5</w:t>
            </w:r>
            <w:r>
              <w:fldChar w:fldCharType="end"/>
            </w:r>
          </w:hyperlink>
        </w:p>
        <w:p>
          <w:pPr>
            <w:pStyle w:val="12"/>
            <w:ind w:left="720"/>
            <w:tabs>
              <w:tab w:val="right" w:leader="dot" w:pos="9026"/>
            </w:tabs>
            <w:spacing w:before="120" w:after="60"/>
          </w:pPr>
          <w:hyperlink w:anchor="_Toc100013" w:history="1">
            <w:r>
              <w:rPr>
                <w:rStyle w:val="Hyperlink"/>
              </w:rPr>
              <w:t>Facteurs Socioculturels</w:t>
            </w:r>
            <w:r>
              <w:tab/>
            </w:r>
            <w:r>
              <w:fldChar w:fldCharType="begin"/>
            </w:r>
            <w:r>
              <w:instrText xml:space="preserve"> PAGEREF _Toc100013 \h </w:instrText>
            </w:r>
            <w:r>
              <w:fldChar w:fldCharType="separate"/>
            </w:r>
            <w:r>
              <w:t>5</w:t>
            </w:r>
            <w:r>
              <w:fldChar w:fldCharType="end"/>
            </w:r>
          </w:hyperlink>
        </w:p>
        <w:p>
          <w:pPr>
            <w:pStyle w:val="12"/>
            <w:ind w:left="720"/>
            <w:tabs>
              <w:tab w:val="right" w:leader="dot" w:pos="9026"/>
            </w:tabs>
            <w:spacing w:before="120" w:after="60"/>
          </w:pPr>
          <w:hyperlink w:anchor="_Toc100014" w:history="1">
            <w:r>
              <w:rPr>
                <w:rStyle w:val="Hyperlink"/>
              </w:rPr>
              <w:t>Facteurs Technologiques</w:t>
            </w:r>
            <w:r>
              <w:tab/>
            </w:r>
            <w:r>
              <w:fldChar w:fldCharType="begin"/>
            </w:r>
            <w:r>
              <w:instrText xml:space="preserve"> PAGEREF _Toc100014 \h </w:instrText>
            </w:r>
            <w:r>
              <w:fldChar w:fldCharType="separate"/>
            </w:r>
            <w:r>
              <w:t>5</w:t>
            </w:r>
            <w:r>
              <w:fldChar w:fldCharType="end"/>
            </w:r>
          </w:hyperlink>
        </w:p>
        <w:p>
          <w:pPr>
            <w:pStyle w:val="12"/>
            <w:ind w:left="720"/>
            <w:tabs>
              <w:tab w:val="right" w:leader="dot" w:pos="9026"/>
            </w:tabs>
            <w:spacing w:before="120" w:after="60"/>
          </w:pPr>
          <w:hyperlink w:anchor="_Toc100015" w:history="1">
            <w:r>
              <w:rPr>
                <w:rStyle w:val="Hyperlink"/>
              </w:rPr>
              <w:t>Facteurs Ecologiques</w:t>
            </w:r>
            <w:r>
              <w:tab/>
            </w:r>
            <w:r>
              <w:fldChar w:fldCharType="begin"/>
            </w:r>
            <w:r>
              <w:instrText xml:space="preserve"> PAGEREF _Toc100015 \h </w:instrText>
            </w:r>
            <w:r>
              <w:fldChar w:fldCharType="separate"/>
            </w:r>
            <w:r>
              <w:t>6</w:t>
            </w:r>
            <w:r>
              <w:fldChar w:fldCharType="end"/>
            </w:r>
          </w:hyperlink>
        </w:p>
        <w:p>
          <w:pPr>
            <w:pStyle w:val="12"/>
            <w:ind w:left="720"/>
            <w:tabs>
              <w:tab w:val="right" w:leader="dot" w:pos="9026"/>
            </w:tabs>
            <w:spacing w:before="120" w:after="60"/>
          </w:pPr>
          <w:hyperlink w:anchor="_Toc100016" w:history="1">
            <w:r>
              <w:rPr>
                <w:rStyle w:val="Hyperlink"/>
              </w:rPr>
              <w:t>Facteurs Legaux</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5.2 Analyse du Marche Agricole Ivoirien</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5.3 Analyse Concurrentielle</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5.4 Analyse SWOT</w:t>
            </w:r>
            <w:r>
              <w:tab/>
            </w:r>
            <w:r>
              <w:fldChar w:fldCharType="begin"/>
            </w:r>
            <w:r>
              <w:instrText xml:space="preserve"> PAGEREF _Toc100019 \h </w:instrText>
            </w:r>
            <w:r>
              <w:fldChar w:fldCharType="separate"/>
            </w:r>
            <w:r>
              <w:t>7</w:t>
            </w:r>
            <w:r>
              <w:fldChar w:fldCharType="end"/>
            </w:r>
          </w:hyperlink>
        </w:p>
        <w:p>
          <w:pPr>
            <w:pStyle w:val="9"/>
            <w:tabs>
              <w:tab w:val="right" w:leader="dot" w:pos="9026"/>
            </w:tabs>
            <w:spacing w:before="120" w:after="60"/>
          </w:pPr>
          <w:hyperlink w:anchor="_Toc100020" w:history="1">
            <w:r>
              <w:rPr>
                <w:rStyle w:val="Hyperlink"/>
              </w:rPr>
              <w:t>6. Produit et Innovation</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6.1 Description du Produit Biodynamie</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6.2 Avantages Competitifs et Proposition de Valeur</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6.3 Processus de Recherche et Developpement</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6.4 Gamme de Produits et Packaging</w:t>
            </w:r>
            <w:r>
              <w:tab/>
            </w:r>
            <w:r>
              <w:fldChar w:fldCharType="begin"/>
            </w:r>
            <w:r>
              <w:instrText xml:space="preserve"> PAGEREF _Toc100024 \h </w:instrText>
            </w:r>
            <w:r>
              <w:fldChar w:fldCharType="separate"/>
            </w:r>
            <w:r>
              <w:t>9</w:t>
            </w:r>
            <w:r>
              <w:fldChar w:fldCharType="end"/>
            </w:r>
          </w:hyperlink>
        </w:p>
        <w:p>
          <w:pPr>
            <w:pStyle w:val="9"/>
            <w:tabs>
              <w:tab w:val="right" w:leader="dot" w:pos="9026"/>
            </w:tabs>
            <w:spacing w:before="120" w:after="60"/>
          </w:pPr>
          <w:hyperlink w:anchor="_Toc100025" w:history="1">
            <w:r>
              <w:rPr>
                <w:rStyle w:val="Hyperlink"/>
              </w:rPr>
              <w:t>7. Modele Economique (Business Model Canvas)</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7.1 Segments de Clientele</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7.2 Canaux de Distribution</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7.3 Sources de Revenus</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7.4 Structure de Couts</w:t>
            </w:r>
            <w:r>
              <w:tab/>
            </w:r>
            <w:r>
              <w:fldChar w:fldCharType="begin"/>
            </w:r>
            <w:r>
              <w:instrText xml:space="preserve"> PAGEREF _Toc100029 \h </w:instrText>
            </w:r>
            <w:r>
              <w:fldChar w:fldCharType="separate"/>
            </w:r>
            <w:r>
              <w:t>11</w:t>
            </w:r>
            <w:r>
              <w:fldChar w:fldCharType="end"/>
            </w:r>
          </w:hyperlink>
        </w:p>
        <w:p>
          <w:pPr>
            <w:pStyle w:val="9"/>
            <w:tabs>
              <w:tab w:val="right" w:leader="dot" w:pos="9026"/>
            </w:tabs>
            <w:spacing w:before="120" w:after="60"/>
          </w:pPr>
          <w:hyperlink w:anchor="_Toc100030" w:history="1">
            <w:r>
              <w:rPr>
                <w:rStyle w:val="Hyperlink"/>
              </w:rPr>
              <w:t>8. Strategie Commerciale et Marketing</w:t>
            </w:r>
            <w:r>
              <w:tab/>
            </w:r>
            <w:r>
              <w:fldChar w:fldCharType="begin"/>
            </w:r>
            <w:r>
              <w:instrText xml:space="preserve"> PAGEREF _Toc100030 \h </w:instrText>
            </w:r>
            <w:r>
              <w:fldChar w:fldCharType="separate"/>
            </w:r>
            <w:r>
              <w:t>11</w:t>
            </w:r>
            <w:r>
              <w:fldChar w:fldCharType="end"/>
            </w:r>
          </w:hyperlink>
        </w:p>
        <w:p>
          <w:pPr>
            <w:pStyle w:val="11"/>
            <w:ind w:left="360"/>
            <w:tabs>
              <w:tab w:val="right" w:leader="dot" w:pos="9026"/>
            </w:tabs>
            <w:spacing w:before="120" w:after="60"/>
          </w:pPr>
          <w:hyperlink w:anchor="_Toc100031" w:history="1">
            <w:r>
              <w:rPr>
                <w:rStyle w:val="Hyperlink"/>
              </w:rPr>
              <w:t>8.1 Positionnement et Message Cle</w:t>
            </w:r>
            <w:r>
              <w:tab/>
            </w:r>
            <w:r>
              <w:fldChar w:fldCharType="begin"/>
            </w:r>
            <w:r>
              <w:instrText xml:space="preserve"> PAGEREF _Toc100031 \h </w:instrText>
            </w:r>
            <w:r>
              <w:fldChar w:fldCharType="separate"/>
            </w:r>
            <w:r>
              <w:t>11</w:t>
            </w:r>
            <w:r>
              <w:fldChar w:fldCharType="end"/>
            </w:r>
          </w:hyperlink>
        </w:p>
        <w:p>
          <w:pPr>
            <w:pStyle w:val="11"/>
            <w:ind w:left="360"/>
            <w:tabs>
              <w:tab w:val="right" w:leader="dot" w:pos="9026"/>
            </w:tabs>
            <w:spacing w:before="120" w:after="60"/>
          </w:pPr>
          <w:hyperlink w:anchor="_Toc100032" w:history="1">
            <w:r>
              <w:rPr>
                <w:rStyle w:val="Hyperlink"/>
              </w:rPr>
              <w:t>8.2 Strategie Marketing Mix (4P)</w:t>
            </w:r>
            <w:r>
              <w:tab/>
            </w:r>
            <w:r>
              <w:fldChar w:fldCharType="begin"/>
            </w:r>
            <w:r>
              <w:instrText xml:space="preserve"> PAGEREF _Toc100032 \h </w:instrText>
            </w:r>
            <w:r>
              <w:fldChar w:fldCharType="separate"/>
            </w:r>
            <w:r>
              <w:t>11</w:t>
            </w:r>
            <w:r>
              <w:fldChar w:fldCharType="end"/>
            </w:r>
          </w:hyperlink>
        </w:p>
        <w:p>
          <w:pPr>
            <w:pStyle w:val="12"/>
            <w:ind w:left="720"/>
            <w:tabs>
              <w:tab w:val="right" w:leader="dot" w:pos="9026"/>
            </w:tabs>
            <w:spacing w:before="120" w:after="60"/>
          </w:pPr>
          <w:hyperlink w:anchor="_Toc100033" w:history="1">
            <w:r>
              <w:rPr>
                <w:rStyle w:val="Hyperlink"/>
              </w:rPr>
              <w:t>Produit</w:t>
            </w:r>
            <w:r>
              <w:tab/>
            </w:r>
            <w:r>
              <w:fldChar w:fldCharType="begin"/>
            </w:r>
            <w:r>
              <w:instrText xml:space="preserve"> PAGEREF _Toc100033 \h </w:instrText>
            </w:r>
            <w:r>
              <w:fldChar w:fldCharType="separate"/>
            </w:r>
            <w:r>
              <w:t>12</w:t>
            </w:r>
            <w:r>
              <w:fldChar w:fldCharType="end"/>
            </w:r>
          </w:hyperlink>
        </w:p>
        <w:p>
          <w:pPr>
            <w:pStyle w:val="12"/>
            <w:ind w:left="720"/>
            <w:tabs>
              <w:tab w:val="right" w:leader="dot" w:pos="9026"/>
            </w:tabs>
            <w:spacing w:before="120" w:after="60"/>
          </w:pPr>
          <w:hyperlink w:anchor="_Toc100034" w:history="1">
            <w:r>
              <w:rPr>
                <w:rStyle w:val="Hyperlink"/>
              </w:rPr>
              <w:t>Prix</w:t>
            </w:r>
            <w:r>
              <w:tab/>
            </w:r>
            <w:r>
              <w:fldChar w:fldCharType="begin"/>
            </w:r>
            <w:r>
              <w:instrText xml:space="preserve"> PAGEREF _Toc100034 \h </w:instrText>
            </w:r>
            <w:r>
              <w:fldChar w:fldCharType="separate"/>
            </w:r>
            <w:r>
              <w:t>12</w:t>
            </w:r>
            <w:r>
              <w:fldChar w:fldCharType="end"/>
            </w:r>
          </w:hyperlink>
        </w:p>
        <w:p>
          <w:pPr>
            <w:pStyle w:val="12"/>
            <w:ind w:left="720"/>
            <w:tabs>
              <w:tab w:val="right" w:leader="dot" w:pos="9026"/>
            </w:tabs>
            <w:spacing w:before="120" w:after="60"/>
          </w:pPr>
          <w:hyperlink w:anchor="_Toc100035" w:history="1">
            <w:r>
              <w:rPr>
                <w:rStyle w:val="Hyperlink"/>
              </w:rPr>
              <w:t>Place (Distribution)</w:t>
            </w:r>
            <w:r>
              <w:tab/>
            </w:r>
            <w:r>
              <w:fldChar w:fldCharType="begin"/>
            </w:r>
            <w:r>
              <w:instrText xml:space="preserve"> PAGEREF _Toc100035 \h </w:instrText>
            </w:r>
            <w:r>
              <w:fldChar w:fldCharType="separate"/>
            </w:r>
            <w:r>
              <w:t>12</w:t>
            </w:r>
            <w:r>
              <w:fldChar w:fldCharType="end"/>
            </w:r>
          </w:hyperlink>
        </w:p>
        <w:p>
          <w:pPr>
            <w:pStyle w:val="12"/>
            <w:ind w:left="720"/>
            <w:tabs>
              <w:tab w:val="right" w:leader="dot" w:pos="9026"/>
            </w:tabs>
            <w:spacing w:before="120" w:after="60"/>
          </w:pPr>
          <w:hyperlink w:anchor="_Toc100036" w:history="1">
            <w:r>
              <w:rPr>
                <w:rStyle w:val="Hyperlink"/>
              </w:rPr>
              <w:t>Promotion</w:t>
            </w:r>
            <w:r>
              <w:tab/>
            </w:r>
            <w:r>
              <w:fldChar w:fldCharType="begin"/>
            </w:r>
            <w:r>
              <w:instrText xml:space="preserve"> PAGEREF _Toc100036 \h </w:instrText>
            </w:r>
            <w:r>
              <w:fldChar w:fldCharType="separate"/>
            </w:r>
            <w:r>
              <w:t>12</w:t>
            </w:r>
            <w:r>
              <w:fldChar w:fldCharType="end"/>
            </w:r>
          </w:hyperlink>
        </w:p>
        <w:p>
          <w:pPr>
            <w:pStyle w:val="11"/>
            <w:ind w:left="360"/>
            <w:tabs>
              <w:tab w:val="right" w:leader="dot" w:pos="9026"/>
            </w:tabs>
            <w:spacing w:before="120" w:after="60"/>
          </w:pPr>
          <w:hyperlink w:anchor="_Toc100037" w:history="1">
            <w:r>
              <w:rPr>
                <w:rStyle w:val="Hyperlink"/>
              </w:rPr>
              <w:t>8.3 Strategie Digitale</w:t>
            </w:r>
            <w:r>
              <w:tab/>
            </w:r>
            <w:r>
              <w:fldChar w:fldCharType="begin"/>
            </w:r>
            <w:r>
              <w:instrText xml:space="preserve"> PAGEREF _Toc100037 \h </w:instrText>
            </w:r>
            <w:r>
              <w:fldChar w:fldCharType="separate"/>
            </w:r>
            <w:r>
              <w:t>13</w:t>
            </w:r>
            <w:r>
              <w:fldChar w:fldCharType="end"/>
            </w:r>
          </w:hyperlink>
        </w:p>
        <w:p>
          <w:pPr>
            <w:pStyle w:val="11"/>
            <w:ind w:left="360"/>
            <w:tabs>
              <w:tab w:val="right" w:leader="dot" w:pos="9026"/>
            </w:tabs>
            <w:spacing w:before="120" w:after="60"/>
          </w:pPr>
          <w:hyperlink w:anchor="_Toc100038" w:history="1">
            <w:r>
              <w:rPr>
                <w:rStyle w:val="Hyperlink"/>
              </w:rPr>
              <w:t>8.4 Plan de Communication</w:t>
            </w:r>
            <w:r>
              <w:tab/>
            </w:r>
            <w:r>
              <w:fldChar w:fldCharType="begin"/>
            </w:r>
            <w:r>
              <w:instrText xml:space="preserve"> PAGEREF _Toc100038 \h </w:instrText>
            </w:r>
            <w:r>
              <w:fldChar w:fldCharType="separate"/>
            </w:r>
            <w:r>
              <w:t>13</w:t>
            </w:r>
            <w:r>
              <w:fldChar w:fldCharType="end"/>
            </w:r>
          </w:hyperlink>
        </w:p>
        <w:p>
          <w:pPr>
            <w:pStyle w:val="11"/>
            <w:ind w:left="360"/>
            <w:tabs>
              <w:tab w:val="right" w:leader="dot" w:pos="9026"/>
            </w:tabs>
            <w:spacing w:before="120" w:after="60"/>
          </w:pPr>
          <w:hyperlink w:anchor="_Toc100039" w:history="1">
            <w:r>
              <w:rPr>
                <w:rStyle w:val="Hyperlink"/>
              </w:rPr>
              <w:t>8.5 Partenariats Strategiques</w:t>
            </w:r>
            <w:r>
              <w:tab/>
            </w:r>
            <w:r>
              <w:fldChar w:fldCharType="begin"/>
            </w:r>
            <w:r>
              <w:instrText xml:space="preserve"> PAGEREF _Toc100039 \h </w:instrText>
            </w:r>
            <w:r>
              <w:fldChar w:fldCharType="separate"/>
            </w:r>
            <w:r>
              <w:t>13</w:t>
            </w:r>
            <w:r>
              <w:fldChar w:fldCharType="end"/>
            </w:r>
          </w:hyperlink>
        </w:p>
        <w:p>
          <w:pPr>
            <w:pStyle w:val="9"/>
            <w:tabs>
              <w:tab w:val="right" w:leader="dot" w:pos="9026"/>
            </w:tabs>
            <w:spacing w:before="120" w:after="60"/>
          </w:pPr>
          <w:hyperlink w:anchor="_Toc100040" w:history="1">
            <w:r>
              <w:rPr>
                <w:rStyle w:val="Hyperlink"/>
              </w:rPr>
              <w:t>9. Plan Operationnel</w:t>
            </w:r>
            <w:r>
              <w:tab/>
            </w:r>
            <w:r>
              <w:fldChar w:fldCharType="begin"/>
            </w:r>
            <w:r>
              <w:instrText xml:space="preserve"> PAGEREF _Toc100040 \h </w:instrText>
            </w:r>
            <w:r>
              <w:fldChar w:fldCharType="separate"/>
            </w:r>
            <w:r>
              <w:t>14</w:t>
            </w:r>
            <w:r>
              <w:fldChar w:fldCharType="end"/>
            </w:r>
          </w:hyperlink>
        </w:p>
        <w:p>
          <w:pPr>
            <w:pStyle w:val="11"/>
            <w:ind w:left="360"/>
            <w:tabs>
              <w:tab w:val="right" w:leader="dot" w:pos="9026"/>
            </w:tabs>
            <w:spacing w:before="120" w:after="60"/>
          </w:pPr>
          <w:hyperlink w:anchor="_Toc100041" w:history="1">
            <w:r>
              <w:rPr>
                <w:rStyle w:val="Hyperlink"/>
              </w:rPr>
              <w:t>9.1 Plan de Production et Approvisionnement</w:t>
            </w:r>
            <w:r>
              <w:tab/>
            </w:r>
            <w:r>
              <w:fldChar w:fldCharType="begin"/>
            </w:r>
            <w:r>
              <w:instrText xml:space="preserve"> PAGEREF _Toc100041 \h </w:instrText>
            </w:r>
            <w:r>
              <w:fldChar w:fldCharType="separate"/>
            </w:r>
            <w:r>
              <w:t>14</w:t>
            </w:r>
            <w:r>
              <w:fldChar w:fldCharType="end"/>
            </w:r>
          </w:hyperlink>
        </w:p>
        <w:p>
          <w:pPr>
            <w:pStyle w:val="11"/>
            <w:ind w:left="360"/>
            <w:tabs>
              <w:tab w:val="right" w:leader="dot" w:pos="9026"/>
            </w:tabs>
            <w:spacing w:before="120" w:after="60"/>
          </w:pPr>
          <w:hyperlink w:anchor="_Toc100042" w:history="1">
            <w:r>
              <w:rPr>
                <w:rStyle w:val="Hyperlink"/>
              </w:rPr>
              <w:t>9.2 Logistique et Distribution</w:t>
            </w:r>
            <w:r>
              <w:tab/>
            </w:r>
            <w:r>
              <w:fldChar w:fldCharType="begin"/>
            </w:r>
            <w:r>
              <w:instrText xml:space="preserve"> PAGEREF _Toc100042 \h </w:instrText>
            </w:r>
            <w:r>
              <w:fldChar w:fldCharType="separate"/>
            </w:r>
            <w:r>
              <w:t>14</w:t>
            </w:r>
            <w:r>
              <w:fldChar w:fldCharType="end"/>
            </w:r>
          </w:hyperlink>
        </w:p>
        <w:p>
          <w:pPr>
            <w:pStyle w:val="11"/>
            <w:ind w:left="360"/>
            <w:tabs>
              <w:tab w:val="right" w:leader="dot" w:pos="9026"/>
            </w:tabs>
            <w:spacing w:before="120" w:after="60"/>
          </w:pPr>
          <w:hyperlink w:anchor="_Toc100043" w:history="1">
            <w:r>
              <w:rPr>
                <w:rStyle w:val="Hyperlink"/>
              </w:rPr>
              <w:t>9.3 Ressources Humaines</w:t>
            </w:r>
            <w:r>
              <w:tab/>
            </w:r>
            <w:r>
              <w:fldChar w:fldCharType="begin"/>
            </w:r>
            <w:r>
              <w:instrText xml:space="preserve"> PAGEREF _Toc100043 \h </w:instrText>
            </w:r>
            <w:r>
              <w:fldChar w:fldCharType="separate"/>
            </w:r>
            <w:r>
              <w:t>15</w:t>
            </w:r>
            <w:r>
              <w:fldChar w:fldCharType="end"/>
            </w:r>
          </w:hyperlink>
        </w:p>
        <w:p>
          <w:pPr>
            <w:pStyle w:val="11"/>
            <w:ind w:left="360"/>
            <w:tabs>
              <w:tab w:val="right" w:leader="dot" w:pos="9026"/>
            </w:tabs>
            <w:spacing w:before="120" w:after="60"/>
          </w:pPr>
          <w:hyperlink w:anchor="_Toc100044" w:history="1">
            <w:r>
              <w:rPr>
                <w:rStyle w:val="Hyperlink"/>
              </w:rPr>
              <w:t>9.4 Calendrier Operationnel</w:t>
            </w:r>
            <w:r>
              <w:tab/>
            </w:r>
            <w:r>
              <w:fldChar w:fldCharType="begin"/>
            </w:r>
            <w:r>
              <w:instrText xml:space="preserve"> PAGEREF _Toc100044 \h </w:instrText>
            </w:r>
            <w:r>
              <w:fldChar w:fldCharType="separate"/>
            </w:r>
            <w:r>
              <w:t>15</w:t>
            </w:r>
            <w:r>
              <w:fldChar w:fldCharType="end"/>
            </w:r>
          </w:hyperlink>
        </w:p>
        <w:p>
          <w:pPr>
            <w:pStyle w:val="9"/>
            <w:tabs>
              <w:tab w:val="right" w:leader="dot" w:pos="9026"/>
            </w:tabs>
            <w:spacing w:before="120" w:after="60"/>
          </w:pPr>
          <w:hyperlink w:anchor="_Toc100045" w:history="1">
            <w:r>
              <w:rPr>
                <w:rStyle w:val="Hyperlink"/>
              </w:rPr>
              <w:t>10. Plan Financier Previsionnel</w:t>
            </w:r>
            <w:r>
              <w:tab/>
            </w:r>
            <w:r>
              <w:fldChar w:fldCharType="begin"/>
            </w:r>
            <w:r>
              <w:instrText xml:space="preserve"> PAGEREF _Toc100045 \h </w:instrText>
            </w:r>
            <w:r>
              <w:fldChar w:fldCharType="separate"/>
            </w:r>
            <w:r>
              <w:t>15</w:t>
            </w:r>
            <w:r>
              <w:fldChar w:fldCharType="end"/>
            </w:r>
          </w:hyperlink>
        </w:p>
        <w:p>
          <w:pPr>
            <w:pStyle w:val="11"/>
            <w:ind w:left="360"/>
            <w:tabs>
              <w:tab w:val="right" w:leader="dot" w:pos="9026"/>
            </w:tabs>
            <w:spacing w:before="120" w:after="60"/>
          </w:pPr>
          <w:hyperlink w:anchor="_Toc100046" w:history="1">
            <w:r>
              <w:rPr>
                <w:rStyle w:val="Hyperlink"/>
              </w:rPr>
              <w:t>10.1 Hypotheses Financieres</w:t>
            </w:r>
            <w:r>
              <w:tab/>
            </w:r>
            <w:r>
              <w:fldChar w:fldCharType="begin"/>
            </w:r>
            <w:r>
              <w:instrText xml:space="preserve"> PAGEREF _Toc100046 \h </w:instrText>
            </w:r>
            <w:r>
              <w:fldChar w:fldCharType="separate"/>
            </w:r>
            <w:r>
              <w:t>15</w:t>
            </w:r>
            <w:r>
              <w:fldChar w:fldCharType="end"/>
            </w:r>
          </w:hyperlink>
        </w:p>
        <w:p>
          <w:pPr>
            <w:pStyle w:val="11"/>
            <w:ind w:left="360"/>
            <w:tabs>
              <w:tab w:val="right" w:leader="dot" w:pos="9026"/>
            </w:tabs>
            <w:spacing w:before="120" w:after="60"/>
          </w:pPr>
          <w:hyperlink w:anchor="_Toc100047" w:history="1">
            <w:r>
              <w:rPr>
                <w:rStyle w:val="Hyperlink"/>
              </w:rPr>
              <w:t>10.2 Compte de Resultat Previsionnel (3 ans)</w:t>
            </w:r>
            <w:r>
              <w:tab/>
            </w:r>
            <w:r>
              <w:fldChar w:fldCharType="begin"/>
            </w:r>
            <w:r>
              <w:instrText xml:space="preserve"> PAGEREF _Toc100047 \h </w:instrText>
            </w:r>
            <w:r>
              <w:fldChar w:fldCharType="separate"/>
            </w:r>
            <w:r>
              <w:t>16</w:t>
            </w:r>
            <w:r>
              <w:fldChar w:fldCharType="end"/>
            </w:r>
          </w:hyperlink>
        </w:p>
        <w:p>
          <w:pPr>
            <w:pStyle w:val="11"/>
            <w:ind w:left="360"/>
            <w:tabs>
              <w:tab w:val="right" w:leader="dot" w:pos="9026"/>
            </w:tabs>
            <w:spacing w:before="120" w:after="60"/>
          </w:pPr>
          <w:hyperlink w:anchor="_Toc100048" w:history="1">
            <w:r>
              <w:rPr>
                <w:rStyle w:val="Hyperlink"/>
              </w:rPr>
              <w:t>10.3 Bilan Previsionnel</w:t>
            </w:r>
            <w:r>
              <w:tab/>
            </w:r>
            <w:r>
              <w:fldChar w:fldCharType="begin"/>
            </w:r>
            <w:r>
              <w:instrText xml:space="preserve"> PAGEREF _Toc100048 \h </w:instrText>
            </w:r>
            <w:r>
              <w:fldChar w:fldCharType="separate"/>
            </w:r>
            <w:r>
              <w:t>16</w:t>
            </w:r>
            <w:r>
              <w:fldChar w:fldCharType="end"/>
            </w:r>
          </w:hyperlink>
        </w:p>
        <w:p>
          <w:pPr>
            <w:pStyle w:val="11"/>
            <w:ind w:left="360"/>
            <w:tabs>
              <w:tab w:val="right" w:leader="dot" w:pos="9026"/>
            </w:tabs>
            <w:spacing w:before="120" w:after="60"/>
          </w:pPr>
          <w:hyperlink w:anchor="_Toc100049" w:history="1">
            <w:r>
              <w:rPr>
                <w:rStyle w:val="Hyperlink"/>
              </w:rPr>
              <w:t>10.4 Plan de Tresorerie</w:t>
            </w:r>
            <w:r>
              <w:tab/>
            </w:r>
            <w:r>
              <w:fldChar w:fldCharType="begin"/>
            </w:r>
            <w:r>
              <w:instrText xml:space="preserve"> PAGEREF _Toc100049 \h </w:instrText>
            </w:r>
            <w:r>
              <w:fldChar w:fldCharType="separate"/>
            </w:r>
            <w:r>
              <w:t>16</w:t>
            </w:r>
            <w:r>
              <w:fldChar w:fldCharType="end"/>
            </w:r>
          </w:hyperlink>
        </w:p>
        <w:p>
          <w:pPr>
            <w:pStyle w:val="11"/>
            <w:ind w:left="360"/>
            <w:tabs>
              <w:tab w:val="right" w:leader="dot" w:pos="9026"/>
            </w:tabs>
            <w:spacing w:before="120" w:after="60"/>
          </w:pPr>
          <w:hyperlink w:anchor="_Toc100050" w:history="1">
            <w:r>
              <w:rPr>
                <w:rStyle w:val="Hyperlink"/>
              </w:rPr>
              <w:t>10.5 Seuil de Rentabilite</w:t>
            </w:r>
            <w:r>
              <w:tab/>
            </w:r>
            <w:r>
              <w:fldChar w:fldCharType="begin"/>
            </w:r>
            <w:r>
              <w:instrText xml:space="preserve"> PAGEREF _Toc100050 \h </w:instrText>
            </w:r>
            <w:r>
              <w:fldChar w:fldCharType="separate"/>
            </w:r>
            <w:r>
              <w:t>16</w:t>
            </w:r>
            <w:r>
              <w:fldChar w:fldCharType="end"/>
            </w:r>
          </w:hyperlink>
        </w:p>
        <w:p>
          <w:pPr>
            <w:pStyle w:val="11"/>
            <w:ind w:left="360"/>
            <w:tabs>
              <w:tab w:val="right" w:leader="dot" w:pos="9026"/>
            </w:tabs>
            <w:spacing w:before="120" w:after="60"/>
          </w:pPr>
          <w:hyperlink w:anchor="_Toc100051" w:history="1">
            <w:r>
              <w:rPr>
                <w:rStyle w:val="Hyperlink"/>
              </w:rPr>
              <w:t>10.6 Besoins de Financement</w:t>
            </w:r>
            <w:r>
              <w:tab/>
            </w:r>
            <w:r>
              <w:fldChar w:fldCharType="begin"/>
            </w:r>
            <w:r>
              <w:instrText xml:space="preserve"> PAGEREF _Toc100051 \h </w:instrText>
            </w:r>
            <w:r>
              <w:fldChar w:fldCharType="separate"/>
            </w:r>
            <w:r>
              <w:t>17</w:t>
            </w:r>
            <w:r>
              <w:fldChar w:fldCharType="end"/>
            </w:r>
          </w:hyperlink>
        </w:p>
        <w:p>
          <w:pPr>
            <w:pStyle w:val="9"/>
            <w:tabs>
              <w:tab w:val="right" w:leader="dot" w:pos="9026"/>
            </w:tabs>
            <w:spacing w:before="120" w:after="60"/>
          </w:pPr>
          <w:hyperlink w:anchor="_Toc100052" w:history="1">
            <w:r>
              <w:rPr>
                <w:rStyle w:val="Hyperlink"/>
              </w:rPr>
              <w:t>11. Analyse des Risques et Mesures d'Attenuation</w:t>
            </w:r>
            <w:r>
              <w:tab/>
            </w:r>
            <w:r>
              <w:fldChar w:fldCharType="begin"/>
            </w:r>
            <w:r>
              <w:instrText xml:space="preserve"> PAGEREF _Toc100052 \h </w:instrText>
            </w:r>
            <w:r>
              <w:fldChar w:fldCharType="separate"/>
            </w:r>
            <w:r>
              <w:t>17</w:t>
            </w:r>
            <w:r>
              <w:fldChar w:fldCharType="end"/>
            </w:r>
          </w:hyperlink>
        </w:p>
        <w:p>
          <w:pPr>
            <w:pStyle w:val="11"/>
            <w:ind w:left="360"/>
            <w:tabs>
              <w:tab w:val="right" w:leader="dot" w:pos="9026"/>
            </w:tabs>
            <w:spacing w:before="120" w:after="60"/>
          </w:pPr>
          <w:hyperlink w:anchor="_Toc100053" w:history="1">
            <w:r>
              <w:rPr>
                <w:rStyle w:val="Hyperlink"/>
              </w:rPr>
              <w:t>11.1 Risques Techniques</w:t>
            </w:r>
            <w:r>
              <w:tab/>
            </w:r>
            <w:r>
              <w:fldChar w:fldCharType="begin"/>
            </w:r>
            <w:r>
              <w:instrText xml:space="preserve"> PAGEREF _Toc100053 \h </w:instrText>
            </w:r>
            <w:r>
              <w:fldChar w:fldCharType="separate"/>
            </w:r>
            <w:r>
              <w:t>17</w:t>
            </w:r>
            <w:r>
              <w:fldChar w:fldCharType="end"/>
            </w:r>
          </w:hyperlink>
        </w:p>
        <w:p>
          <w:pPr>
            <w:pStyle w:val="11"/>
            <w:ind w:left="360"/>
            <w:tabs>
              <w:tab w:val="right" w:leader="dot" w:pos="9026"/>
            </w:tabs>
            <w:spacing w:before="120" w:after="60"/>
          </w:pPr>
          <w:hyperlink w:anchor="_Toc100054" w:history="1">
            <w:r>
              <w:rPr>
                <w:rStyle w:val="Hyperlink"/>
              </w:rPr>
              <w:t>11.2 Risques Commerciaux</w:t>
            </w:r>
            <w:r>
              <w:tab/>
            </w:r>
            <w:r>
              <w:fldChar w:fldCharType="begin"/>
            </w:r>
            <w:r>
              <w:instrText xml:space="preserve"> PAGEREF _Toc100054 \h </w:instrText>
            </w:r>
            <w:r>
              <w:fldChar w:fldCharType="separate"/>
            </w:r>
            <w:r>
              <w:t>18</w:t>
            </w:r>
            <w:r>
              <w:fldChar w:fldCharType="end"/>
            </w:r>
          </w:hyperlink>
        </w:p>
        <w:p>
          <w:pPr>
            <w:pStyle w:val="11"/>
            <w:ind w:left="360"/>
            <w:tabs>
              <w:tab w:val="right" w:leader="dot" w:pos="9026"/>
            </w:tabs>
            <w:spacing w:before="120" w:after="60"/>
          </w:pPr>
          <w:hyperlink w:anchor="_Toc100055" w:history="1">
            <w:r>
              <w:rPr>
                <w:rStyle w:val="Hyperlink"/>
              </w:rPr>
              <w:t>11.3 Risques Financiers</w:t>
            </w:r>
            <w:r>
              <w:tab/>
            </w:r>
            <w:r>
              <w:fldChar w:fldCharType="begin"/>
            </w:r>
            <w:r>
              <w:instrText xml:space="preserve"> PAGEREF _Toc100055 \h </w:instrText>
            </w:r>
            <w:r>
              <w:fldChar w:fldCharType="separate"/>
            </w:r>
            <w:r>
              <w:t>18</w:t>
            </w:r>
            <w:r>
              <w:fldChar w:fldCharType="end"/>
            </w:r>
          </w:hyperlink>
        </w:p>
        <w:p>
          <w:pPr>
            <w:pStyle w:val="11"/>
            <w:ind w:left="360"/>
            <w:tabs>
              <w:tab w:val="right" w:leader="dot" w:pos="9026"/>
            </w:tabs>
            <w:spacing w:before="120" w:after="60"/>
          </w:pPr>
          <w:hyperlink w:anchor="_Toc100056" w:history="1">
            <w:r>
              <w:rPr>
                <w:rStyle w:val="Hyperlink"/>
              </w:rPr>
              <w:t>11.4 Risques Reglementaires</w:t>
            </w:r>
            <w:r>
              <w:tab/>
            </w:r>
            <w:r>
              <w:fldChar w:fldCharType="begin"/>
            </w:r>
            <w:r>
              <w:instrText xml:space="preserve"> PAGEREF _Toc100056 \h </w:instrText>
            </w:r>
            <w:r>
              <w:fldChar w:fldCharType="separate"/>
            </w:r>
            <w:r>
              <w:t>18</w:t>
            </w:r>
            <w:r>
              <w:fldChar w:fldCharType="end"/>
            </w:r>
          </w:hyperlink>
        </w:p>
        <w:p>
          <w:pPr>
            <w:pStyle w:val="11"/>
            <w:ind w:left="360"/>
            <w:tabs>
              <w:tab w:val="right" w:leader="dot" w:pos="9026"/>
            </w:tabs>
            <w:spacing w:before="120" w:after="60"/>
          </w:pPr>
          <w:hyperlink w:anchor="_Toc100057" w:history="1">
            <w:r>
              <w:rPr>
                <w:rStyle w:val="Hyperlink"/>
              </w:rPr>
              <w:t>11.5 Matrice des Risques</w:t>
            </w:r>
            <w:r>
              <w:tab/>
            </w:r>
            <w:r>
              <w:fldChar w:fldCharType="begin"/>
            </w:r>
            <w:r>
              <w:instrText xml:space="preserve"> PAGEREF _Toc100057 \h </w:instrText>
            </w:r>
            <w:r>
              <w:fldChar w:fldCharType="separate"/>
            </w:r>
            <w:r>
              <w:t>19</w:t>
            </w:r>
            <w:r>
              <w:fldChar w:fldCharType="end"/>
            </w:r>
          </w:hyperlink>
        </w:p>
        <w:p>
          <w:pPr>
            <w:pStyle w:val="9"/>
            <w:tabs>
              <w:tab w:val="right" w:leader="dot" w:pos="9026"/>
            </w:tabs>
            <w:spacing w:before="120" w:after="60"/>
          </w:pPr>
          <w:hyperlink w:anchor="_Toc100058" w:history="1">
            <w:r>
              <w:rPr>
                <w:rStyle w:val="Hyperlink"/>
              </w:rPr>
              <w:t>12. Plan de Developpement a Moyen et Long Terme</w:t>
            </w:r>
            <w:r>
              <w:tab/>
            </w:r>
            <w:r>
              <w:fldChar w:fldCharType="begin"/>
            </w:r>
            <w:r>
              <w:instrText xml:space="preserve"> PAGEREF _Toc100058 \h </w:instrText>
            </w:r>
            <w:r>
              <w:fldChar w:fldCharType="separate"/>
            </w:r>
            <w:r>
              <w:t>19</w:t>
            </w:r>
            <w:r>
              <w:fldChar w:fldCharType="end"/>
            </w:r>
          </w:hyperlink>
        </w:p>
        <w:p>
          <w:pPr>
            <w:pStyle w:val="11"/>
            <w:ind w:left="360"/>
            <w:tabs>
              <w:tab w:val="right" w:leader="dot" w:pos="9026"/>
            </w:tabs>
            <w:spacing w:before="120" w:after="60"/>
          </w:pPr>
          <w:hyperlink w:anchor="_Toc100059" w:history="1">
            <w:r>
              <w:rPr>
                <w:rStyle w:val="Hyperlink"/>
              </w:rPr>
              <w:t>12.1 Vision a 5 Ans</w:t>
            </w:r>
            <w:r>
              <w:tab/>
            </w:r>
            <w:r>
              <w:fldChar w:fldCharType="begin"/>
            </w:r>
            <w:r>
              <w:instrText xml:space="preserve"> PAGEREF _Toc100059 \h </w:instrText>
            </w:r>
            <w:r>
              <w:fldChar w:fldCharType="separate"/>
            </w:r>
            <w:r>
              <w:t>19</w:t>
            </w:r>
            <w:r>
              <w:fldChar w:fldCharType="end"/>
            </w:r>
          </w:hyperlink>
        </w:p>
        <w:p>
          <w:pPr>
            <w:pStyle w:val="11"/>
            <w:ind w:left="360"/>
            <w:tabs>
              <w:tab w:val="right" w:leader="dot" w:pos="9026"/>
            </w:tabs>
            <w:spacing w:before="120" w:after="60"/>
          </w:pPr>
          <w:hyperlink w:anchor="_Toc100060" w:history="1">
            <w:r>
              <w:rPr>
                <w:rStyle w:val="Hyperlink"/>
              </w:rPr>
              <w:t>12.2 Axes de Developpement</w:t>
            </w:r>
            <w:r>
              <w:tab/>
            </w:r>
            <w:r>
              <w:fldChar w:fldCharType="begin"/>
            </w:r>
            <w:r>
              <w:instrText xml:space="preserve"> PAGEREF _Toc100060 \h </w:instrText>
            </w:r>
            <w:r>
              <w:fldChar w:fldCharType="separate"/>
            </w:r>
            <w:r>
              <w:t>19</w:t>
            </w:r>
            <w:r>
              <w:fldChar w:fldCharType="end"/>
            </w:r>
          </w:hyperlink>
        </w:p>
        <w:p>
          <w:pPr>
            <w:pStyle w:val="12"/>
            <w:ind w:left="720"/>
            <w:tabs>
              <w:tab w:val="right" w:leader="dot" w:pos="9026"/>
            </w:tabs>
            <w:spacing w:before="120" w:after="60"/>
          </w:pPr>
          <w:hyperlink w:anchor="_Toc100061" w:history="1">
            <w:r>
              <w:rPr>
                <w:rStyle w:val="Hyperlink"/>
              </w:rPr>
              <w:t>Axe 1 : Expansion geographique</w:t>
            </w:r>
            <w:r>
              <w:tab/>
            </w:r>
            <w:r>
              <w:fldChar w:fldCharType="begin"/>
            </w:r>
            <w:r>
              <w:instrText xml:space="preserve"> PAGEREF _Toc100061 \h </w:instrText>
            </w:r>
            <w:r>
              <w:fldChar w:fldCharType="separate"/>
            </w:r>
            <w:r>
              <w:t>20</w:t>
            </w:r>
            <w:r>
              <w:fldChar w:fldCharType="end"/>
            </w:r>
          </w:hyperlink>
        </w:p>
        <w:p>
          <w:pPr>
            <w:pStyle w:val="12"/>
            <w:ind w:left="720"/>
            <w:tabs>
              <w:tab w:val="right" w:leader="dot" w:pos="9026"/>
            </w:tabs>
            <w:spacing w:before="120" w:after="60"/>
          </w:pPr>
          <w:hyperlink w:anchor="_Toc100062" w:history="1">
            <w:r>
              <w:rPr>
                <w:rStyle w:val="Hyperlink"/>
              </w:rPr>
              <w:t>Axe 2 : Diversification produit</w:t>
            </w:r>
            <w:r>
              <w:tab/>
            </w:r>
            <w:r>
              <w:fldChar w:fldCharType="begin"/>
            </w:r>
            <w:r>
              <w:instrText xml:space="preserve"> PAGEREF _Toc100062 \h </w:instrText>
            </w:r>
            <w:r>
              <w:fldChar w:fldCharType="separate"/>
            </w:r>
            <w:r>
              <w:t>20</w:t>
            </w:r>
            <w:r>
              <w:fldChar w:fldCharType="end"/>
            </w:r>
          </w:hyperlink>
        </w:p>
        <w:p>
          <w:pPr>
            <w:pStyle w:val="12"/>
            <w:ind w:left="720"/>
            <w:tabs>
              <w:tab w:val="right" w:leader="dot" w:pos="9026"/>
            </w:tabs>
            <w:spacing w:before="120" w:after="60"/>
          </w:pPr>
          <w:hyperlink w:anchor="_Toc100063" w:history="1">
            <w:r>
              <w:rPr>
                <w:rStyle w:val="Hyperlink"/>
              </w:rPr>
              <w:t>Axe 3 : Excellence operationnelle et certification</w:t>
            </w:r>
            <w:r>
              <w:tab/>
            </w:r>
            <w:r>
              <w:fldChar w:fldCharType="begin"/>
            </w:r>
            <w:r>
              <w:instrText xml:space="preserve"> PAGEREF _Toc100063 \h </w:instrText>
            </w:r>
            <w:r>
              <w:fldChar w:fldCharType="separate"/>
            </w:r>
            <w:r>
              <w:t>20</w:t>
            </w:r>
            <w:r>
              <w:fldChar w:fldCharType="end"/>
            </w:r>
          </w:hyperlink>
        </w:p>
        <w:p>
          <w:pPr>
            <w:pStyle w:val="11"/>
            <w:ind w:left="360"/>
            <w:tabs>
              <w:tab w:val="right" w:leader="dot" w:pos="9026"/>
            </w:tabs>
            <w:spacing w:before="120" w:after="60"/>
          </w:pPr>
          <w:hyperlink w:anchor="_Toc100064" w:history="1">
            <w:r>
              <w:rPr>
                <w:rStyle w:val="Hyperlink"/>
              </w:rPr>
              <w:t>12.3 Indicateurs de Performance (KPI)</w:t>
            </w:r>
            <w:r>
              <w:tab/>
            </w:r>
            <w:r>
              <w:fldChar w:fldCharType="begin"/>
            </w:r>
            <w:r>
              <w:instrText xml:space="preserve"> PAGEREF _Toc100064 \h </w:instrText>
            </w:r>
            <w:r>
              <w:fldChar w:fldCharType="separate"/>
            </w:r>
            <w:r>
              <w:t>20</w:t>
            </w:r>
            <w:r>
              <w:fldChar w:fldCharType="end"/>
            </w:r>
          </w:hyperlink>
        </w:p>
        <w:p>
          <w:pPr>
            <w:pStyle w:val="9"/>
            <w:tabs>
              <w:tab w:val="right" w:leader="dot" w:pos="9026"/>
            </w:tabs>
            <w:spacing w:before="120" w:after="60"/>
          </w:pPr>
          <w:hyperlink w:anchor="_Toc100065" w:history="1">
            <w:r>
              <w:rPr>
                <w:rStyle w:val="Hyperlink"/>
              </w:rPr>
              <w:t>13. Conclusion</w:t>
            </w:r>
            <w:r>
              <w:tab/>
            </w:r>
            <w:r>
              <w:fldChar w:fldCharType="begin"/>
            </w:r>
            <w:r>
              <w:instrText xml:space="preserve"> PAGEREF _Toc100065 \h </w:instrText>
            </w:r>
            <w:r>
              <w:fldChar w:fldCharType="separate"/>
            </w:r>
            <w:r>
              <w:t>21</w:t>
            </w:r>
            <w:r>
              <w:fldChar w:fldCharType="end"/>
            </w:r>
          </w:hyperlink>
        </w:p>
        <w:p>
          <w:pPr>
            <w:pStyle w:val="9"/>
            <w:tabs>
              <w:tab w:val="right" w:leader="dot" w:pos="9026"/>
            </w:tabs>
            <w:spacing w:before="120" w:after="60"/>
          </w:pPr>
          <w:hyperlink w:anchor="_Toc100066" w:history="1">
            <w:r>
              <w:rPr>
                <w:rStyle w:val="Hyperlink"/>
              </w:rPr>
              <w:t>14. Annexes</w:t>
            </w:r>
            <w:r>
              <w:tab/>
            </w:r>
            <w:r>
              <w:fldChar w:fldCharType="begin"/>
            </w:r>
            <w:r>
              <w:instrText xml:space="preserve"> PAGEREF _Toc100066 \h </w:instrText>
            </w:r>
            <w:r>
              <w:fldChar w:fldCharType="separate"/>
            </w:r>
            <w:r>
              <w:t>21</w:t>
            </w:r>
            <w:r>
              <w:fldChar w:fldCharType="end"/>
            </w:r>
          </w:hyperlink>
        </w:p>
        <w:p>
          <w:pPr>
            <w:pStyle w:val="11"/>
            <w:ind w:left="360"/>
            <w:tabs>
              <w:tab w:val="right" w:leader="dot" w:pos="9026"/>
            </w:tabs>
            <w:spacing w:before="120" w:after="60"/>
          </w:pPr>
          <w:hyperlink w:anchor="_Toc100067" w:history="1">
            <w:r>
              <w:rPr>
                <w:rStyle w:val="Hyperlink"/>
              </w:rPr>
              <w:t>Annexe A : Fiche Technique Produit</w:t>
            </w:r>
            <w:r>
              <w:tab/>
            </w:r>
            <w:r>
              <w:fldChar w:fldCharType="begin"/>
            </w:r>
            <w:r>
              <w:instrText xml:space="preserve"> PAGEREF _Toc100067 \h </w:instrText>
            </w:r>
            <w:r>
              <w:fldChar w:fldCharType="separate"/>
            </w:r>
            <w:r>
              <w:t>21</w:t>
            </w:r>
            <w:r>
              <w:fldChar w:fldCharType="end"/>
            </w:r>
          </w:hyperlink>
        </w:p>
        <w:p>
          <w:pPr>
            <w:pStyle w:val="11"/>
            <w:ind w:left="360"/>
            <w:tabs>
              <w:tab w:val="right" w:leader="dot" w:pos="9026"/>
            </w:tabs>
            <w:spacing w:before="120" w:after="60"/>
          </w:pPr>
          <w:hyperlink w:anchor="_Toc100068" w:history="1">
            <w:r>
              <w:rPr>
                <w:rStyle w:val="Hyperlink"/>
              </w:rPr>
              <w:t>Annexe B : Calendrier Detaille du Lancement</w:t>
            </w:r>
            <w:r>
              <w:tab/>
            </w:r>
            <w:r>
              <w:fldChar w:fldCharType="begin"/>
            </w:r>
            <w:r>
              <w:instrText xml:space="preserve"> PAGEREF _Toc100068 \h </w:instrText>
            </w:r>
            <w:r>
              <w:fldChar w:fldCharType="separate"/>
            </w:r>
            <w:r>
              <w:t>21</w:t>
            </w:r>
            <w:r>
              <w:fldChar w:fldCharType="end"/>
            </w:r>
          </w:hyperlink>
        </w:p>
        <w:p>
          <w:pPr>
            <w:pStyle w:val="11"/>
            <w:ind w:left="360"/>
            <w:tabs>
              <w:tab w:val="right" w:leader="dot" w:pos="9026"/>
            </w:tabs>
            <w:spacing w:before="120" w:after="60"/>
          </w:pPr>
          <w:hyperlink w:anchor="_Toc100069" w:history="1">
            <w:r>
              <w:rPr>
                <w:rStyle w:val="Hyperlink"/>
              </w:rPr>
              <w:t>Annexe C : Contacts</w:t>
            </w:r>
            <w:r>
              <w:tab/>
            </w:r>
            <w:r>
              <w:fldChar w:fldCharType="begin"/>
            </w:r>
            <w:r>
              <w:instrText xml:space="preserve"> PAGEREF _Toc100069 \h </w:instrText>
            </w:r>
            <w:r>
              <w:fldChar w:fldCharType="separate"/>
            </w:r>
            <w:r>
              <w:t>22</w:t>
            </w:r>
            <w:r>
              <w:fldChar w:fldCharType="end"/>
            </w:r>
          </w:hyperlink>
        </w:p>
        <w:p>
          <w:pPr>
            <w:pStyle w:val="11"/>
            <w:ind w:left="360"/>
            <w:tabs>
              <w:tab w:val="right" w:leader="dot" w:pos="9026"/>
            </w:tabs>
            <w:spacing w:before="120" w:after="60"/>
          </w:pPr>
          <w:hyperlink w:anchor="_Toc100070" w:history="1">
            <w:r>
              <w:rPr>
                <w:rStyle w:val="Hyperlink"/>
              </w:rPr>
              <w:t>Annexe D : Cadre Reglementaire</w:t>
            </w:r>
            <w:r>
              <w:tab/>
            </w:r>
            <w:r>
              <w:fldChar w:fldCharType="begin"/>
            </w:r>
            <w:r>
              <w:instrText xml:space="preserve"> PAGEREF _Toc100070 \h </w:instrText>
            </w:r>
            <w:r>
              <w:fldChar w:fldCharType="separate"/>
            </w:r>
            <w:r>
              <w:t>22</w:t>
            </w:r>
            <w:r>
              <w:fldChar w:fldCharType="end"/>
            </w:r>
          </w:hyperlink>
        </w:p>
        <w:p>
          <w:r>
            <w:fldChar w:fldCharType="end"/>
          </w:r>
        </w:p>
      </w:sdtContent>
    </w:sdt>
    <w:p>
      <w:pPr>
        <w:spacing w:after="200" w:before="200"/>
      </w:pPr>
      <w:r>
        <w:rPr>
          <w:rFonts w:ascii="Calibri" w:cs="Calibri" w:eastAsia="Calibri" w:hAnsi="Calibri"/>
          <w:i/>
          <w:iCs/>
          <w:color w:val="808080"/>
          <w:sz w:val="18"/>
          <w:szCs w:val="18"/>
        </w:rPr>
        <w:t xml:space="preserve">Astuce : Pour mettre a jour la table des matieres, faites un clic droit dessus et selectionnez « Mettre a jour les champs ».</w:t>
      </w:r>
    </w:p>
    <w:p>
      <w:pPr>
        <w:sectPr>
          <w:headerReference w:type="default" r:id="rId7"/>
          <w:footerReference w:type="default" r:id="rId8"/>
          <w:pgSz w:w="11906" w:h="16838" w:orient="portrait"/>
          <w:pgMar w:top="1440" w:right="1440" w:bottom="1440" w:left="1440" w:header="708" w:footer="708" w:gutter="0"/>
          <w:pgNumType w:start="1"/>
          <w:titlePg/>
          <w:docGrid w:linePitch="360"/>
        </w:sectPr>
      </w:pPr>
    </w:p>
    <w:p>
      <w:pPr>
        <w:pStyle w:val="Heading1"/>
        <w:pBdr>
          <w:bottom w:val="single" w:color="2A7A65" w:sz="6"/>
        </w:pBdr>
        <w:spacing w:after="200" w:before="400" w:line="312"/>
      </w:pPr>
      <w:bookmarkStart w:id="100000" w:name="_Toc100000"/>
      <w:r>
        <w:rPr>
          <w:rFonts w:ascii="Times New Roman" w:cs="Times New Roman" w:eastAsia="Times New Roman" w:hAnsi="Times New Roman"/>
          <w:b/>
          <w:bCs/>
          <w:color w:val="2A7A65"/>
          <w:sz w:val="36"/>
          <w:szCs w:val="36"/>
        </w:rPr>
        <w:t xml:space="preserve">3. Resume Executif</w:t>
      </w:r>
      <w:bookmarkEnd w:id="100000"/>
    </w:p>
    <w:p>
      <w:pPr>
        <w:spacing w:after="120" w:line="312"/>
        <w:ind w:firstLine="480"/>
        <w:jc w:val="both"/>
      </w:pPr>
      <w:r>
        <w:rPr>
          <w:rFonts w:ascii="Calibri" w:cs="Calibri" w:eastAsia="Calibri" w:hAnsi="Calibri"/>
          <w:color w:val="000000"/>
          <w:sz w:val="22"/>
          <w:szCs w:val="22"/>
        </w:rPr>
        <w:t xml:space="preserve">Le Centre de Recherche Agricole LIAMBOU GISELE (LIG) presente son plan d'affaires pour le lancement en Cote d'Ivoire du biofertilisant Biodynamie, un produit innovant issu de plus de vingt annees de recherche et developpement. Ce projet s'inscrit dans un contexte mondial et regional favorable a la transition vers des pratiques agricoles durables et ecologiques, positionnant la Cote d'Ivoire comme un acteur majeur de l'agriculture biologique en Afrique de l'Ouest.</w:t>
      </w:r>
    </w:p>
    <w:p>
      <w:pPr>
        <w:spacing w:after="120" w:line="312"/>
        <w:ind w:firstLine="480"/>
        <w:jc w:val="both"/>
      </w:pPr>
      <w:r>
        <w:rPr>
          <w:rFonts w:ascii="Calibri" w:cs="Calibri" w:eastAsia="Calibri" w:hAnsi="Calibri"/>
          <w:color w:val="000000"/>
          <w:sz w:val="22"/>
          <w:szCs w:val="22"/>
        </w:rPr>
        <w:t xml:space="preserve">Le biofertilisant Biodynamie se distingue par sa formulation 100% naturelle et biodegradable, offrant des resultats visibles en dix jours seulement. Compatible avec l'ensemble des cultures tropicales, il regenere la vie microbienne des sols tout en maintenant un pH optimal de 7,5. Cette innovation repond aux defis majeurs de l'agriculture ivoirienne : degradation des sols, dependance aux intrants chimiques couteux et necessite d'augmenter les rendements de maniere durable.</w:t>
      </w:r>
    </w:p>
    <w:p>
      <w:pPr>
        <w:spacing w:after="120" w:line="312"/>
        <w:ind w:firstLine="480"/>
        <w:jc w:val="both"/>
      </w:pPr>
      <w:r>
        <w:rPr>
          <w:rFonts w:ascii="Calibri" w:cs="Calibri" w:eastAsia="Calibri" w:hAnsi="Calibri"/>
          <w:color w:val="000000"/>
          <w:sz w:val="22"/>
          <w:szCs w:val="22"/>
        </w:rPr>
        <w:t xml:space="preserve">Le lancement officiel est prevu le 10 decembre 2025 a Abidjan, en partenariat exclusif avec le Comptoir Agropastoral CI. Les objectifs a court terme (decembre 2025 - mars 2026) sont ambitieux mais realistes : vendre 29 tonnes de produit, former 500 agriculteurs et etablir au moins trois partenariats majeurs avec des acteurs institutionnels et industriels du secteur agricole. Le budget alloue au marketing et a la communication s'eleve a 46 millions de Fcfa, soit environ 70 000 EUR.</w:t>
      </w:r>
    </w:p>
    <w:p>
      <w:pPr>
        <w:spacing w:after="120" w:line="312"/>
        <w:ind w:firstLine="480"/>
        <w:jc w:val="both"/>
      </w:pPr>
      <w:r>
        <w:rPr>
          <w:rFonts w:ascii="Calibri" w:cs="Calibri" w:eastAsia="Calibri" w:hAnsi="Calibri"/>
          <w:color w:val="000000"/>
          <w:sz w:val="22"/>
          <w:szCs w:val="22"/>
        </w:rPr>
        <w:t xml:space="preserve">Les projections financieres sur trois ans montrent une trajectoire de croissance progressive : un chiffre d'affaires de 17,4 millions de Fcfa en annee 1 (phase de lancement), 64 millions de Fcfa en annee 2 (phase de croissance) et 135 millions de Fcfa en annee 3 (phase de maturite). Le seuil de rentabilite est attendu au cours de la deuxieme annee d'activite, confirmant la viabilite economique du projet.</w:t>
      </w:r>
    </w:p>
    <w:p>
      <w:pPr>
        <w:pStyle w:val="Heading1"/>
        <w:pBdr>
          <w:bottom w:val="single" w:color="2A7A65" w:sz="6"/>
        </w:pBdr>
        <w:spacing w:after="200" w:before="400" w:line="312"/>
      </w:pPr>
      <w:bookmarkStart w:id="100001" w:name="_Toc100001"/>
      <w:r>
        <w:rPr>
          <w:rFonts w:ascii="Times New Roman" w:cs="Times New Roman" w:eastAsia="Times New Roman" w:hAnsi="Times New Roman"/>
          <w:b/>
          <w:bCs/>
          <w:color w:val="2A7A65"/>
          <w:sz w:val="36"/>
          <w:szCs w:val="36"/>
        </w:rPr>
        <w:t xml:space="preserve">4. Presentation du Projet et de l'Entreprise</w:t>
      </w:r>
      <w:bookmarkEnd w:id="100001"/>
    </w:p>
    <w:p>
      <w:pPr>
        <w:pStyle w:val="Heading2"/>
        <w:spacing w:after="150" w:before="300" w:line="312"/>
      </w:pPr>
      <w:bookmarkStart w:id="100002" w:name="_Toc100002"/>
      <w:r>
        <w:rPr>
          <w:rFonts w:ascii="Times New Roman" w:cs="Times New Roman" w:eastAsia="Times New Roman" w:hAnsi="Times New Roman"/>
          <w:b/>
          <w:bCs/>
          <w:color w:val="2A7A65"/>
          <w:sz w:val="30"/>
          <w:szCs w:val="30"/>
        </w:rPr>
        <w:t xml:space="preserve">4.1 Historique et Genese</w:t>
      </w:r>
      <w:bookmarkEnd w:id="100002"/>
    </w:p>
    <w:p>
      <w:pPr>
        <w:spacing w:after="120" w:line="312"/>
        <w:ind w:firstLine="480"/>
        <w:jc w:val="both"/>
      </w:pPr>
      <w:r>
        <w:rPr>
          <w:rFonts w:ascii="Calibri" w:cs="Calibri" w:eastAsia="Calibri" w:hAnsi="Calibri"/>
          <w:color w:val="000000"/>
          <w:sz w:val="22"/>
          <w:szCs w:val="22"/>
        </w:rPr>
        <w:t xml:space="preserve">Le Centre de Recherche Agricole LIAMBOU GISELE (LIG) trouve ses origines dans la vision de sa fondatrice, Madame LIAMBOU GISELE, agronome de formation passionnee par les solutions agricoles durables. Depuis plus de vingt ans, elle consacre sa carriere a la recherche de formulations naturelles capables de regenerer les sols tropicaux tout en augmentant significativement les rendements agricoles. Ce travail de pionniere, mene dans des conditions souvent difficiles, a abouti a la mise au point du biofertilisant Biodynamie.</w:t>
      </w:r>
    </w:p>
    <w:p>
      <w:pPr>
        <w:spacing w:after="120" w:line="312"/>
        <w:ind w:firstLine="480"/>
        <w:jc w:val="both"/>
      </w:pPr>
      <w:r>
        <w:rPr>
          <w:rFonts w:ascii="Calibri" w:cs="Calibri" w:eastAsia="Calibri" w:hAnsi="Calibri"/>
          <w:color w:val="000000"/>
          <w:sz w:val="22"/>
          <w:szCs w:val="22"/>
        </w:rPr>
        <w:t xml:space="preserve">Les premieres experimentations ont ete conduites sur des parcelles experimentales en zone tropicale, ou les resultats ont rapidement depasse les attentes : augmentation des rendements de 30 a 50 pourcent selon les cultures, restauration de la biodiversite microbienne des sols et reduction drastique de l'utilisation d'engrais chimiques. Ces resultats ont ete confirmes par des essais complementaires menes en partenariat avec des institutions de recherche locales et regionales.</w:t>
      </w:r>
    </w:p>
    <w:p>
      <w:pPr>
        <w:spacing w:after="120" w:line="312"/>
        <w:ind w:firstLine="480"/>
        <w:jc w:val="both"/>
      </w:pPr>
      <w:r>
        <w:rPr>
          <w:rFonts w:ascii="Calibri" w:cs="Calibri" w:eastAsia="Calibri" w:hAnsi="Calibri"/>
          <w:color w:val="000000"/>
          <w:sz w:val="22"/>
          <w:szCs w:val="22"/>
        </w:rPr>
        <w:t xml:space="preserve">La decision d'implanter le projet en Cote d'Ivoire repose sur une conjugaison de facteurs strategiques : premier producteur mondial de cacao, economie agricole representant 25 pourcent du PIB, cadre reglementaire favorable a l'agriculture biologique (Loi n02015-537, Strategie Bio 2030) et positionnement geopolitique privilegie en Afrique de l'Ouest. Le pays constitue ainsi un marche naturel pour Biodynamie et une plateforme de lancement ideale vers les marches sous-regionaux.</w:t>
      </w:r>
    </w:p>
    <w:p>
      <w:pPr>
        <w:pStyle w:val="Heading2"/>
        <w:spacing w:after="150" w:before="300" w:line="312"/>
      </w:pPr>
      <w:bookmarkStart w:id="100003" w:name="_Toc100003"/>
      <w:r>
        <w:rPr>
          <w:rFonts w:ascii="Times New Roman" w:cs="Times New Roman" w:eastAsia="Times New Roman" w:hAnsi="Times New Roman"/>
          <w:b/>
          <w:bCs/>
          <w:color w:val="2A7A65"/>
          <w:sz w:val="30"/>
          <w:szCs w:val="30"/>
        </w:rPr>
        <w:t xml:space="preserve">4.2 Vision, Mission et Valeurs</w:t>
      </w:r>
      <w:bookmarkEnd w:id="100003"/>
    </w:p>
    <w:p>
      <w:pPr>
        <w:pStyle w:val="Heading3"/>
        <w:spacing w:after="100" w:before="200" w:line="312"/>
      </w:pPr>
      <w:bookmarkStart w:id="100004" w:name="_Toc100004"/>
      <w:r>
        <w:rPr>
          <w:rFonts w:ascii="Times New Roman" w:cs="Times New Roman" w:eastAsia="Times New Roman" w:hAnsi="Times New Roman"/>
          <w:b/>
          <w:bCs/>
          <w:color w:val="2A7A65"/>
          <w:sz w:val="26"/>
          <w:szCs w:val="26"/>
        </w:rPr>
        <w:t xml:space="preserve">Vision</w:t>
      </w:r>
      <w:bookmarkEnd w:id="100004"/>
    </w:p>
    <w:p>
      <w:pPr>
        <w:spacing w:after="120" w:line="312"/>
        <w:ind w:firstLine="480"/>
        <w:jc w:val="both"/>
      </w:pPr>
      <w:r>
        <w:rPr>
          <w:rFonts w:ascii="Calibri" w:cs="Calibri" w:eastAsia="Calibri" w:hAnsi="Calibri"/>
          <w:color w:val="000000"/>
          <w:sz w:val="22"/>
          <w:szCs w:val="22"/>
        </w:rPr>
        <w:t xml:space="preserve">Devenir le leader africain des solutions de biofertilisation d'ici 2030, en contribuant a la transformation durable des systemes agricoles tropicaux et a la securite alimentaire du continent.</w:t>
      </w:r>
    </w:p>
    <w:p>
      <w:pPr>
        <w:pStyle w:val="Heading3"/>
        <w:spacing w:after="100" w:before="200" w:line="312"/>
      </w:pPr>
      <w:bookmarkStart w:id="100005" w:name="_Toc100005"/>
      <w:r>
        <w:rPr>
          <w:rFonts w:ascii="Times New Roman" w:cs="Times New Roman" w:eastAsia="Times New Roman" w:hAnsi="Times New Roman"/>
          <w:b/>
          <w:bCs/>
          <w:color w:val="2A7A65"/>
          <w:sz w:val="26"/>
          <w:szCs w:val="26"/>
        </w:rPr>
        <w:t xml:space="preserve">Mission</w:t>
      </w:r>
      <w:bookmarkEnd w:id="100005"/>
    </w:p>
    <w:p>
      <w:pPr>
        <w:spacing w:after="120" w:line="312"/>
        <w:ind w:firstLine="480"/>
        <w:jc w:val="both"/>
      </w:pPr>
      <w:r>
        <w:rPr>
          <w:rFonts w:ascii="Calibri" w:cs="Calibri" w:eastAsia="Calibri" w:hAnsi="Calibri"/>
          <w:color w:val="000000"/>
          <w:sz w:val="22"/>
          <w:szCs w:val="22"/>
        </w:rPr>
        <w:t xml:space="preserve">Fournir aux agriculteurs africains des solutions de fertilisation 100% naturelles, efficaces et accessibles, qui regenerent les sols, augmentent les rendements et preservent l'environnement pour les generations futures.</w:t>
      </w:r>
    </w:p>
    <w:p>
      <w:pPr>
        <w:pStyle w:val="Heading3"/>
        <w:spacing w:after="100" w:before="200" w:line="312"/>
      </w:pPr>
      <w:bookmarkStart w:id="100006" w:name="_Toc100006"/>
      <w:r>
        <w:rPr>
          <w:rFonts w:ascii="Times New Roman" w:cs="Times New Roman" w:eastAsia="Times New Roman" w:hAnsi="Times New Roman"/>
          <w:b/>
          <w:bCs/>
          <w:color w:val="2A7A65"/>
          <w:sz w:val="26"/>
          <w:szCs w:val="26"/>
        </w:rPr>
        <w:t xml:space="preserve">Valeurs</w:t>
      </w:r>
      <w:bookmarkEnd w:id="100006"/>
    </w:p>
    <w:p>
      <w:pPr>
        <w:pStyle w:val="ListParagraph"/>
        <w:numPr>
          <w:ilvl w:val="0"/>
          <w:numId w:val="1"/>
        </w:numPr>
        <w:spacing w:after="80" w:line="312"/>
        <w:jc w:val="both"/>
      </w:pPr>
      <w:r>
        <w:rPr>
          <w:rFonts w:ascii="Calibri" w:cs="Calibri" w:eastAsia="Calibri" w:hAnsi="Calibri"/>
          <w:b/>
          <w:bCs/>
          <w:color w:val="000000"/>
          <w:sz w:val="22"/>
          <w:szCs w:val="22"/>
        </w:rPr>
        <w:t xml:space="preserve">Innovation : </w:t>
      </w:r>
      <w:r>
        <w:rPr>
          <w:rFonts w:ascii="Calibri" w:cs="Calibri" w:eastAsia="Calibri" w:hAnsi="Calibri"/>
          <w:color w:val="000000"/>
          <w:sz w:val="22"/>
          <w:szCs w:val="22"/>
        </w:rPr>
        <w:t xml:space="preserve">Portee par la recherche scientifique rigoureuse et l'amelioration continue de nos formulations.</w:t>
      </w:r>
    </w:p>
    <w:p>
      <w:pPr>
        <w:pStyle w:val="ListParagraph"/>
        <w:numPr>
          <w:ilvl w:val="0"/>
          <w:numId w:val="1"/>
        </w:numPr>
        <w:spacing w:after="80" w:line="312"/>
        <w:jc w:val="both"/>
      </w:pPr>
      <w:r>
        <w:rPr>
          <w:rFonts w:ascii="Calibri" w:cs="Calibri" w:eastAsia="Calibri" w:hAnsi="Calibri"/>
          <w:b/>
          <w:bCs/>
          <w:color w:val="000000"/>
          <w:sz w:val="22"/>
          <w:szCs w:val="22"/>
        </w:rPr>
        <w:t xml:space="preserve">Durabilite : </w:t>
      </w:r>
      <w:r>
        <w:rPr>
          <w:rFonts w:ascii="Calibri" w:cs="Calibri" w:eastAsia="Calibri" w:hAnsi="Calibri"/>
          <w:color w:val="000000"/>
          <w:sz w:val="22"/>
          <w:szCs w:val="22"/>
        </w:rPr>
        <w:t xml:space="preserve">Engagement total envers la preservation des ecosystemes et la regeneration des sols.</w:t>
      </w:r>
    </w:p>
    <w:p>
      <w:pPr>
        <w:pStyle w:val="ListParagraph"/>
        <w:numPr>
          <w:ilvl w:val="0"/>
          <w:numId w:val="1"/>
        </w:numPr>
        <w:spacing w:after="80" w:line="312"/>
        <w:jc w:val="both"/>
      </w:pPr>
      <w:r>
        <w:rPr>
          <w:rFonts w:ascii="Calibri" w:cs="Calibri" w:eastAsia="Calibri" w:hAnsi="Calibri"/>
          <w:b/>
          <w:bCs/>
          <w:color w:val="000000"/>
          <w:sz w:val="22"/>
          <w:szCs w:val="22"/>
        </w:rPr>
        <w:t xml:space="preserve">Accessibilite : </w:t>
      </w:r>
      <w:r>
        <w:rPr>
          <w:rFonts w:ascii="Calibri" w:cs="Calibri" w:eastAsia="Calibri" w:hAnsi="Calibri"/>
          <w:color w:val="000000"/>
          <w:sz w:val="22"/>
          <w:szCs w:val="22"/>
        </w:rPr>
        <w:t xml:space="preserve">Rendre les solutions biologiques abordables pour tous les agriculteurs, des petits exploitants aux agro-industriels.</w:t>
      </w:r>
    </w:p>
    <w:p>
      <w:pPr>
        <w:pStyle w:val="ListParagraph"/>
        <w:numPr>
          <w:ilvl w:val="0"/>
          <w:numId w:val="1"/>
        </w:numPr>
        <w:spacing w:after="80" w:line="312"/>
        <w:jc w:val="both"/>
      </w:pPr>
      <w:r>
        <w:rPr>
          <w:rFonts w:ascii="Calibri" w:cs="Calibri" w:eastAsia="Calibri" w:hAnsi="Calibri"/>
          <w:b/>
          <w:bCs/>
          <w:color w:val="000000"/>
          <w:sz w:val="22"/>
          <w:szCs w:val="22"/>
        </w:rPr>
        <w:t xml:space="preserve">Integrite : </w:t>
      </w:r>
      <w:r>
        <w:rPr>
          <w:rFonts w:ascii="Calibri" w:cs="Calibri" w:eastAsia="Calibri" w:hAnsi="Calibri"/>
          <w:color w:val="000000"/>
          <w:sz w:val="22"/>
          <w:szCs w:val="22"/>
        </w:rPr>
        <w:t xml:space="preserve">Transparence totale sur la composition, les resultats et les pratiques commerciales.</w:t>
      </w:r>
    </w:p>
    <w:p>
      <w:pPr>
        <w:pStyle w:val="ListParagraph"/>
        <w:numPr>
          <w:ilvl w:val="0"/>
          <w:numId w:val="1"/>
        </w:numPr>
        <w:spacing w:after="80" w:line="312"/>
        <w:jc w:val="both"/>
      </w:pPr>
      <w:r>
        <w:rPr>
          <w:rFonts w:ascii="Calibri" w:cs="Calibri" w:eastAsia="Calibri" w:hAnsi="Calibri"/>
          <w:b/>
          <w:bCs/>
          <w:color w:val="000000"/>
          <w:sz w:val="22"/>
          <w:szCs w:val="22"/>
        </w:rPr>
        <w:t xml:space="preserve">Impact social : </w:t>
      </w:r>
      <w:r>
        <w:rPr>
          <w:rFonts w:ascii="Calibri" w:cs="Calibri" w:eastAsia="Calibri" w:hAnsi="Calibri"/>
          <w:color w:val="000000"/>
          <w:sz w:val="22"/>
          <w:szCs w:val="22"/>
        </w:rPr>
        <w:t xml:space="preserve">Contribution active au developpement des communautes rurales et a l'autonomisation des agriculteurs.</w:t>
      </w:r>
    </w:p>
    <w:p>
      <w:pPr>
        <w:pStyle w:val="Heading2"/>
        <w:spacing w:after="150" w:before="300" w:line="312"/>
      </w:pPr>
      <w:bookmarkStart w:id="100007" w:name="_Toc100007"/>
      <w:r>
        <w:rPr>
          <w:rFonts w:ascii="Times New Roman" w:cs="Times New Roman" w:eastAsia="Times New Roman" w:hAnsi="Times New Roman"/>
          <w:b/>
          <w:bCs/>
          <w:color w:val="2A7A65"/>
          <w:sz w:val="30"/>
          <w:szCs w:val="30"/>
        </w:rPr>
        <w:t xml:space="preserve">4.3 Structure Juridique et Organisationnelle</w:t>
      </w:r>
      <w:bookmarkEnd w:id="100007"/>
    </w:p>
    <w:p>
      <w:pPr>
        <w:spacing w:after="120" w:line="312"/>
        <w:ind w:firstLine="480"/>
        <w:jc w:val="both"/>
      </w:pPr>
      <w:r>
        <w:rPr>
          <w:rFonts w:ascii="Calibri" w:cs="Calibri" w:eastAsia="Calibri" w:hAnsi="Calibri"/>
          <w:color w:val="000000"/>
          <w:sz w:val="22"/>
          <w:szCs w:val="22"/>
        </w:rPr>
        <w:t xml:space="preserve">Le Centre de Recherche Agricole LIAMBOU GISELE opere sous la forme juridique d'une societe a responsabilite limitee (SARL) immatriculee en Cote d'Ivoire. Cette structure offre la flexibilite necessaire pour une jeune entreprise en phase de lancement tout en garantissant la securite juridique des partenaires et investisseurs. Le capital social est detenu majoritairement par la fondatrice, avec une participation strategique du Comptoir Agropastoral CI.</w:t>
      </w:r>
    </w:p>
    <w:p>
      <w:pPr>
        <w:spacing w:after="120" w:line="312"/>
        <w:ind w:firstLine="480"/>
        <w:jc w:val="both"/>
      </w:pPr>
      <w:r>
        <w:rPr>
          <w:rFonts w:ascii="Calibri" w:cs="Calibri" w:eastAsia="Calibri" w:hAnsi="Calibri"/>
          <w:color w:val="000000"/>
          <w:sz w:val="22"/>
          <w:szCs w:val="22"/>
        </w:rPr>
        <w:t xml:space="preserve">L'organisation est articulee autour de quatre directions cles : la Direction Generale assuree par la fondatrice, la Direction de la Recherche et du Developpement responsible de l'innovation produit, la Direction Commerciale et Marketing en charge du deploiement marche, et la Direction Administrative et Financiere qui gere les operations et la trésorerie. Cette structure lean permet une reactivite maximale tout en couvrant l'ensemble des fonctions critiques de l'entreprise.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0%"/>
            <w:shd w:fill="2A7A65" w:val="clear"/>
            <w:vAlign w:val="center"/>
          </w:tcPr>
          <w:p>
            <w:pPr>
              <w:spacing w:after="40" w:before="40"/>
              <w:jc w:val="center"/>
            </w:pPr>
            <w:r>
              <w:rPr>
                <w:rFonts w:ascii="Calibri" w:cs="Calibri" w:eastAsia="Calibri" w:hAnsi="Calibri"/>
                <w:b/>
                <w:bCs/>
                <w:color w:val="FFFFFF"/>
                <w:sz w:val="20"/>
                <w:szCs w:val="20"/>
              </w:rPr>
              <w:t xml:space="preserve">Direction</w:t>
            </w:r>
          </w:p>
        </w:tc>
        <w:tc>
          <w:tcPr>
            <w:tcW w:type="pct" w:w="25%"/>
            <w:shd w:fill="2A7A65" w:val="clear"/>
            <w:vAlign w:val="center"/>
          </w:tcPr>
          <w:p>
            <w:pPr>
              <w:spacing w:after="40" w:before="40"/>
              <w:jc w:val="center"/>
            </w:pPr>
            <w:r>
              <w:rPr>
                <w:rFonts w:ascii="Calibri" w:cs="Calibri" w:eastAsia="Calibri" w:hAnsi="Calibri"/>
                <w:b/>
                <w:bCs/>
                <w:color w:val="FFFFFF"/>
                <w:sz w:val="20"/>
                <w:szCs w:val="20"/>
              </w:rPr>
              <w:t xml:space="preserve">Responsable</w:t>
            </w:r>
          </w:p>
        </w:tc>
        <w:tc>
          <w:tcPr>
            <w:tcW w:type="pct" w:w="15%"/>
            <w:shd w:fill="2A7A65" w:val="clear"/>
            <w:vAlign w:val="center"/>
          </w:tcPr>
          <w:p>
            <w:pPr>
              <w:spacing w:after="40" w:before="40"/>
              <w:jc w:val="center"/>
            </w:pPr>
            <w:r>
              <w:rPr>
                <w:rFonts w:ascii="Calibri" w:cs="Calibri" w:eastAsia="Calibri" w:hAnsi="Calibri"/>
                <w:b/>
                <w:bCs/>
                <w:color w:val="FFFFFF"/>
                <w:sz w:val="20"/>
                <w:szCs w:val="20"/>
              </w:rPr>
              <w:t xml:space="preserve">Effectif initial</w:t>
            </w:r>
          </w:p>
        </w:tc>
        <w:tc>
          <w:tcPr>
            <w:tcW w:type="pct" w:w="40%"/>
            <w:shd w:fill="2A7A65" w:val="clear"/>
            <w:vAlign w:val="center"/>
          </w:tcPr>
          <w:p>
            <w:pPr>
              <w:spacing w:after="40" w:before="40"/>
              <w:jc w:val="center"/>
            </w:pPr>
            <w:r>
              <w:rPr>
                <w:rFonts w:ascii="Calibri" w:cs="Calibri" w:eastAsia="Calibri" w:hAnsi="Calibri"/>
                <w:b/>
                <w:bCs/>
                <w:color w:val="FFFFFF"/>
                <w:sz w:val="20"/>
                <w:szCs w:val="20"/>
              </w:rPr>
              <w:t xml:space="preserve">Missions principales</w:t>
            </w:r>
          </w:p>
        </w:tc>
      </w:tr>
      <w:tr>
        <w:tc>
          <w:tcPr>
            <w:tcW w:type="pct" w:w="20%"/>
            <w:vAlign w:val="center"/>
          </w:tcPr>
          <w:p>
            <w:pPr>
              <w:spacing w:after="30" w:before="30"/>
              <w:jc w:val="left"/>
            </w:pPr>
            <w:r>
              <w:rPr>
                <w:rFonts w:ascii="Calibri" w:cs="Calibri" w:eastAsia="Calibri" w:hAnsi="Calibri"/>
                <w:color w:val="000000"/>
                <w:sz w:val="20"/>
                <w:szCs w:val="20"/>
              </w:rPr>
              <w:t xml:space="preserve">Direction Generale</w:t>
            </w:r>
          </w:p>
        </w:tc>
        <w:tc>
          <w:tcPr>
            <w:tcW w:type="pct" w:w="25%"/>
            <w:vAlign w:val="center"/>
          </w:tcPr>
          <w:p>
            <w:pPr>
              <w:spacing w:after="30" w:before="30"/>
              <w:jc w:val="left"/>
            </w:pPr>
            <w:r>
              <w:rPr>
                <w:rFonts w:ascii="Calibri" w:cs="Calibri" w:eastAsia="Calibri" w:hAnsi="Calibri"/>
                <w:color w:val="000000"/>
                <w:sz w:val="20"/>
                <w:szCs w:val="20"/>
              </w:rPr>
              <w:t xml:space="preserve">Fondatrice LIAMBOU G.</w:t>
            </w:r>
          </w:p>
        </w:tc>
        <w:tc>
          <w:tcPr>
            <w:tcW w:type="pct" w:w="15%"/>
            <w:vAlign w:val="center"/>
          </w:tcPr>
          <w:p>
            <w:pPr>
              <w:spacing w:after="30" w:before="30"/>
              <w:jc w:val="left"/>
            </w:pPr>
            <w:r>
              <w:rPr>
                <w:rFonts w:ascii="Calibri" w:cs="Calibri" w:eastAsia="Calibri" w:hAnsi="Calibri"/>
                <w:color w:val="000000"/>
                <w:sz w:val="20"/>
                <w:szCs w:val="20"/>
              </w:rPr>
              <w:t xml:space="preserve">1</w:t>
            </w:r>
          </w:p>
        </w:tc>
        <w:tc>
          <w:tcPr>
            <w:tcW w:type="pct" w:w="40%"/>
            <w:vAlign w:val="center"/>
          </w:tcPr>
          <w:p>
            <w:pPr>
              <w:spacing w:after="30" w:before="30"/>
              <w:jc w:val="left"/>
            </w:pPr>
            <w:r>
              <w:rPr>
                <w:rFonts w:ascii="Calibri" w:cs="Calibri" w:eastAsia="Calibri" w:hAnsi="Calibri"/>
                <w:color w:val="000000"/>
                <w:sz w:val="20"/>
                <w:szCs w:val="20"/>
              </w:rPr>
              <w:t xml:space="preserve">Strategie, pilotage, partenariats</w:t>
            </w:r>
          </w:p>
        </w:tc>
      </w:tr>
      <w:tr>
        <w:tc>
          <w:tcPr>
            <w:tcW w:type="pct" w:w="20%"/>
            <w:shd w:fill="EDF5F2" w:val="clear"/>
            <w:vAlign w:val="center"/>
          </w:tcPr>
          <w:p>
            <w:pPr>
              <w:spacing w:after="30" w:before="30"/>
              <w:jc w:val="left"/>
            </w:pPr>
            <w:r>
              <w:rPr>
                <w:rFonts w:ascii="Calibri" w:cs="Calibri" w:eastAsia="Calibri" w:hAnsi="Calibri"/>
                <w:color w:val="000000"/>
                <w:sz w:val="20"/>
                <w:szCs w:val="20"/>
              </w:rPr>
              <w:t xml:space="preserve">R&amp;D et Qualite</w:t>
            </w:r>
          </w:p>
        </w:tc>
        <w:tc>
          <w:tcPr>
            <w:tcW w:type="pct" w:w="25%"/>
            <w:shd w:fill="EDF5F2" w:val="clear"/>
            <w:vAlign w:val="center"/>
          </w:tcPr>
          <w:p>
            <w:pPr>
              <w:spacing w:after="30" w:before="30"/>
              <w:jc w:val="left"/>
            </w:pPr>
            <w:r>
              <w:rPr>
                <w:rFonts w:ascii="Calibri" w:cs="Calibri" w:eastAsia="Calibri" w:hAnsi="Calibri"/>
                <w:color w:val="000000"/>
                <w:sz w:val="20"/>
                <w:szCs w:val="20"/>
              </w:rPr>
              <w:t xml:space="preserve">Directeur R&amp;D</w:t>
            </w:r>
          </w:p>
        </w:tc>
        <w:tc>
          <w:tcPr>
            <w:tcW w:type="pct" w:w="15%"/>
            <w:shd w:fill="EDF5F2" w:val="clear"/>
            <w:vAlign w:val="center"/>
          </w:tcPr>
          <w:p>
            <w:pPr>
              <w:spacing w:after="30" w:before="30"/>
              <w:jc w:val="left"/>
            </w:pPr>
            <w:r>
              <w:rPr>
                <w:rFonts w:ascii="Calibri" w:cs="Calibri" w:eastAsia="Calibri" w:hAnsi="Calibri"/>
                <w:color w:val="000000"/>
                <w:sz w:val="20"/>
                <w:szCs w:val="20"/>
              </w:rPr>
              <w:t xml:space="preserve">3</w:t>
            </w:r>
          </w:p>
        </w:tc>
        <w:tc>
          <w:tcPr>
            <w:tcW w:type="pct" w:w="40%"/>
            <w:shd w:fill="EDF5F2" w:val="clear"/>
            <w:vAlign w:val="center"/>
          </w:tcPr>
          <w:p>
            <w:pPr>
              <w:spacing w:after="30" w:before="30"/>
              <w:jc w:val="left"/>
            </w:pPr>
            <w:r>
              <w:rPr>
                <w:rFonts w:ascii="Calibri" w:cs="Calibri" w:eastAsia="Calibri" w:hAnsi="Calibri"/>
                <w:color w:val="000000"/>
                <w:sz w:val="20"/>
                <w:szCs w:val="20"/>
              </w:rPr>
              <w:t xml:space="preserve">Innovation, controles qualite, essais</w:t>
            </w:r>
          </w:p>
        </w:tc>
      </w:tr>
      <w:tr>
        <w:tc>
          <w:tcPr>
            <w:tcW w:type="pct" w:w="20%"/>
            <w:vAlign w:val="center"/>
          </w:tcPr>
          <w:p>
            <w:pPr>
              <w:spacing w:after="30" w:before="30"/>
              <w:jc w:val="left"/>
            </w:pPr>
            <w:r>
              <w:rPr>
                <w:rFonts w:ascii="Calibri" w:cs="Calibri" w:eastAsia="Calibri" w:hAnsi="Calibri"/>
                <w:color w:val="000000"/>
                <w:sz w:val="20"/>
                <w:szCs w:val="20"/>
              </w:rPr>
              <w:t xml:space="preserve">Commerciale et Marketing</w:t>
            </w:r>
          </w:p>
        </w:tc>
        <w:tc>
          <w:tcPr>
            <w:tcW w:type="pct" w:w="25%"/>
            <w:vAlign w:val="center"/>
          </w:tcPr>
          <w:p>
            <w:pPr>
              <w:spacing w:after="30" w:before="30"/>
              <w:jc w:val="left"/>
            </w:pPr>
            <w:r>
              <w:rPr>
                <w:rFonts w:ascii="Calibri" w:cs="Calibri" w:eastAsia="Calibri" w:hAnsi="Calibri"/>
                <w:color w:val="000000"/>
                <w:sz w:val="20"/>
                <w:szCs w:val="20"/>
              </w:rPr>
              <w:t xml:space="preserve">Directeur Commercial</w:t>
            </w:r>
          </w:p>
        </w:tc>
        <w:tc>
          <w:tcPr>
            <w:tcW w:type="pct" w:w="15%"/>
            <w:vAlign w:val="center"/>
          </w:tcPr>
          <w:p>
            <w:pPr>
              <w:spacing w:after="30" w:before="30"/>
              <w:jc w:val="left"/>
            </w:pPr>
            <w:r>
              <w:rPr>
                <w:rFonts w:ascii="Calibri" w:cs="Calibri" w:eastAsia="Calibri" w:hAnsi="Calibri"/>
                <w:color w:val="000000"/>
                <w:sz w:val="20"/>
                <w:szCs w:val="20"/>
              </w:rPr>
              <w:t xml:space="preserve">5</w:t>
            </w:r>
          </w:p>
        </w:tc>
        <w:tc>
          <w:tcPr>
            <w:tcW w:type="pct" w:w="40%"/>
            <w:vAlign w:val="center"/>
          </w:tcPr>
          <w:p>
            <w:pPr>
              <w:spacing w:after="30" w:before="30"/>
              <w:jc w:val="left"/>
            </w:pPr>
            <w:r>
              <w:rPr>
                <w:rFonts w:ascii="Calibri" w:cs="Calibri" w:eastAsia="Calibri" w:hAnsi="Calibri"/>
                <w:color w:val="000000"/>
                <w:sz w:val="20"/>
                <w:szCs w:val="20"/>
              </w:rPr>
              <w:t xml:space="preserve">Ventes, marketing, distribution</w:t>
            </w:r>
          </w:p>
        </w:tc>
      </w:tr>
      <w:tr>
        <w:tc>
          <w:tcPr>
            <w:tcW w:type="pct" w:w="20%"/>
            <w:shd w:fill="EDF5F2" w:val="clear"/>
            <w:vAlign w:val="center"/>
          </w:tcPr>
          <w:p>
            <w:pPr>
              <w:spacing w:after="30" w:before="30"/>
              <w:jc w:val="left"/>
            </w:pPr>
            <w:r>
              <w:rPr>
                <w:rFonts w:ascii="Calibri" w:cs="Calibri" w:eastAsia="Calibri" w:hAnsi="Calibri"/>
                <w:color w:val="000000"/>
                <w:sz w:val="20"/>
                <w:szCs w:val="20"/>
              </w:rPr>
              <w:t xml:space="preserve">Administrative et Financiere</w:t>
            </w:r>
          </w:p>
        </w:tc>
        <w:tc>
          <w:tcPr>
            <w:tcW w:type="pct" w:w="25%"/>
            <w:shd w:fill="EDF5F2" w:val="clear"/>
            <w:vAlign w:val="center"/>
          </w:tcPr>
          <w:p>
            <w:pPr>
              <w:spacing w:after="30" w:before="30"/>
              <w:jc w:val="left"/>
            </w:pPr>
            <w:r>
              <w:rPr>
                <w:rFonts w:ascii="Calibri" w:cs="Calibri" w:eastAsia="Calibri" w:hAnsi="Calibri"/>
                <w:color w:val="000000"/>
                <w:sz w:val="20"/>
                <w:szCs w:val="20"/>
              </w:rPr>
              <w:t xml:space="preserve">Directrice Admin.</w:t>
            </w:r>
          </w:p>
        </w:tc>
        <w:tc>
          <w:tcPr>
            <w:tcW w:type="pct" w:w="15%"/>
            <w:shd w:fill="EDF5F2" w:val="clear"/>
            <w:vAlign w:val="center"/>
          </w:tcPr>
          <w:p>
            <w:pPr>
              <w:spacing w:after="30" w:before="30"/>
              <w:jc w:val="left"/>
            </w:pPr>
            <w:r>
              <w:rPr>
                <w:rFonts w:ascii="Calibri" w:cs="Calibri" w:eastAsia="Calibri" w:hAnsi="Calibri"/>
                <w:color w:val="000000"/>
                <w:sz w:val="20"/>
                <w:szCs w:val="20"/>
              </w:rPr>
              <w:t xml:space="preserve">2</w:t>
            </w:r>
          </w:p>
        </w:tc>
        <w:tc>
          <w:tcPr>
            <w:tcW w:type="pct" w:w="40%"/>
            <w:shd w:fill="EDF5F2" w:val="clear"/>
            <w:vAlign w:val="center"/>
          </w:tcPr>
          <w:p>
            <w:pPr>
              <w:spacing w:after="30" w:before="30"/>
              <w:jc w:val="left"/>
            </w:pPr>
            <w:r>
              <w:rPr>
                <w:rFonts w:ascii="Calibri" w:cs="Calibri" w:eastAsia="Calibri" w:hAnsi="Calibri"/>
                <w:color w:val="000000"/>
                <w:sz w:val="20"/>
                <w:szCs w:val="20"/>
              </w:rPr>
              <w:t xml:space="preserve">Comptabilite, RH, juridique</w:t>
            </w:r>
          </w:p>
        </w:tc>
      </w:tr>
      <w:tr>
        <w:tc>
          <w:tcPr>
            <w:tcW w:type="pct" w:w="20%"/>
            <w:vAlign w:val="center"/>
          </w:tcPr>
          <w:p>
            <w:pPr>
              <w:spacing w:after="30" w:before="30"/>
              <w:jc w:val="left"/>
            </w:pPr>
            <w:r>
              <w:rPr>
                <w:rFonts w:ascii="Calibri" w:cs="Calibri" w:eastAsia="Calibri" w:hAnsi="Calibri"/>
                <w:color w:val="000000"/>
                <w:sz w:val="20"/>
                <w:szCs w:val="20"/>
              </w:rPr>
              <w:t xml:space="preserve">Production</w:t>
            </w:r>
          </w:p>
        </w:tc>
        <w:tc>
          <w:tcPr>
            <w:tcW w:type="pct" w:w="25%"/>
            <w:vAlign w:val="center"/>
          </w:tcPr>
          <w:p>
            <w:pPr>
              <w:spacing w:after="30" w:before="30"/>
              <w:jc w:val="left"/>
            </w:pPr>
            <w:r>
              <w:rPr>
                <w:rFonts w:ascii="Calibri" w:cs="Calibri" w:eastAsia="Calibri" w:hAnsi="Calibri"/>
                <w:color w:val="000000"/>
                <w:sz w:val="20"/>
                <w:szCs w:val="20"/>
              </w:rPr>
              <w:t xml:space="preserve">Chef de Production</w:t>
            </w:r>
          </w:p>
        </w:tc>
        <w:tc>
          <w:tcPr>
            <w:tcW w:type="pct" w:w="15%"/>
            <w:vAlign w:val="center"/>
          </w:tcPr>
          <w:p>
            <w:pPr>
              <w:spacing w:after="30" w:before="30"/>
              <w:jc w:val="left"/>
            </w:pPr>
            <w:r>
              <w:rPr>
                <w:rFonts w:ascii="Calibri" w:cs="Calibri" w:eastAsia="Calibri" w:hAnsi="Calibri"/>
                <w:color w:val="000000"/>
                <w:sz w:val="20"/>
                <w:szCs w:val="20"/>
              </w:rPr>
              <w:t xml:space="preserve">4</w:t>
            </w:r>
          </w:p>
        </w:tc>
        <w:tc>
          <w:tcPr>
            <w:tcW w:type="pct" w:w="40%"/>
            <w:vAlign w:val="center"/>
          </w:tcPr>
          <w:p>
            <w:pPr>
              <w:spacing w:after="30" w:before="30"/>
              <w:jc w:val="left"/>
            </w:pPr>
            <w:r>
              <w:rPr>
                <w:rFonts w:ascii="Calibri" w:cs="Calibri" w:eastAsia="Calibri" w:hAnsi="Calibri"/>
                <w:color w:val="000000"/>
                <w:sz w:val="20"/>
                <w:szCs w:val="20"/>
              </w:rPr>
              <w:t xml:space="preserve">Fabrication, logistique, approvisionnement</w:t>
            </w:r>
          </w:p>
        </w:tc>
      </w:tr>
    </w:tbl>
    <w:p>
      <w:pPr>
        <w:pStyle w:val="Heading2"/>
        <w:spacing w:after="150" w:before="300" w:line="312"/>
      </w:pPr>
      <w:bookmarkStart w:id="100008" w:name="_Toc100008"/>
      <w:r>
        <w:rPr>
          <w:rFonts w:ascii="Times New Roman" w:cs="Times New Roman" w:eastAsia="Times New Roman" w:hAnsi="Times New Roman"/>
          <w:b/>
          <w:bCs/>
          <w:color w:val="2A7A65"/>
          <w:sz w:val="30"/>
          <w:szCs w:val="30"/>
        </w:rPr>
        <w:t xml:space="preserve">4.4 Partenaire Exclusif : Comptoir Agropastoral CI</w:t>
      </w:r>
      <w:bookmarkEnd w:id="100008"/>
    </w:p>
    <w:p>
      <w:pPr>
        <w:spacing w:after="120" w:line="312"/>
        <w:ind w:firstLine="480"/>
        <w:jc w:val="both"/>
      </w:pPr>
      <w:r>
        <w:rPr>
          <w:rFonts w:ascii="Calibri" w:cs="Calibri" w:eastAsia="Calibri" w:hAnsi="Calibri"/>
          <w:color w:val="000000"/>
          <w:sz w:val="22"/>
          <w:szCs w:val="22"/>
        </w:rPr>
        <w:t xml:space="preserve">Le Comptoir Agropastoral CI est le partenaire exclusif de LIG pour la distribution et la commercialisation du biofertilisant Biodynamie en Cote d'Ivoire. Cette entreprise, forte de son experience dans le secteur agropastoral ivoirien, dispose d'un reseau etabli de contacts aupres des exploitants agricoles, des cooperatives et des agro-industriels. Son expertise logistique et sa connaissance approfondie du marche local constituent des atouts strategiques majeurs pour le lancement de Biodynamie.</w:t>
      </w:r>
    </w:p>
    <w:p>
      <w:pPr>
        <w:spacing w:after="120" w:line="312"/>
        <w:ind w:firstLine="480"/>
        <w:jc w:val="both"/>
      </w:pPr>
      <w:r>
        <w:rPr>
          <w:rFonts w:ascii="Calibri" w:cs="Calibri" w:eastAsia="Calibri" w:hAnsi="Calibri"/>
          <w:color w:val="000000"/>
          <w:sz w:val="22"/>
          <w:szCs w:val="22"/>
        </w:rPr>
        <w:t xml:space="preserve">L'accord de partenariat prevoit une repartition claire des roles : LIG conserve la maitrise totale de la production, de la qualite et de la recherche, tandis que le Comptoir Agropastoral CI assure la distribution commerciale, la gestion des relations avec les revendeurs et le deploiement terrain. Ce modele permet a chaque partenaire de se concentrer sur son coeur de competence, maximisant ainsi les chances de succes du lancement.</w:t>
      </w:r>
    </w:p>
    <w:p>
      <w:pPr>
        <w:pStyle w:val="Heading1"/>
        <w:pBdr>
          <w:bottom w:val="single" w:color="2A7A65" w:sz="6"/>
        </w:pBdr>
        <w:spacing w:after="200" w:before="400" w:line="312"/>
      </w:pPr>
      <w:bookmarkStart w:id="100009" w:name="_Toc100009"/>
      <w:r>
        <w:rPr>
          <w:rFonts w:ascii="Times New Roman" w:cs="Times New Roman" w:eastAsia="Times New Roman" w:hAnsi="Times New Roman"/>
          <w:b/>
          <w:bCs/>
          <w:color w:val="2A7A65"/>
          <w:sz w:val="36"/>
          <w:szCs w:val="36"/>
        </w:rPr>
        <w:t xml:space="preserve">5. Analyse de l'Environnement et du Marche</w:t>
      </w:r>
      <w:bookmarkEnd w:id="100009"/>
    </w:p>
    <w:p>
      <w:pPr>
        <w:pStyle w:val="Heading2"/>
        <w:spacing w:after="150" w:before="300" w:line="312"/>
      </w:pPr>
      <w:bookmarkStart w:id="100010" w:name="_Toc100010"/>
      <w:r>
        <w:rPr>
          <w:rFonts w:ascii="Times New Roman" w:cs="Times New Roman" w:eastAsia="Times New Roman" w:hAnsi="Times New Roman"/>
          <w:b/>
          <w:bCs/>
          <w:color w:val="2A7A65"/>
          <w:sz w:val="30"/>
          <w:szCs w:val="30"/>
        </w:rPr>
        <w:t xml:space="preserve">5.1 Analyse PESTEL de la Cote d'Ivoire</w:t>
      </w:r>
      <w:bookmarkEnd w:id="100010"/>
    </w:p>
    <w:p>
      <w:pPr>
        <w:pStyle w:val="Heading3"/>
        <w:spacing w:after="100" w:before="200" w:line="312"/>
      </w:pPr>
      <w:bookmarkStart w:id="100011" w:name="_Toc100011"/>
      <w:r>
        <w:rPr>
          <w:rFonts w:ascii="Times New Roman" w:cs="Times New Roman" w:eastAsia="Times New Roman" w:hAnsi="Times New Roman"/>
          <w:b/>
          <w:bCs/>
          <w:color w:val="2A7A65"/>
          <w:sz w:val="26"/>
          <w:szCs w:val="26"/>
        </w:rPr>
        <w:t xml:space="preserve">Facteurs Politiques</w:t>
      </w:r>
      <w:bookmarkEnd w:id="100011"/>
    </w:p>
    <w:p>
      <w:pPr>
        <w:spacing w:after="120" w:line="312"/>
        <w:ind w:firstLine="480"/>
        <w:jc w:val="both"/>
      </w:pPr>
      <w:r>
        <w:rPr>
          <w:rFonts w:ascii="Calibri" w:cs="Calibri" w:eastAsia="Calibri" w:hAnsi="Calibri"/>
          <w:color w:val="000000"/>
          <w:sz w:val="22"/>
          <w:szCs w:val="22"/>
        </w:rPr>
        <w:t xml:space="preserve">La Cote d'Ivoire beneficie d'une stabilite politique retroubee depuis 2011, avec un gouvernement fortement engage en faveur de la modernisation du secteur agricole. Le Plan National d'Investissement Agricole II (PNIA II) et le Programme National de Developpement Agricole Durable (PNDAD) constituent des cadres institutionnels favorables au developpement de solutions agricoles innovantes comme Biodynamie. La Strategie Bio 2030, lancee recemment, vise explicitement a promouvoir l'agriculture biologique et la reduction de l'utilisation des produits chimiques.</w:t>
      </w:r>
    </w:p>
    <w:p>
      <w:pPr>
        <w:pStyle w:val="Heading3"/>
        <w:spacing w:after="100" w:before="200" w:line="312"/>
      </w:pPr>
      <w:bookmarkStart w:id="100012" w:name="_Toc100012"/>
      <w:r>
        <w:rPr>
          <w:rFonts w:ascii="Times New Roman" w:cs="Times New Roman" w:eastAsia="Times New Roman" w:hAnsi="Times New Roman"/>
          <w:b/>
          <w:bCs/>
          <w:color w:val="2A7A65"/>
          <w:sz w:val="26"/>
          <w:szCs w:val="26"/>
        </w:rPr>
        <w:t xml:space="preserve">Facteurs Economiques</w:t>
      </w:r>
      <w:bookmarkEnd w:id="100012"/>
    </w:p>
    <w:p>
      <w:pPr>
        <w:spacing w:after="120" w:line="312"/>
        <w:ind w:firstLine="480"/>
        <w:jc w:val="both"/>
      </w:pPr>
      <w:r>
        <w:rPr>
          <w:rFonts w:ascii="Calibri" w:cs="Calibri" w:eastAsia="Calibri" w:hAnsi="Calibri"/>
          <w:color w:val="000000"/>
          <w:sz w:val="22"/>
          <w:szCs w:val="22"/>
        </w:rPr>
        <w:t xml:space="preserve">Avec une economie agricole representant 25 pourcent du PIB et employant plus de 60 pourcent de la population active, la Cote d'Ivoire offre un marche considerable pour les intrants agricoles. La croissance economique soutenue (en moyenne 7 pourcent par an entre 2012 et 2019) et l'investissement croissant dans le secteur agricole creent un environnement propice au lancement de produits innovants. Cependant, le pouvoir d'achat des petits exploitants reste un facteur a considerer dans la strategie de prix.</w:t>
      </w:r>
    </w:p>
    <w:p>
      <w:pPr>
        <w:pStyle w:val="Heading3"/>
        <w:spacing w:after="100" w:before="200" w:line="312"/>
      </w:pPr>
      <w:bookmarkStart w:id="100013" w:name="_Toc100013"/>
      <w:r>
        <w:rPr>
          <w:rFonts w:ascii="Times New Roman" w:cs="Times New Roman" w:eastAsia="Times New Roman" w:hAnsi="Times New Roman"/>
          <w:b/>
          <w:bCs/>
          <w:color w:val="2A7A65"/>
          <w:sz w:val="26"/>
          <w:szCs w:val="26"/>
        </w:rPr>
        <w:t xml:space="preserve">Facteurs Socioculturels</w:t>
      </w:r>
      <w:bookmarkEnd w:id="100013"/>
    </w:p>
    <w:p>
      <w:pPr>
        <w:spacing w:after="120" w:line="312"/>
        <w:ind w:firstLine="480"/>
        <w:jc w:val="both"/>
      </w:pPr>
      <w:r>
        <w:rPr>
          <w:rFonts w:ascii="Calibri" w:cs="Calibri" w:eastAsia="Calibri" w:hAnsi="Calibri"/>
          <w:color w:val="000000"/>
          <w:sz w:val="22"/>
          <w:szCs w:val="22"/>
        </w:rPr>
        <w:t xml:space="preserve">La population ivoirienne est jeune (medians d'age de 19 ans) et de plus en plus sensible aux questions environnementales et sanitaires. Les consumidores exigent des produits agricoles de meilleure qualite, libres de residus chimiques. Parallelement, les agriculteurs, bien que traditionnellement attaches aux methodes conventionnelles, sont de plus en plus ouverts aux alternatives biologiques lorsque leur efficacite est demontree. La formation et la demonstration seront donc des leviers essentiels.</w:t>
      </w:r>
    </w:p>
    <w:p>
      <w:pPr>
        <w:pStyle w:val="Heading3"/>
        <w:spacing w:after="100" w:before="200" w:line="312"/>
      </w:pPr>
      <w:bookmarkStart w:id="100014" w:name="_Toc100014"/>
      <w:r>
        <w:rPr>
          <w:rFonts w:ascii="Times New Roman" w:cs="Times New Roman" w:eastAsia="Times New Roman" w:hAnsi="Times New Roman"/>
          <w:b/>
          <w:bCs/>
          <w:color w:val="2A7A65"/>
          <w:sz w:val="26"/>
          <w:szCs w:val="26"/>
        </w:rPr>
        <w:t xml:space="preserve">Facteurs Technologiques</w:t>
      </w:r>
      <w:bookmarkEnd w:id="100014"/>
    </w:p>
    <w:p>
      <w:pPr>
        <w:spacing w:after="120" w:line="312"/>
        <w:ind w:firstLine="480"/>
        <w:jc w:val="both"/>
      </w:pPr>
      <w:r>
        <w:rPr>
          <w:rFonts w:ascii="Calibri" w:cs="Calibri" w:eastAsia="Calibri" w:hAnsi="Calibri"/>
          <w:color w:val="000000"/>
          <w:sz w:val="22"/>
          <w:szCs w:val="22"/>
        </w:rPr>
        <w:t xml:space="preserve">La penetration digitale en Cote d'Ivoire (taux de penetration mobile superieur a 120 pourcent) offre des opportunites significatives pour la diffusion d'informations agricoles, la formation a distance et le marketing digital. L'utilisation croissante des reseaux sociaux et des applications mobiles dans le milieu agricole represente un canal de communication efficace et economique pour toucher les agriculteurs et les partenaires.</w:t>
      </w:r>
    </w:p>
    <w:p>
      <w:pPr>
        <w:pStyle w:val="Heading3"/>
        <w:spacing w:after="100" w:before="200" w:line="312"/>
      </w:pPr>
      <w:bookmarkStart w:id="100015" w:name="_Toc100015"/>
      <w:r>
        <w:rPr>
          <w:rFonts w:ascii="Times New Roman" w:cs="Times New Roman" w:eastAsia="Times New Roman" w:hAnsi="Times New Roman"/>
          <w:b/>
          <w:bCs/>
          <w:color w:val="2A7A65"/>
          <w:sz w:val="26"/>
          <w:szCs w:val="26"/>
        </w:rPr>
        <w:t xml:space="preserve">Facteurs Ecologiques</w:t>
      </w:r>
      <w:bookmarkEnd w:id="100015"/>
    </w:p>
    <w:p>
      <w:pPr>
        <w:spacing w:after="120" w:line="312"/>
        <w:ind w:firstLine="480"/>
        <w:jc w:val="both"/>
      </w:pPr>
      <w:r>
        <w:rPr>
          <w:rFonts w:ascii="Calibri" w:cs="Calibri" w:eastAsia="Calibri" w:hAnsi="Calibri"/>
          <w:color w:val="000000"/>
          <w:sz w:val="22"/>
          <w:szCs w:val="22"/>
        </w:rPr>
        <w:t xml:space="preserve">La degradation des sols tropicaux, consequence de decennies d'utilisation intensive d'engrais chimiques, constitue a la fois un probleme majeur et une opportunite pour Biodynamie. Le changement climatique accentue la vulnerabilite des systemes agricoles, rendant indispensable l'adoption de pratiques plus resilientes. La demande pour des solutions regenerant les sols et preservant la biodiversite est en forte croissance.</w:t>
      </w:r>
    </w:p>
    <w:p>
      <w:pPr>
        <w:pStyle w:val="Heading3"/>
        <w:spacing w:after="100" w:before="200" w:line="312"/>
      </w:pPr>
      <w:bookmarkStart w:id="100016" w:name="_Toc100016"/>
      <w:r>
        <w:rPr>
          <w:rFonts w:ascii="Times New Roman" w:cs="Times New Roman" w:eastAsia="Times New Roman" w:hAnsi="Times New Roman"/>
          <w:b/>
          <w:bCs/>
          <w:color w:val="2A7A65"/>
          <w:sz w:val="26"/>
          <w:szCs w:val="26"/>
        </w:rPr>
        <w:t xml:space="preserve">Facteurs Legaux</w:t>
      </w:r>
      <w:bookmarkEnd w:id="100016"/>
    </w:p>
    <w:p>
      <w:pPr>
        <w:spacing w:after="120" w:line="312"/>
        <w:ind w:firstLine="480"/>
        <w:jc w:val="both"/>
      </w:pPr>
      <w:r>
        <w:rPr>
          <w:rFonts w:ascii="Calibri" w:cs="Calibri" w:eastAsia="Calibri" w:hAnsi="Calibri"/>
          <w:color w:val="000000"/>
          <w:sz w:val="22"/>
          <w:szCs w:val="22"/>
        </w:rPr>
        <w:t xml:space="preserve">Le cadre reglementaire ivoirien relatif aux intrants agricoles est encadre par la Loi n02015-537 qui regit la mise sur le marche des produits fertilisants. La conformite a cette legislation est un prerequis pour le lancement de Biodynamie. L'obtention des homologations necessaires aupres des autorites competentes (Direction de la Protection des Vegetaux, du Contrat et de la Qualite - DPPVQ) constitue une etape cruciale du plan operationnel.</w:t>
      </w:r>
    </w:p>
    <w:p>
      <w:pPr>
        <w:pStyle w:val="Heading2"/>
        <w:spacing w:after="150" w:before="300" w:line="312"/>
      </w:pPr>
      <w:bookmarkStart w:id="100017" w:name="_Toc100017"/>
      <w:r>
        <w:rPr>
          <w:rFonts w:ascii="Times New Roman" w:cs="Times New Roman" w:eastAsia="Times New Roman" w:hAnsi="Times New Roman"/>
          <w:b/>
          <w:bCs/>
          <w:color w:val="2A7A65"/>
          <w:sz w:val="30"/>
          <w:szCs w:val="30"/>
        </w:rPr>
        <w:t xml:space="preserve">5.2 Analyse du Marche Agricole Ivoirien</w:t>
      </w:r>
      <w:bookmarkEnd w:id="100017"/>
    </w:p>
    <w:p>
      <w:pPr>
        <w:spacing w:after="120" w:line="312"/>
        <w:ind w:firstLine="480"/>
        <w:jc w:val="both"/>
      </w:pPr>
      <w:r>
        <w:rPr>
          <w:rFonts w:ascii="Calibri" w:cs="Calibri" w:eastAsia="Calibri" w:hAnsi="Calibri"/>
          <w:color w:val="000000"/>
          <w:sz w:val="22"/>
          <w:szCs w:val="22"/>
        </w:rPr>
        <w:t xml:space="preserve">Le marche agricole ivoirien est domine par les cultures de rente (cacao, cafe, hevea, palmier a huile) et les cultures vivrieres (riz, manioc, igname, mais). La Cote d'Ivoire est le premier producteur mondial de cacao avec plus de 2 millions de tonnes par an, et un acteur majeur sur les marches du cafe, de l'hevea et de l'huile de palme. Ces cultures representent des marches cibles prioritaires pour Biodynamie, avec des besoins considerables en fertilisation.</w:t>
      </w:r>
    </w:p>
    <w:p>
      <w:pPr>
        <w:spacing w:after="120" w:line="312"/>
        <w:ind w:firstLine="480"/>
        <w:jc w:val="both"/>
      </w:pPr>
      <w:r>
        <w:rPr>
          <w:rFonts w:ascii="Calibri" w:cs="Calibri" w:eastAsia="Calibri" w:hAnsi="Calibri"/>
          <w:color w:val="000000"/>
          <w:sz w:val="22"/>
          <w:szCs w:val="22"/>
        </w:rPr>
        <w:t xml:space="preserve">Le marche des intrants agricoles en Cote d'Ivoire est estime a plus de 200 milliards de Fcfa par an, dont la majorite est constituee d'engrais chimiques importes. La part des biofertilisants reste marginale (moins de 2 pourcent du marche total), mais connait une croissance rapide tiree par la demande internationale de produits agricoles certifies biologiques et par les politiques de transition ecologique. Le potentiel de croissance du segment des biofertilisants est estime a plus de 15 pourcent par an sur les cinq prochaines annees.</w:t>
      </w:r>
    </w:p>
    <w:p>
      <w:pPr>
        <w:spacing w:after="120" w:line="312"/>
        <w:ind w:firstLine="480"/>
        <w:jc w:val="both"/>
      </w:pPr>
      <w:r>
        <w:rPr>
          <w:rFonts w:ascii="Calibri" w:cs="Calibri" w:eastAsia="Calibri" w:hAnsi="Calibri"/>
          <w:color w:val="000000"/>
          <w:sz w:val="22"/>
          <w:szCs w:val="22"/>
        </w:rPr>
        <w:t xml:space="preserve">Les segments de clientele identifies sont les suivants : les grands groupes agro-industriels (PALMCI, SIFCA, SAPH, SUCAF) representent un potentiel de volumes importants et de partenariats strategiques ; les cooperatives agricoles offrent un acces organise a un grand nombre d'agriculteurs ; les exploitants individuels, bien que plus disperses, constituent la base la plus large du marche ; enfin, les institutions de recherche et de formation (CNRA, INPHB) representent des relais d'influence et de validation scientifique.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5%"/>
            <w:shd w:fill="2A7A65" w:val="clear"/>
            <w:vAlign w:val="center"/>
          </w:tcPr>
          <w:p>
            <w:pPr>
              <w:spacing w:after="40" w:before="40"/>
              <w:jc w:val="center"/>
            </w:pPr>
            <w:r>
              <w:rPr>
                <w:rFonts w:ascii="Calibri" w:cs="Calibri" w:eastAsia="Calibri" w:hAnsi="Calibri"/>
                <w:b/>
                <w:bCs/>
                <w:color w:val="FFFFFF"/>
                <w:sz w:val="20"/>
                <w:szCs w:val="20"/>
              </w:rPr>
              <w:t xml:space="preserve">Segment</w:t>
            </w:r>
          </w:p>
        </w:tc>
        <w:tc>
          <w:tcPr>
            <w:tcW w:type="pct" w:w="20%"/>
            <w:shd w:fill="2A7A65" w:val="clear"/>
            <w:vAlign w:val="center"/>
          </w:tcPr>
          <w:p>
            <w:pPr>
              <w:spacing w:after="40" w:before="40"/>
              <w:jc w:val="center"/>
            </w:pPr>
            <w:r>
              <w:rPr>
                <w:rFonts w:ascii="Calibri" w:cs="Calibri" w:eastAsia="Calibri" w:hAnsi="Calibri"/>
                <w:b/>
                <w:bCs/>
                <w:color w:val="FFFFFF"/>
                <w:sz w:val="20"/>
                <w:szCs w:val="20"/>
              </w:rPr>
              <w:t xml:space="preserve">Potentiel (tonnes/an)</w:t>
            </w:r>
          </w:p>
        </w:tc>
        <w:tc>
          <w:tcPr>
            <w:tcW w:type="pct" w:w="15%"/>
            <w:shd w:fill="2A7A65" w:val="clear"/>
            <w:vAlign w:val="center"/>
          </w:tcPr>
          <w:p>
            <w:pPr>
              <w:spacing w:after="40" w:before="40"/>
              <w:jc w:val="center"/>
            </w:pPr>
            <w:r>
              <w:rPr>
                <w:rFonts w:ascii="Calibri" w:cs="Calibri" w:eastAsia="Calibri" w:hAnsi="Calibri"/>
                <w:b/>
                <w:bCs/>
                <w:color w:val="FFFFFF"/>
                <w:sz w:val="20"/>
                <w:szCs w:val="20"/>
              </w:rPr>
              <w:t xml:space="preserve">Priorite</w:t>
            </w:r>
          </w:p>
        </w:tc>
        <w:tc>
          <w:tcPr>
            <w:tcW w:type="pct" w:w="40%"/>
            <w:shd w:fill="2A7A65" w:val="clear"/>
            <w:vAlign w:val="center"/>
          </w:tcPr>
          <w:p>
            <w:pPr>
              <w:spacing w:after="40" w:before="40"/>
              <w:jc w:val="center"/>
            </w:pPr>
            <w:r>
              <w:rPr>
                <w:rFonts w:ascii="Calibri" w:cs="Calibri" w:eastAsia="Calibri" w:hAnsi="Calibri"/>
                <w:b/>
                <w:bCs/>
                <w:color w:val="FFFFFF"/>
                <w:sz w:val="20"/>
                <w:szCs w:val="20"/>
              </w:rPr>
              <w:t xml:space="preserve">Strategie d'approche</w:t>
            </w:r>
          </w:p>
        </w:tc>
      </w:tr>
      <w:tr>
        <w:tc>
          <w:tcPr>
            <w:tcW w:type="pct" w:w="25%"/>
            <w:vAlign w:val="center"/>
          </w:tcPr>
          <w:p>
            <w:pPr>
              <w:spacing w:after="30" w:before="30"/>
              <w:jc w:val="left"/>
            </w:pPr>
            <w:r>
              <w:rPr>
                <w:rFonts w:ascii="Calibri" w:cs="Calibri" w:eastAsia="Calibri" w:hAnsi="Calibri"/>
                <w:color w:val="000000"/>
                <w:sz w:val="20"/>
                <w:szCs w:val="20"/>
              </w:rPr>
              <w:t xml:space="preserve">Agro-industriels</w:t>
            </w:r>
          </w:p>
        </w:tc>
        <w:tc>
          <w:tcPr>
            <w:tcW w:type="pct" w:w="20%"/>
            <w:vAlign w:val="center"/>
          </w:tcPr>
          <w:p>
            <w:pPr>
              <w:spacing w:after="30" w:before="30"/>
              <w:jc w:val="left"/>
            </w:pPr>
            <w:r>
              <w:rPr>
                <w:rFonts w:ascii="Calibri" w:cs="Calibri" w:eastAsia="Calibri" w:hAnsi="Calibri"/>
                <w:color w:val="000000"/>
                <w:sz w:val="20"/>
                <w:szCs w:val="20"/>
              </w:rPr>
              <w:t xml:space="preserve">200+</w:t>
            </w:r>
          </w:p>
        </w:tc>
        <w:tc>
          <w:tcPr>
            <w:tcW w:type="pct" w:w="15%"/>
            <w:vAlign w:val="center"/>
          </w:tcPr>
          <w:p>
            <w:pPr>
              <w:spacing w:after="30" w:before="30"/>
              <w:jc w:val="left"/>
            </w:pPr>
            <w:r>
              <w:rPr>
                <w:rFonts w:ascii="Calibri" w:cs="Calibri" w:eastAsia="Calibri" w:hAnsi="Calibri"/>
                <w:color w:val="000000"/>
                <w:sz w:val="20"/>
                <w:szCs w:val="20"/>
              </w:rPr>
              <w:t xml:space="preserve">Haute</w:t>
            </w:r>
          </w:p>
        </w:tc>
        <w:tc>
          <w:tcPr>
            <w:tcW w:type="pct" w:w="40%"/>
            <w:vAlign w:val="center"/>
          </w:tcPr>
          <w:p>
            <w:pPr>
              <w:spacing w:after="30" w:before="30"/>
              <w:jc w:val="left"/>
            </w:pPr>
            <w:r>
              <w:rPr>
                <w:rFonts w:ascii="Calibri" w:cs="Calibri" w:eastAsia="Calibri" w:hAnsi="Calibri"/>
                <w:color w:val="000000"/>
                <w:sz w:val="20"/>
                <w:szCs w:val="20"/>
              </w:rPr>
              <w:t xml:space="preserve">Partenariats strategiques, essais pilotes</w:t>
            </w:r>
          </w:p>
        </w:tc>
      </w:tr>
      <w:tr>
        <w:tc>
          <w:tcPr>
            <w:tcW w:type="pct" w:w="25%"/>
            <w:shd w:fill="EDF5F2" w:val="clear"/>
            <w:vAlign w:val="center"/>
          </w:tcPr>
          <w:p>
            <w:pPr>
              <w:spacing w:after="30" w:before="30"/>
              <w:jc w:val="left"/>
            </w:pPr>
            <w:r>
              <w:rPr>
                <w:rFonts w:ascii="Calibri" w:cs="Calibri" w:eastAsia="Calibri" w:hAnsi="Calibri"/>
                <w:color w:val="000000"/>
                <w:sz w:val="20"/>
                <w:szCs w:val="20"/>
              </w:rPr>
              <w:t xml:space="preserve">Cooperatives</w:t>
            </w:r>
          </w:p>
        </w:tc>
        <w:tc>
          <w:tcPr>
            <w:tcW w:type="pct" w:w="20%"/>
            <w:shd w:fill="EDF5F2" w:val="clear"/>
            <w:vAlign w:val="center"/>
          </w:tcPr>
          <w:p>
            <w:pPr>
              <w:spacing w:after="30" w:before="30"/>
              <w:jc w:val="left"/>
            </w:pPr>
            <w:r>
              <w:rPr>
                <w:rFonts w:ascii="Calibri" w:cs="Calibri" w:eastAsia="Calibri" w:hAnsi="Calibri"/>
                <w:color w:val="000000"/>
                <w:sz w:val="20"/>
                <w:szCs w:val="20"/>
              </w:rPr>
              <w:t xml:space="preserve">150+</w:t>
            </w:r>
          </w:p>
        </w:tc>
        <w:tc>
          <w:tcPr>
            <w:tcW w:type="pct" w:w="15%"/>
            <w:shd w:fill="EDF5F2" w:val="clear"/>
            <w:vAlign w:val="center"/>
          </w:tcPr>
          <w:p>
            <w:pPr>
              <w:spacing w:after="30" w:before="30"/>
              <w:jc w:val="left"/>
            </w:pPr>
            <w:r>
              <w:rPr>
                <w:rFonts w:ascii="Calibri" w:cs="Calibri" w:eastAsia="Calibri" w:hAnsi="Calibri"/>
                <w:color w:val="000000"/>
                <w:sz w:val="20"/>
                <w:szCs w:val="20"/>
              </w:rPr>
              <w:t xml:space="preserve">Haute</w:t>
            </w:r>
          </w:p>
        </w:tc>
        <w:tc>
          <w:tcPr>
            <w:tcW w:type="pct" w:w="40%"/>
            <w:shd w:fill="EDF5F2" w:val="clear"/>
            <w:vAlign w:val="center"/>
          </w:tcPr>
          <w:p>
            <w:pPr>
              <w:spacing w:after="30" w:before="30"/>
              <w:jc w:val="left"/>
            </w:pPr>
            <w:r>
              <w:rPr>
                <w:rFonts w:ascii="Calibri" w:cs="Calibri" w:eastAsia="Calibri" w:hAnsi="Calibri"/>
                <w:color w:val="000000"/>
                <w:sz w:val="20"/>
                <w:szCs w:val="20"/>
              </w:rPr>
              <w:t xml:space="preserve">Formations collectives, demonstrations</w:t>
            </w:r>
          </w:p>
        </w:tc>
      </w:tr>
      <w:tr>
        <w:tc>
          <w:tcPr>
            <w:tcW w:type="pct" w:w="25%"/>
            <w:vAlign w:val="center"/>
          </w:tcPr>
          <w:p>
            <w:pPr>
              <w:spacing w:after="30" w:before="30"/>
              <w:jc w:val="left"/>
            </w:pPr>
            <w:r>
              <w:rPr>
                <w:rFonts w:ascii="Calibri" w:cs="Calibri" w:eastAsia="Calibri" w:hAnsi="Calibri"/>
                <w:color w:val="000000"/>
                <w:sz w:val="20"/>
                <w:szCs w:val="20"/>
              </w:rPr>
              <w:t xml:space="preserve">Exploitants individuels</w:t>
            </w:r>
          </w:p>
        </w:tc>
        <w:tc>
          <w:tcPr>
            <w:tcW w:type="pct" w:w="20%"/>
            <w:vAlign w:val="center"/>
          </w:tcPr>
          <w:p>
            <w:pPr>
              <w:spacing w:after="30" w:before="30"/>
              <w:jc w:val="left"/>
            </w:pPr>
            <w:r>
              <w:rPr>
                <w:rFonts w:ascii="Calibri" w:cs="Calibri" w:eastAsia="Calibri" w:hAnsi="Calibri"/>
                <w:color w:val="000000"/>
                <w:sz w:val="20"/>
                <w:szCs w:val="20"/>
              </w:rPr>
              <w:t xml:space="preserve">500+</w:t>
            </w:r>
          </w:p>
        </w:tc>
        <w:tc>
          <w:tcPr>
            <w:tcW w:type="pct" w:w="15%"/>
            <w:vAlign w:val="center"/>
          </w:tcPr>
          <w:p>
            <w:pPr>
              <w:spacing w:after="30" w:before="30"/>
              <w:jc w:val="left"/>
            </w:pPr>
            <w:r>
              <w:rPr>
                <w:rFonts w:ascii="Calibri" w:cs="Calibri" w:eastAsia="Calibri" w:hAnsi="Calibri"/>
                <w:color w:val="000000"/>
                <w:sz w:val="20"/>
                <w:szCs w:val="20"/>
              </w:rPr>
              <w:t xml:space="preserve">Moyenne</w:t>
            </w:r>
          </w:p>
        </w:tc>
        <w:tc>
          <w:tcPr>
            <w:tcW w:type="pct" w:w="40%"/>
            <w:vAlign w:val="center"/>
          </w:tcPr>
          <w:p>
            <w:pPr>
              <w:spacing w:after="30" w:before="30"/>
              <w:jc w:val="left"/>
            </w:pPr>
            <w:r>
              <w:rPr>
                <w:rFonts w:ascii="Calibri" w:cs="Calibri" w:eastAsia="Calibri" w:hAnsi="Calibri"/>
                <w:color w:val="000000"/>
                <w:sz w:val="20"/>
                <w:szCs w:val="20"/>
              </w:rPr>
              <w:t xml:space="preserve">Reseaux de distribution, marketing digital</w:t>
            </w:r>
          </w:p>
        </w:tc>
      </w:tr>
      <w:tr>
        <w:tc>
          <w:tcPr>
            <w:tcW w:type="pct" w:w="25%"/>
            <w:shd w:fill="EDF5F2" w:val="clear"/>
            <w:vAlign w:val="center"/>
          </w:tcPr>
          <w:p>
            <w:pPr>
              <w:spacing w:after="30" w:before="30"/>
              <w:jc w:val="left"/>
            </w:pPr>
            <w:r>
              <w:rPr>
                <w:rFonts w:ascii="Calibri" w:cs="Calibri" w:eastAsia="Calibri" w:hAnsi="Calibri"/>
                <w:color w:val="000000"/>
                <w:sz w:val="20"/>
                <w:szCs w:val="20"/>
              </w:rPr>
              <w:t xml:space="preserve">Institutions recherche</w:t>
            </w:r>
          </w:p>
        </w:tc>
        <w:tc>
          <w:tcPr>
            <w:tcW w:type="pct" w:w="20%"/>
            <w:shd w:fill="EDF5F2" w:val="clear"/>
            <w:vAlign w:val="center"/>
          </w:tcPr>
          <w:p>
            <w:pPr>
              <w:spacing w:after="30" w:before="30"/>
              <w:jc w:val="left"/>
            </w:pPr>
            <w:r>
              <w:rPr>
                <w:rFonts w:ascii="Calibri" w:cs="Calibri" w:eastAsia="Calibri" w:hAnsi="Calibri"/>
                <w:color w:val="000000"/>
                <w:sz w:val="20"/>
                <w:szCs w:val="20"/>
              </w:rPr>
              <w:t xml:space="preserve">10+</w:t>
            </w:r>
          </w:p>
        </w:tc>
        <w:tc>
          <w:tcPr>
            <w:tcW w:type="pct" w:w="15%"/>
            <w:shd w:fill="EDF5F2" w:val="clear"/>
            <w:vAlign w:val="center"/>
          </w:tcPr>
          <w:p>
            <w:pPr>
              <w:spacing w:after="30" w:before="30"/>
              <w:jc w:val="left"/>
            </w:pPr>
            <w:r>
              <w:rPr>
                <w:rFonts w:ascii="Calibri" w:cs="Calibri" w:eastAsia="Calibri" w:hAnsi="Calibri"/>
                <w:color w:val="000000"/>
                <w:sz w:val="20"/>
                <w:szCs w:val="20"/>
              </w:rPr>
              <w:t xml:space="preserve">Moyenne</w:t>
            </w:r>
          </w:p>
        </w:tc>
        <w:tc>
          <w:tcPr>
            <w:tcW w:type="pct" w:w="40%"/>
            <w:shd w:fill="EDF5F2" w:val="clear"/>
            <w:vAlign w:val="center"/>
          </w:tcPr>
          <w:p>
            <w:pPr>
              <w:spacing w:after="30" w:before="30"/>
              <w:jc w:val="left"/>
            </w:pPr>
            <w:r>
              <w:rPr>
                <w:rFonts w:ascii="Calibri" w:cs="Calibri" w:eastAsia="Calibri" w:hAnsi="Calibri"/>
                <w:color w:val="000000"/>
                <w:sz w:val="20"/>
                <w:szCs w:val="20"/>
              </w:rPr>
              <w:t xml:space="preserve">Collaborations scientifiques, publications</w:t>
            </w:r>
          </w:p>
        </w:tc>
      </w:tr>
      <w:tr>
        <w:tc>
          <w:tcPr>
            <w:tcW w:type="pct" w:w="25%"/>
            <w:vAlign w:val="center"/>
          </w:tcPr>
          <w:p>
            <w:pPr>
              <w:spacing w:after="30" w:before="30"/>
              <w:jc w:val="left"/>
            </w:pPr>
            <w:r>
              <w:rPr>
                <w:rFonts w:ascii="Calibri" w:cs="Calibri" w:eastAsia="Calibri" w:hAnsi="Calibri"/>
                <w:color w:val="000000"/>
                <w:sz w:val="20"/>
                <w:szCs w:val="20"/>
              </w:rPr>
              <w:t xml:space="preserve">Maraichage urbain</w:t>
            </w:r>
          </w:p>
        </w:tc>
        <w:tc>
          <w:tcPr>
            <w:tcW w:type="pct" w:w="20%"/>
            <w:vAlign w:val="center"/>
          </w:tcPr>
          <w:p>
            <w:pPr>
              <w:spacing w:after="30" w:before="30"/>
              <w:jc w:val="left"/>
            </w:pPr>
            <w:r>
              <w:rPr>
                <w:rFonts w:ascii="Calibri" w:cs="Calibri" w:eastAsia="Calibri" w:hAnsi="Calibri"/>
                <w:color w:val="000000"/>
                <w:sz w:val="20"/>
                <w:szCs w:val="20"/>
              </w:rPr>
              <w:t xml:space="preserve">50+</w:t>
            </w:r>
          </w:p>
        </w:tc>
        <w:tc>
          <w:tcPr>
            <w:tcW w:type="pct" w:w="15%"/>
            <w:vAlign w:val="center"/>
          </w:tcPr>
          <w:p>
            <w:pPr>
              <w:spacing w:after="30" w:before="30"/>
              <w:jc w:val="left"/>
            </w:pPr>
            <w:r>
              <w:rPr>
                <w:rFonts w:ascii="Calibri" w:cs="Calibri" w:eastAsia="Calibri" w:hAnsi="Calibri"/>
                <w:color w:val="000000"/>
                <w:sz w:val="20"/>
                <w:szCs w:val="20"/>
              </w:rPr>
              <w:t xml:space="preserve">Haute</w:t>
            </w:r>
          </w:p>
        </w:tc>
        <w:tc>
          <w:tcPr>
            <w:tcW w:type="pct" w:w="40%"/>
            <w:vAlign w:val="center"/>
          </w:tcPr>
          <w:p>
            <w:pPr>
              <w:spacing w:after="30" w:before="30"/>
              <w:jc w:val="left"/>
            </w:pPr>
            <w:r>
              <w:rPr>
                <w:rFonts w:ascii="Calibri" w:cs="Calibri" w:eastAsia="Calibri" w:hAnsi="Calibri"/>
                <w:color w:val="000000"/>
                <w:sz w:val="20"/>
                <w:szCs w:val="20"/>
              </w:rPr>
              <w:t xml:space="preserve">Points de vente, promotions lancement</w:t>
            </w:r>
          </w:p>
        </w:tc>
      </w:tr>
    </w:tbl>
    <w:p>
      <w:pPr>
        <w:pStyle w:val="Heading2"/>
        <w:spacing w:after="150" w:before="300" w:line="312"/>
      </w:pPr>
      <w:bookmarkStart w:id="100018" w:name="_Toc100018"/>
      <w:r>
        <w:rPr>
          <w:rFonts w:ascii="Times New Roman" w:cs="Times New Roman" w:eastAsia="Times New Roman" w:hAnsi="Times New Roman"/>
          <w:b/>
          <w:bCs/>
          <w:color w:val="2A7A65"/>
          <w:sz w:val="30"/>
          <w:szCs w:val="30"/>
        </w:rPr>
        <w:t xml:space="preserve">5.3 Analyse Concurrentielle</w:t>
      </w:r>
      <w:bookmarkEnd w:id="100018"/>
    </w:p>
    <w:p>
      <w:pPr>
        <w:spacing w:after="120" w:line="312"/>
        <w:ind w:firstLine="480"/>
        <w:jc w:val="both"/>
      </w:pPr>
      <w:r>
        <w:rPr>
          <w:rFonts w:ascii="Calibri" w:cs="Calibri" w:eastAsia="Calibri" w:hAnsi="Calibri"/>
          <w:color w:val="000000"/>
          <w:sz w:val="22"/>
          <w:szCs w:val="22"/>
        </w:rPr>
        <w:t xml:space="preserve">Le marche des fertilisants en Cote d'Ivoire est domine par les grands groupes internationaux producteurs d'engrais chimiques (NPK, uree, sulfate d'ammoniaque) qui beneficient de reseau de distribution etablis et de la familiarite des agriculteurs avec leurs produits. Les principaux concurrents directs dans le segment des biofertilisants sont peu nombreux, ce qui constitue un avantage concurrentiel significatif pour Biodynamie.</w:t>
      </w:r>
    </w:p>
    <w:p>
      <w:pPr>
        <w:spacing w:after="120" w:line="312"/>
        <w:ind w:firstLine="480"/>
        <w:jc w:val="both"/>
      </w:pPr>
      <w:r>
        <w:rPr>
          <w:rFonts w:ascii="Calibri" w:cs="Calibri" w:eastAsia="Calibri" w:hAnsi="Calibri"/>
          <w:color w:val="000000"/>
          <w:sz w:val="22"/>
          <w:szCs w:val="22"/>
        </w:rPr>
        <w:t xml:space="preserve">Les produits concurrents existants dans le segment biologique sont principalement des composts et des biofertilisants importes d'Europe ou d'Asie, souvent mal adaptes aux conditions tropicales et a des prix eleves. Biodynamie se differencie clairement par sa formulation specifiquement concue pour les sols tropicaux, son rapport qualite-prix competitif et ses resultats rapides (visibles en 10 jours). La barriere a l'entree la plus significative reste la force de l'habitude des agriculteurs envers les engrais chimiques, qui necessite un effort soutenu de demonstration et de formation.</w:t>
      </w:r>
    </w:p>
    <w:p>
      <w:pPr>
        <w:spacing w:after="120" w:line="312"/>
        <w:ind w:firstLine="480"/>
        <w:jc w:val="both"/>
      </w:pPr>
      <w:r>
        <w:rPr>
          <w:rFonts w:ascii="Calibri" w:cs="Calibri" w:eastAsia="Calibri" w:hAnsi="Calibri"/>
          <w:color w:val="000000"/>
          <w:sz w:val="22"/>
          <w:szCs w:val="22"/>
        </w:rPr>
        <w:t xml:space="preserve">L'avantage concurrentiel de Biodynamie repose sur quatre piliers : l'expertise scientifique unique de plus de 20 ans de R&amp;D, l'efficacite prouvee sur les cultures tropicales, le prix de lancement competitif (600 Fcfa/g contre 1 000 Fcfa/g pour le tarif standard) et le partenariat exclusif avec le Comptoir Agropastoral CI qui assure une capacite de deploiement rapide sur le territoire.</w:t>
      </w:r>
    </w:p>
    <w:p>
      <w:pPr>
        <w:pStyle w:val="Heading2"/>
        <w:spacing w:after="150" w:before="300" w:line="312"/>
      </w:pPr>
      <w:bookmarkStart w:id="100019" w:name="_Toc100019"/>
      <w:r>
        <w:rPr>
          <w:rFonts w:ascii="Times New Roman" w:cs="Times New Roman" w:eastAsia="Times New Roman" w:hAnsi="Times New Roman"/>
          <w:b/>
          <w:bCs/>
          <w:color w:val="2A7A65"/>
          <w:sz w:val="30"/>
          <w:szCs w:val="30"/>
        </w:rPr>
        <w:t xml:space="preserve">5.4 Analyse SWOT</w:t>
      </w:r>
      <w:bookmarkEnd w:id="100019"/>
    </w:p>
    <w:p>
      <w:pPr>
        <w:spacing w:after="200" w:before="200"/>
        <w:jc w:val="center"/>
      </w:pPr>
      <w:r>
        <w:drawing>
          <wp:inline distT="0" distB="0" distL="0" distR="0">
            <wp:extent cx="4953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695700"/>
                    </a:xfrm>
                    <a:prstGeom prst="rect">
                      <a:avLst/>
                    </a:prstGeom>
                  </pic:spPr>
                </pic:pic>
              </a:graphicData>
            </a:graphic>
          </wp:inline>
        </w:drawing>
      </w:r>
    </w:p>
    <w:p>
      <w:pPr>
        <w:spacing w:after="120" w:line="312"/>
        <w:ind w:firstLine="480"/>
        <w:jc w:val="both"/>
      </w:pPr>
      <w:r>
        <w:rPr>
          <w:rFonts w:ascii="Calibri" w:cs="Calibri" w:eastAsia="Calibri" w:hAnsi="Calibri"/>
          <w:color w:val="000000"/>
          <w:sz w:val="22"/>
          <w:szCs w:val="22"/>
        </w:rPr>
        <w:t xml:space="preserve">L'analyse SWOT met en evidence un profil favorable pour le lancement de Biodynamie en Cote d'Ivoire. Les forces du produit (formulation naturelle, R&amp;D validee, resultats rapides) et les opportunites du marche (tendance bio, soutien politique, marche agricole important) outweigh les faiblesses (nouvel entrant, notoriete a construire) et les menaces (concurrence etablie, reticence au changement). La strategie retenue consiste a capitaliser sur les forces pour saisir les opportunites, tout en mitigeant les faiblesses par des investissements cibles en marketing et en formation, et en anticipant les menaces par la diversification des partenariats et le renforcement de la propriete intellectuelle.</w:t>
      </w:r>
    </w:p>
    <w:p>
      <w:pPr>
        <w:pStyle w:val="Heading1"/>
        <w:pBdr>
          <w:bottom w:val="single" w:color="2A7A65" w:sz="6"/>
        </w:pBdr>
        <w:spacing w:after="200" w:before="400" w:line="312"/>
      </w:pPr>
      <w:bookmarkStart w:id="100020" w:name="_Toc100020"/>
      <w:r>
        <w:rPr>
          <w:rFonts w:ascii="Times New Roman" w:cs="Times New Roman" w:eastAsia="Times New Roman" w:hAnsi="Times New Roman"/>
          <w:b/>
          <w:bCs/>
          <w:color w:val="2A7A65"/>
          <w:sz w:val="36"/>
          <w:szCs w:val="36"/>
        </w:rPr>
        <w:t xml:space="preserve">6. Produit et Innovation</w:t>
      </w:r>
      <w:bookmarkEnd w:id="100020"/>
    </w:p>
    <w:p>
      <w:pPr>
        <w:pStyle w:val="Heading2"/>
        <w:spacing w:after="150" w:before="300" w:line="312"/>
      </w:pPr>
      <w:bookmarkStart w:id="100021" w:name="_Toc100021"/>
      <w:r>
        <w:rPr>
          <w:rFonts w:ascii="Times New Roman" w:cs="Times New Roman" w:eastAsia="Times New Roman" w:hAnsi="Times New Roman"/>
          <w:b/>
          <w:bCs/>
          <w:color w:val="2A7A65"/>
          <w:sz w:val="30"/>
          <w:szCs w:val="30"/>
        </w:rPr>
        <w:t xml:space="preserve">6.1 Description du Produit Biodynamie</w:t>
      </w:r>
      <w:bookmarkEnd w:id="100021"/>
    </w:p>
    <w:p>
      <w:pPr>
        <w:spacing w:after="120" w:line="312"/>
        <w:ind w:firstLine="480"/>
        <w:jc w:val="both"/>
      </w:pPr>
      <w:r>
        <w:rPr>
          <w:rFonts w:ascii="Calibri" w:cs="Calibri" w:eastAsia="Calibri" w:hAnsi="Calibri"/>
          <w:color w:val="000000"/>
          <w:sz w:val="22"/>
          <w:szCs w:val="22"/>
        </w:rPr>
        <w:t xml:space="preserve">Biodynamie est un biofertilisant liquide 100% naturel et ecologique, formule a partir de micro-organismes benefiques et d'extraits vegetaux soigneusement selectionnes pour leur synergie avec les ecosystemes tropicaux. Sa composition unique resulte de plus de vingt annees de recherche et developpement, ayant fait l'objet de multiples iterations et validations experimentales. Le produit agit sur trois niveaux complementaires : la stimulation de la biologie du sol, l'amelioration de la nutrition des plantes et le renforcement de leur resistance naturelle.</w:t>
      </w:r>
    </w:p>
    <w:p>
      <w:pPr>
        <w:spacing w:after="120" w:line="312"/>
        <w:ind w:firstLine="480"/>
        <w:jc w:val="both"/>
      </w:pPr>
      <w:r>
        <w:rPr>
          <w:rFonts w:ascii="Calibri" w:cs="Calibri" w:eastAsia="Calibri" w:hAnsi="Calibri"/>
          <w:color w:val="000000"/>
          <w:sz w:val="22"/>
          <w:szCs w:val="22"/>
        </w:rPr>
        <w:t xml:space="preserve">Les caracteristiques techniques du produit sont les suivantes : pH de 7,5 (neutre a legerement alcalin, optimal pour la plupart des cultures tropicales), 100% biodegradable, zero chimie de synthese, compatible avec tous les types de cultures tropicales (cacaoyers, cafeiers, palmiers a huile, heveas, cultures maraicheres, cereales). Les resultats sont visibles des le dixieme jour suivant l'application, avec une augmentation moyenne des rendements de 30 a 50 pourcent selon les cultures et les conditions pedoclimatiques.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5%"/>
            <w:shd w:fill="2A7A65" w:val="clear"/>
            <w:vAlign w:val="center"/>
          </w:tcPr>
          <w:p>
            <w:pPr>
              <w:spacing w:after="40" w:before="40"/>
              <w:jc w:val="center"/>
            </w:pPr>
            <w:r>
              <w:rPr>
                <w:rFonts w:ascii="Calibri" w:cs="Calibri" w:eastAsia="Calibri" w:hAnsi="Calibri"/>
                <w:b/>
                <w:bCs/>
                <w:color w:val="FFFFFF"/>
                <w:sz w:val="20"/>
                <w:szCs w:val="20"/>
              </w:rPr>
              <w:t xml:space="preserve">Caracteristique</w:t>
            </w:r>
          </w:p>
        </w:tc>
        <w:tc>
          <w:tcPr>
            <w:tcW w:type="pct" w:w="40%"/>
            <w:shd w:fill="2A7A65" w:val="clear"/>
            <w:vAlign w:val="center"/>
          </w:tcPr>
          <w:p>
            <w:pPr>
              <w:spacing w:after="40" w:before="40"/>
              <w:jc w:val="center"/>
            </w:pPr>
            <w:r>
              <w:rPr>
                <w:rFonts w:ascii="Calibri" w:cs="Calibri" w:eastAsia="Calibri" w:hAnsi="Calibri"/>
                <w:b/>
                <w:bCs/>
                <w:color w:val="FFFFFF"/>
                <w:sz w:val="20"/>
                <w:szCs w:val="20"/>
              </w:rPr>
              <w:t xml:space="preserve">Specification</w:t>
            </w:r>
          </w:p>
        </w:tc>
        <w:tc>
          <w:tcPr>
            <w:tcW w:type="pct" w:w="35%"/>
            <w:shd w:fill="2A7A65" w:val="clear"/>
            <w:vAlign w:val="center"/>
          </w:tcPr>
          <w:p>
            <w:pPr>
              <w:spacing w:after="40" w:before="40"/>
              <w:jc w:val="center"/>
            </w:pPr>
            <w:r>
              <w:rPr>
                <w:rFonts w:ascii="Calibri" w:cs="Calibri" w:eastAsia="Calibri" w:hAnsi="Calibri"/>
                <w:b/>
                <w:bCs/>
                <w:color w:val="FFFFFF"/>
                <w:sz w:val="20"/>
                <w:szCs w:val="20"/>
              </w:rPr>
              <w:t xml:space="preserve">Avantage</w:t>
            </w:r>
          </w:p>
        </w:tc>
      </w:tr>
      <w:tr>
        <w:tc>
          <w:tcPr>
            <w:tcW w:type="pct" w:w="25%"/>
            <w:vAlign w:val="center"/>
          </w:tcPr>
          <w:p>
            <w:pPr>
              <w:spacing w:after="30" w:before="30"/>
              <w:jc w:val="left"/>
            </w:pPr>
            <w:r>
              <w:rPr>
                <w:rFonts w:ascii="Calibri" w:cs="Calibri" w:eastAsia="Calibri" w:hAnsi="Calibri"/>
                <w:color w:val="000000"/>
                <w:sz w:val="20"/>
                <w:szCs w:val="20"/>
              </w:rPr>
              <w:t xml:space="preserve">Composition</w:t>
            </w:r>
          </w:p>
        </w:tc>
        <w:tc>
          <w:tcPr>
            <w:tcW w:type="pct" w:w="40%"/>
            <w:vAlign w:val="center"/>
          </w:tcPr>
          <w:p>
            <w:pPr>
              <w:spacing w:after="30" w:before="30"/>
              <w:jc w:val="left"/>
            </w:pPr>
            <w:r>
              <w:rPr>
                <w:rFonts w:ascii="Calibri" w:cs="Calibri" w:eastAsia="Calibri" w:hAnsi="Calibri"/>
                <w:color w:val="000000"/>
                <w:sz w:val="20"/>
                <w:szCs w:val="20"/>
              </w:rPr>
              <w:t xml:space="preserve">100% naturelle (micro-organismes + extraits vegetaux)</w:t>
            </w:r>
          </w:p>
        </w:tc>
        <w:tc>
          <w:tcPr>
            <w:tcW w:type="pct" w:w="35%"/>
            <w:vAlign w:val="center"/>
          </w:tcPr>
          <w:p>
            <w:pPr>
              <w:spacing w:after="30" w:before="30"/>
              <w:jc w:val="left"/>
            </w:pPr>
            <w:r>
              <w:rPr>
                <w:rFonts w:ascii="Calibri" w:cs="Calibri" w:eastAsia="Calibri" w:hAnsi="Calibri"/>
                <w:color w:val="000000"/>
                <w:sz w:val="20"/>
                <w:szCs w:val="20"/>
              </w:rPr>
              <w:t xml:space="preserve">Zero residus chimiques</w:t>
            </w:r>
          </w:p>
        </w:tc>
      </w:tr>
      <w:tr>
        <w:tc>
          <w:tcPr>
            <w:tcW w:type="pct" w:w="25%"/>
            <w:shd w:fill="EDF5F2" w:val="clear"/>
            <w:vAlign w:val="center"/>
          </w:tcPr>
          <w:p>
            <w:pPr>
              <w:spacing w:after="30" w:before="30"/>
              <w:jc w:val="left"/>
            </w:pPr>
            <w:r>
              <w:rPr>
                <w:rFonts w:ascii="Calibri" w:cs="Calibri" w:eastAsia="Calibri" w:hAnsi="Calibri"/>
                <w:color w:val="000000"/>
                <w:sz w:val="20"/>
                <w:szCs w:val="20"/>
              </w:rPr>
              <w:t xml:space="preserve">Biodegradabilite</w:t>
            </w:r>
          </w:p>
        </w:tc>
        <w:tc>
          <w:tcPr>
            <w:tcW w:type="pct" w:w="40%"/>
            <w:shd w:fill="EDF5F2" w:val="clear"/>
            <w:vAlign w:val="center"/>
          </w:tcPr>
          <w:p>
            <w:pPr>
              <w:spacing w:after="30" w:before="30"/>
              <w:jc w:val="left"/>
            </w:pPr>
            <w:r>
              <w:rPr>
                <w:rFonts w:ascii="Calibri" w:cs="Calibri" w:eastAsia="Calibri" w:hAnsi="Calibri"/>
                <w:color w:val="000000"/>
                <w:sz w:val="20"/>
                <w:szCs w:val="20"/>
              </w:rPr>
              <w:t xml:space="preserve">100% biodegradable</w:t>
            </w:r>
          </w:p>
        </w:tc>
        <w:tc>
          <w:tcPr>
            <w:tcW w:type="pct" w:w="35%"/>
            <w:shd w:fill="EDF5F2" w:val="clear"/>
            <w:vAlign w:val="center"/>
          </w:tcPr>
          <w:p>
            <w:pPr>
              <w:spacing w:after="30" w:before="30"/>
              <w:jc w:val="left"/>
            </w:pPr>
            <w:r>
              <w:rPr>
                <w:rFonts w:ascii="Calibri" w:cs="Calibri" w:eastAsia="Calibri" w:hAnsi="Calibri"/>
                <w:color w:val="000000"/>
                <w:sz w:val="20"/>
                <w:szCs w:val="20"/>
              </w:rPr>
              <w:t xml:space="preserve">Preservation ecosystemes</w:t>
            </w:r>
          </w:p>
        </w:tc>
      </w:tr>
      <w:tr>
        <w:tc>
          <w:tcPr>
            <w:tcW w:type="pct" w:w="25%"/>
            <w:vAlign w:val="center"/>
          </w:tcPr>
          <w:p>
            <w:pPr>
              <w:spacing w:after="30" w:before="30"/>
              <w:jc w:val="left"/>
            </w:pPr>
            <w:r>
              <w:rPr>
                <w:rFonts w:ascii="Calibri" w:cs="Calibri" w:eastAsia="Calibri" w:hAnsi="Calibri"/>
                <w:color w:val="000000"/>
                <w:sz w:val="20"/>
                <w:szCs w:val="20"/>
              </w:rPr>
              <w:t xml:space="preserve">pH</w:t>
            </w:r>
          </w:p>
        </w:tc>
        <w:tc>
          <w:tcPr>
            <w:tcW w:type="pct" w:w="40%"/>
            <w:vAlign w:val="center"/>
          </w:tcPr>
          <w:p>
            <w:pPr>
              <w:spacing w:after="30" w:before="30"/>
              <w:jc w:val="left"/>
            </w:pPr>
            <w:r>
              <w:rPr>
                <w:rFonts w:ascii="Calibri" w:cs="Calibri" w:eastAsia="Calibri" w:hAnsi="Calibri"/>
                <w:color w:val="000000"/>
                <w:sz w:val="20"/>
                <w:szCs w:val="20"/>
              </w:rPr>
              <w:t xml:space="preserve">7,5</w:t>
            </w:r>
          </w:p>
        </w:tc>
        <w:tc>
          <w:tcPr>
            <w:tcW w:type="pct" w:w="35%"/>
            <w:vAlign w:val="center"/>
          </w:tcPr>
          <w:p>
            <w:pPr>
              <w:spacing w:after="30" w:before="30"/>
              <w:jc w:val="left"/>
            </w:pPr>
            <w:r>
              <w:rPr>
                <w:rFonts w:ascii="Calibri" w:cs="Calibri" w:eastAsia="Calibri" w:hAnsi="Calibri"/>
                <w:color w:val="000000"/>
                <w:sz w:val="20"/>
                <w:szCs w:val="20"/>
              </w:rPr>
              <w:t xml:space="preserve">Compatibilite universelle cultures tropicales</w:t>
            </w:r>
          </w:p>
        </w:tc>
      </w:tr>
      <w:tr>
        <w:tc>
          <w:tcPr>
            <w:tcW w:type="pct" w:w="25%"/>
            <w:shd w:fill="EDF5F2" w:val="clear"/>
            <w:vAlign w:val="center"/>
          </w:tcPr>
          <w:p>
            <w:pPr>
              <w:spacing w:after="30" w:before="30"/>
              <w:jc w:val="left"/>
            </w:pPr>
            <w:r>
              <w:rPr>
                <w:rFonts w:ascii="Calibri" w:cs="Calibri" w:eastAsia="Calibri" w:hAnsi="Calibri"/>
                <w:color w:val="000000"/>
                <w:sz w:val="20"/>
                <w:szCs w:val="20"/>
              </w:rPr>
              <w:t xml:space="preserve">Delai efficacite</w:t>
            </w:r>
          </w:p>
        </w:tc>
        <w:tc>
          <w:tcPr>
            <w:tcW w:type="pct" w:w="40%"/>
            <w:shd w:fill="EDF5F2" w:val="clear"/>
            <w:vAlign w:val="center"/>
          </w:tcPr>
          <w:p>
            <w:pPr>
              <w:spacing w:after="30" w:before="30"/>
              <w:jc w:val="left"/>
            </w:pPr>
            <w:r>
              <w:rPr>
                <w:rFonts w:ascii="Calibri" w:cs="Calibri" w:eastAsia="Calibri" w:hAnsi="Calibri"/>
                <w:color w:val="000000"/>
                <w:sz w:val="20"/>
                <w:szCs w:val="20"/>
              </w:rPr>
              <w:t xml:space="preserve">Resultats visibles en 10 jours</w:t>
            </w:r>
          </w:p>
        </w:tc>
        <w:tc>
          <w:tcPr>
            <w:tcW w:type="pct" w:w="35%"/>
            <w:shd w:fill="EDF5F2" w:val="clear"/>
            <w:vAlign w:val="center"/>
          </w:tcPr>
          <w:p>
            <w:pPr>
              <w:spacing w:after="30" w:before="30"/>
              <w:jc w:val="left"/>
            </w:pPr>
            <w:r>
              <w:rPr>
                <w:rFonts w:ascii="Calibri" w:cs="Calibri" w:eastAsia="Calibri" w:hAnsi="Calibri"/>
                <w:color w:val="000000"/>
                <w:sz w:val="20"/>
                <w:szCs w:val="20"/>
              </w:rPr>
              <w:t xml:space="preserve">Adoption rapide par les agriculteurs</w:t>
            </w:r>
          </w:p>
        </w:tc>
      </w:tr>
      <w:tr>
        <w:tc>
          <w:tcPr>
            <w:tcW w:type="pct" w:w="25%"/>
            <w:vAlign w:val="center"/>
          </w:tcPr>
          <w:p>
            <w:pPr>
              <w:spacing w:after="30" w:before="30"/>
              <w:jc w:val="left"/>
            </w:pPr>
            <w:r>
              <w:rPr>
                <w:rFonts w:ascii="Calibri" w:cs="Calibri" w:eastAsia="Calibri" w:hAnsi="Calibri"/>
                <w:color w:val="000000"/>
                <w:sz w:val="20"/>
                <w:szCs w:val="20"/>
              </w:rPr>
              <w:t xml:space="preserve">Action microbiologique</w:t>
            </w:r>
          </w:p>
        </w:tc>
        <w:tc>
          <w:tcPr>
            <w:tcW w:type="pct" w:w="40%"/>
            <w:vAlign w:val="center"/>
          </w:tcPr>
          <w:p>
            <w:pPr>
              <w:spacing w:after="30" w:before="30"/>
              <w:jc w:val="left"/>
            </w:pPr>
            <w:r>
              <w:rPr>
                <w:rFonts w:ascii="Calibri" w:cs="Calibri" w:eastAsia="Calibri" w:hAnsi="Calibri"/>
                <w:color w:val="000000"/>
                <w:sz w:val="20"/>
                <w:szCs w:val="20"/>
              </w:rPr>
              <w:t xml:space="preserve">Regenere la vie microbienne des sols</w:t>
            </w:r>
          </w:p>
        </w:tc>
        <w:tc>
          <w:tcPr>
            <w:tcW w:type="pct" w:w="35%"/>
            <w:vAlign w:val="center"/>
          </w:tcPr>
          <w:p>
            <w:pPr>
              <w:spacing w:after="30" w:before="30"/>
              <w:jc w:val="left"/>
            </w:pPr>
            <w:r>
              <w:rPr>
                <w:rFonts w:ascii="Calibri" w:cs="Calibri" w:eastAsia="Calibri" w:hAnsi="Calibri"/>
                <w:color w:val="000000"/>
                <w:sz w:val="20"/>
                <w:szCs w:val="20"/>
              </w:rPr>
              <w:t xml:space="preserve">Amelioration durable de la fertilite</w:t>
            </w:r>
          </w:p>
        </w:tc>
      </w:tr>
      <w:tr>
        <w:tc>
          <w:tcPr>
            <w:tcW w:type="pct" w:w="25%"/>
            <w:shd w:fill="EDF5F2" w:val="clear"/>
            <w:vAlign w:val="center"/>
          </w:tcPr>
          <w:p>
            <w:pPr>
              <w:spacing w:after="30" w:before="30"/>
              <w:jc w:val="left"/>
            </w:pPr>
            <w:r>
              <w:rPr>
                <w:rFonts w:ascii="Calibri" w:cs="Calibri" w:eastAsia="Calibri" w:hAnsi="Calibri"/>
                <w:color w:val="000000"/>
                <w:sz w:val="20"/>
                <w:szCs w:val="20"/>
              </w:rPr>
              <w:t xml:space="preserve">Compatibilite</w:t>
            </w:r>
          </w:p>
        </w:tc>
        <w:tc>
          <w:tcPr>
            <w:tcW w:type="pct" w:w="40%"/>
            <w:shd w:fill="EDF5F2" w:val="clear"/>
            <w:vAlign w:val="center"/>
          </w:tcPr>
          <w:p>
            <w:pPr>
              <w:spacing w:after="30" w:before="30"/>
              <w:jc w:val="left"/>
            </w:pPr>
            <w:r>
              <w:rPr>
                <w:rFonts w:ascii="Calibri" w:cs="Calibri" w:eastAsia="Calibri" w:hAnsi="Calibri"/>
                <w:color w:val="000000"/>
                <w:sz w:val="20"/>
                <w:szCs w:val="20"/>
              </w:rPr>
              <w:t xml:space="preserve">Toutes cultures tropicales</w:t>
            </w:r>
          </w:p>
        </w:tc>
        <w:tc>
          <w:tcPr>
            <w:tcW w:type="pct" w:w="35%"/>
            <w:shd w:fill="EDF5F2" w:val="clear"/>
            <w:vAlign w:val="center"/>
          </w:tcPr>
          <w:p>
            <w:pPr>
              <w:spacing w:after="30" w:before="30"/>
              <w:jc w:val="left"/>
            </w:pPr>
            <w:r>
              <w:rPr>
                <w:rFonts w:ascii="Calibri" w:cs="Calibri" w:eastAsia="Calibri" w:hAnsi="Calibri"/>
                <w:color w:val="000000"/>
                <w:sz w:val="20"/>
                <w:szCs w:val="20"/>
              </w:rPr>
              <w:t xml:space="preserve">Marche potentiel tres large</w:t>
            </w:r>
          </w:p>
        </w:tc>
      </w:tr>
      <w:tr>
        <w:tc>
          <w:tcPr>
            <w:tcW w:type="pct" w:w="25%"/>
            <w:vAlign w:val="center"/>
          </w:tcPr>
          <w:p>
            <w:pPr>
              <w:spacing w:after="30" w:before="30"/>
              <w:jc w:val="left"/>
            </w:pPr>
            <w:r>
              <w:rPr>
                <w:rFonts w:ascii="Calibri" w:cs="Calibri" w:eastAsia="Calibri" w:hAnsi="Calibri"/>
                <w:color w:val="000000"/>
                <w:sz w:val="20"/>
                <w:szCs w:val="20"/>
              </w:rPr>
              <w:t xml:space="preserve">Homologation</w:t>
            </w:r>
          </w:p>
        </w:tc>
        <w:tc>
          <w:tcPr>
            <w:tcW w:type="pct" w:w="40%"/>
            <w:vAlign w:val="center"/>
          </w:tcPr>
          <w:p>
            <w:pPr>
              <w:spacing w:after="30" w:before="30"/>
              <w:jc w:val="left"/>
            </w:pPr>
            <w:r>
              <w:rPr>
                <w:rFonts w:ascii="Calibri" w:cs="Calibri" w:eastAsia="Calibri" w:hAnsi="Calibri"/>
                <w:color w:val="000000"/>
                <w:sz w:val="20"/>
                <w:szCs w:val="20"/>
              </w:rPr>
              <w:t xml:space="preserve">En cours (Loi n02015-537)</w:t>
            </w:r>
          </w:p>
        </w:tc>
        <w:tc>
          <w:tcPr>
            <w:tcW w:type="pct" w:w="35%"/>
            <w:vAlign w:val="center"/>
          </w:tcPr>
          <w:p>
            <w:pPr>
              <w:spacing w:after="30" w:before="30"/>
              <w:jc w:val="left"/>
            </w:pPr>
            <w:r>
              <w:rPr>
                <w:rFonts w:ascii="Calibri" w:cs="Calibri" w:eastAsia="Calibri" w:hAnsi="Calibri"/>
                <w:color w:val="000000"/>
                <w:sz w:val="20"/>
                <w:szCs w:val="20"/>
              </w:rPr>
              <w:t xml:space="preserve">Conformite reglementaire assuree</w:t>
            </w:r>
          </w:p>
        </w:tc>
      </w:tr>
    </w:tbl>
    <w:p>
      <w:pPr>
        <w:pStyle w:val="Heading2"/>
        <w:spacing w:after="150" w:before="300" w:line="312"/>
      </w:pPr>
      <w:bookmarkStart w:id="100022" w:name="_Toc100022"/>
      <w:r>
        <w:rPr>
          <w:rFonts w:ascii="Times New Roman" w:cs="Times New Roman" w:eastAsia="Times New Roman" w:hAnsi="Times New Roman"/>
          <w:b/>
          <w:bCs/>
          <w:color w:val="2A7A65"/>
          <w:sz w:val="30"/>
          <w:szCs w:val="30"/>
        </w:rPr>
        <w:t xml:space="preserve">6.2 Avantages Competitifs et Proposition de Valeur</w:t>
      </w:r>
      <w:bookmarkEnd w:id="100022"/>
    </w:p>
    <w:p>
      <w:pPr>
        <w:spacing w:after="120" w:line="312"/>
        <w:ind w:firstLine="480"/>
        <w:jc w:val="both"/>
      </w:pPr>
      <w:r>
        <w:rPr>
          <w:rFonts w:ascii="Calibri" w:cs="Calibri" w:eastAsia="Calibri" w:hAnsi="Calibri"/>
          <w:color w:val="000000"/>
          <w:sz w:val="22"/>
          <w:szCs w:val="22"/>
        </w:rPr>
        <w:t xml:space="preserve">La proposition de valeur de Biodynamie s'articule autour de quatre axes differentiants fondamentaux qui repondent aux besoins non satisfaits du marche ivoirien. Premierement, la zero chimie garantit l'absence totale de residus toxiques dans les sols et les recoltes, repondant a la demande croissante des marches internationaux pour des produits agricoles sains et certificables. Deuxiemement, la regeneration microbiologique distingue fondamentalement Biodynamie des engrais chimiques qui, a long terme, appauvrissent les sols.</w:t>
      </w:r>
    </w:p>
    <w:p>
      <w:pPr>
        <w:spacing w:after="120" w:line="312"/>
        <w:ind w:firstLine="480"/>
        <w:jc w:val="both"/>
      </w:pPr>
      <w:r>
        <w:rPr>
          <w:rFonts w:ascii="Calibri" w:cs="Calibri" w:eastAsia="Calibri" w:hAnsi="Calibri"/>
          <w:color w:val="000000"/>
          <w:sz w:val="22"/>
          <w:szCs w:val="22"/>
        </w:rPr>
        <w:t xml:space="preserve">Troisiemement, la rapidite des resultats (10 jours) constitue un argument commercial decisif dans un contexte ou les agriculteurs sont habitues aux effets immediats des engrais chimiques. Cet avantage leve l'un des principaux obstacles a l'adoption des biofertilisants : la perception d'une efficacite lente. Quatriemement, le prix de lancement a 600 Fcfa/g (soit 40 pourcent de reduction par rapport au tarif standard de 1 000 Fcfa/g) rend le produit accessible et encourage l'essai.</w:t>
      </w:r>
    </w:p>
    <w:p>
      <w:pPr>
        <w:pStyle w:val="Heading2"/>
        <w:spacing w:after="150" w:before="300" w:line="312"/>
      </w:pPr>
      <w:bookmarkStart w:id="100023" w:name="_Toc100023"/>
      <w:r>
        <w:rPr>
          <w:rFonts w:ascii="Times New Roman" w:cs="Times New Roman" w:eastAsia="Times New Roman" w:hAnsi="Times New Roman"/>
          <w:b/>
          <w:bCs/>
          <w:color w:val="2A7A65"/>
          <w:sz w:val="30"/>
          <w:szCs w:val="30"/>
        </w:rPr>
        <w:t xml:space="preserve">6.3 Processus de Recherche et Developpement</w:t>
      </w:r>
      <w:bookmarkEnd w:id="100023"/>
    </w:p>
    <w:p>
      <w:pPr>
        <w:spacing w:after="120" w:line="312"/>
        <w:ind w:firstLine="480"/>
        <w:jc w:val="both"/>
      </w:pPr>
      <w:r>
        <w:rPr>
          <w:rFonts w:ascii="Calibri" w:cs="Calibri" w:eastAsia="Calibri" w:hAnsi="Calibri"/>
          <w:color w:val="000000"/>
          <w:sz w:val="22"/>
          <w:szCs w:val="22"/>
        </w:rPr>
        <w:t xml:space="preserve">Le processus de R&amp;D de Biodynamie s'etend sur plus de vingt ans et suit une demarche scientifique rigoureuse en quatre phases. La premiere phase (2003-2010) a consiste en la recherche fondamentale : identification des souches microbiennes les plus efficaces, etude de leurs synergies et mise au point des premieres formulations experimentales. La deuxieme phase (2010-2017) a porte sur les essais en conditions controlees : tests en laboratoire, optimisation des dosages et validation de l'efficacite sur differentes cultures tropicales.</w:t>
      </w:r>
    </w:p>
    <w:p>
      <w:pPr>
        <w:spacing w:after="120" w:line="312"/>
        <w:ind w:firstLine="480"/>
        <w:jc w:val="both"/>
      </w:pPr>
      <w:r>
        <w:rPr>
          <w:rFonts w:ascii="Calibri" w:cs="Calibri" w:eastAsia="Calibri" w:hAnsi="Calibri"/>
          <w:color w:val="000000"/>
          <w:sz w:val="22"/>
          <w:szCs w:val="22"/>
        </w:rPr>
        <w:t xml:space="preserve">La troisieme phase (2017-2023) a concerne les essais en conditions reelles : tests sur parcelles pilotes aupres d'agriculteurs volontaires, ajustements de la formulation en fonction des retours terrain et constitution d'un corpus de donnees de reference sur les performances du produit. La quatrieme phase (2023-2025) est celle de la pre-industrialisation : mise au point du processus de production a echelle industrielle, elaboration du packaging, constitution des dossiers reglementaires et preparation du lancement commercial.</w:t>
      </w:r>
    </w:p>
    <w:p>
      <w:pPr>
        <w:spacing w:after="120" w:line="312"/>
        <w:ind w:firstLine="480"/>
        <w:jc w:val="both"/>
      </w:pPr>
      <w:r>
        <w:rPr>
          <w:rFonts w:ascii="Calibri" w:cs="Calibri" w:eastAsia="Calibri" w:hAnsi="Calibri"/>
          <w:color w:val="000000"/>
          <w:sz w:val="22"/>
          <w:szCs w:val="22"/>
        </w:rPr>
        <w:t xml:space="preserve">Ce processus de R&amp;D exemplaire constitue une barriere a l'entree significative pour d'eventuels concurrents. La complexite de la formulation, la maitrise des dosages et l'expertise accumulee sur plus de vingt ans ne peuvent etre reproduites rapidement. La protection de la propriete intellectuelle est assuree par le depot de brevet et la confidentialite de la formule complete.</w:t>
      </w:r>
    </w:p>
    <w:p>
      <w:pPr>
        <w:pStyle w:val="Heading2"/>
        <w:spacing w:after="150" w:before="300" w:line="312"/>
      </w:pPr>
      <w:bookmarkStart w:id="100024" w:name="_Toc100024"/>
      <w:r>
        <w:rPr>
          <w:rFonts w:ascii="Times New Roman" w:cs="Times New Roman" w:eastAsia="Times New Roman" w:hAnsi="Times New Roman"/>
          <w:b/>
          <w:bCs/>
          <w:color w:val="2A7A65"/>
          <w:sz w:val="30"/>
          <w:szCs w:val="30"/>
        </w:rPr>
        <w:t xml:space="preserve">6.4 Gamme de Produits et Packaging</w:t>
      </w:r>
      <w:bookmarkEnd w:id="100024"/>
    </w:p>
    <w:p>
      <w:pPr>
        <w:spacing w:after="120" w:line="312"/>
        <w:ind w:firstLine="480"/>
        <w:jc w:val="both"/>
      </w:pPr>
      <w:r>
        <w:rPr>
          <w:rFonts w:ascii="Calibri" w:cs="Calibri" w:eastAsia="Calibri" w:hAnsi="Calibri"/>
          <w:color w:val="000000"/>
          <w:sz w:val="22"/>
          <w:szCs w:val="22"/>
        </w:rPr>
        <w:t xml:space="preserve">La gamme Biodynamie est declinee en trois formats adaptes aux differents segments de clientele et a leurs besoins specifiques. Chaque format beneficie d'un packaging ergonomique, resistant aux conditions tropicales et portant un identifiant visuel distinctif en coherence avec l'image de marque du produit.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15%"/>
            <w:shd w:fill="2A7A65" w:val="clear"/>
            <w:vAlign w:val="center"/>
          </w:tcPr>
          <w:p>
            <w:pPr>
              <w:spacing w:after="40" w:before="40"/>
              <w:jc w:val="center"/>
            </w:pPr>
            <w:r>
              <w:rPr>
                <w:rFonts w:ascii="Calibri" w:cs="Calibri" w:eastAsia="Calibri" w:hAnsi="Calibri"/>
                <w:b/>
                <w:bCs/>
                <w:color w:val="FFFFFF"/>
                <w:sz w:val="20"/>
                <w:szCs w:val="20"/>
              </w:rPr>
              <w:t xml:space="preserve">Format</w:t>
            </w:r>
          </w:p>
        </w:tc>
        <w:tc>
          <w:tcPr>
            <w:tcW w:type="pct" w:w="12%"/>
            <w:shd w:fill="2A7A65" w:val="clear"/>
            <w:vAlign w:val="center"/>
          </w:tcPr>
          <w:p>
            <w:pPr>
              <w:spacing w:after="40" w:before="40"/>
              <w:jc w:val="center"/>
            </w:pPr>
            <w:r>
              <w:rPr>
                <w:rFonts w:ascii="Calibri" w:cs="Calibri" w:eastAsia="Calibri" w:hAnsi="Calibri"/>
                <w:b/>
                <w:bCs/>
                <w:color w:val="FFFFFF"/>
                <w:sz w:val="20"/>
                <w:szCs w:val="20"/>
              </w:rPr>
              <w:t xml:space="preserve">Poids net</w:t>
            </w:r>
          </w:p>
        </w:tc>
        <w:tc>
          <w:tcPr>
            <w:tcW w:type="pct" w:w="20%"/>
            <w:shd w:fill="2A7A65" w:val="clear"/>
            <w:vAlign w:val="center"/>
          </w:tcPr>
          <w:p>
            <w:pPr>
              <w:spacing w:after="40" w:before="40"/>
              <w:jc w:val="center"/>
            </w:pPr>
            <w:r>
              <w:rPr>
                <w:rFonts w:ascii="Calibri" w:cs="Calibri" w:eastAsia="Calibri" w:hAnsi="Calibri"/>
                <w:b/>
                <w:bCs/>
                <w:color w:val="FFFFFF"/>
                <w:sz w:val="20"/>
                <w:szCs w:val="20"/>
              </w:rPr>
              <w:t xml:space="preserve">Prix lancement (Fcfa)</w:t>
            </w:r>
          </w:p>
        </w:tc>
        <w:tc>
          <w:tcPr>
            <w:tcW w:type="pct" w:w="20%"/>
            <w:shd w:fill="2A7A65" w:val="clear"/>
            <w:vAlign w:val="center"/>
          </w:tcPr>
          <w:p>
            <w:pPr>
              <w:spacing w:after="40" w:before="40"/>
              <w:jc w:val="center"/>
            </w:pPr>
            <w:r>
              <w:rPr>
                <w:rFonts w:ascii="Calibri" w:cs="Calibri" w:eastAsia="Calibri" w:hAnsi="Calibri"/>
                <w:b/>
                <w:bCs/>
                <w:color w:val="FFFFFF"/>
                <w:sz w:val="20"/>
                <w:szCs w:val="20"/>
              </w:rPr>
              <w:t xml:space="preserve">Prix standard (Fcfa)</w:t>
            </w:r>
          </w:p>
        </w:tc>
        <w:tc>
          <w:tcPr>
            <w:tcW w:type="pct" w:w="33%"/>
            <w:shd w:fill="2A7A65" w:val="clear"/>
            <w:vAlign w:val="center"/>
          </w:tcPr>
          <w:p>
            <w:pPr>
              <w:spacing w:after="40" w:before="40"/>
              <w:jc w:val="center"/>
            </w:pPr>
            <w:r>
              <w:rPr>
                <w:rFonts w:ascii="Calibri" w:cs="Calibri" w:eastAsia="Calibri" w:hAnsi="Calibri"/>
                <w:b/>
                <w:bCs/>
                <w:color w:val="FFFFFF"/>
                <w:sz w:val="20"/>
                <w:szCs w:val="20"/>
              </w:rPr>
              <w:t xml:space="preserve">Cible principale</w:t>
            </w:r>
          </w:p>
        </w:tc>
      </w:tr>
      <w:tr>
        <w:tc>
          <w:tcPr>
            <w:tcW w:type="pct" w:w="15%"/>
            <w:vAlign w:val="center"/>
          </w:tcPr>
          <w:p>
            <w:pPr>
              <w:spacing w:after="30" w:before="30"/>
              <w:jc w:val="left"/>
            </w:pPr>
            <w:r>
              <w:rPr>
                <w:rFonts w:ascii="Calibri" w:cs="Calibri" w:eastAsia="Calibri" w:hAnsi="Calibri"/>
                <w:color w:val="000000"/>
                <w:sz w:val="20"/>
                <w:szCs w:val="20"/>
              </w:rPr>
              <w:t xml:space="preserve">Petit format</w:t>
            </w:r>
          </w:p>
        </w:tc>
        <w:tc>
          <w:tcPr>
            <w:tcW w:type="pct" w:w="12%"/>
            <w:vAlign w:val="center"/>
          </w:tcPr>
          <w:p>
            <w:pPr>
              <w:spacing w:after="30" w:before="30"/>
              <w:jc w:val="left"/>
            </w:pPr>
            <w:r>
              <w:rPr>
                <w:rFonts w:ascii="Calibri" w:cs="Calibri" w:eastAsia="Calibri" w:hAnsi="Calibri"/>
                <w:color w:val="000000"/>
                <w:sz w:val="20"/>
                <w:szCs w:val="20"/>
              </w:rPr>
              <w:t xml:space="preserve">100 g</w:t>
            </w:r>
          </w:p>
        </w:tc>
        <w:tc>
          <w:tcPr>
            <w:tcW w:type="pct" w:w="20%"/>
            <w:vAlign w:val="center"/>
          </w:tcPr>
          <w:p>
            <w:pPr>
              <w:spacing w:after="30" w:before="30"/>
              <w:jc w:val="left"/>
            </w:pPr>
            <w:r>
              <w:rPr>
                <w:rFonts w:ascii="Calibri" w:cs="Calibri" w:eastAsia="Calibri" w:hAnsi="Calibri"/>
                <w:color w:val="000000"/>
                <w:sz w:val="20"/>
                <w:szCs w:val="20"/>
              </w:rPr>
              <w:t xml:space="preserve">60 000</w:t>
            </w:r>
          </w:p>
        </w:tc>
        <w:tc>
          <w:tcPr>
            <w:tcW w:type="pct" w:w="20%"/>
            <w:vAlign w:val="center"/>
          </w:tcPr>
          <w:p>
            <w:pPr>
              <w:spacing w:after="30" w:before="30"/>
              <w:jc w:val="left"/>
            </w:pPr>
            <w:r>
              <w:rPr>
                <w:rFonts w:ascii="Calibri" w:cs="Calibri" w:eastAsia="Calibri" w:hAnsi="Calibri"/>
                <w:color w:val="000000"/>
                <w:sz w:val="20"/>
                <w:szCs w:val="20"/>
              </w:rPr>
              <w:t xml:space="preserve">100 000</w:t>
            </w:r>
          </w:p>
        </w:tc>
        <w:tc>
          <w:tcPr>
            <w:tcW w:type="pct" w:w="33%"/>
            <w:vAlign w:val="center"/>
          </w:tcPr>
          <w:p>
            <w:pPr>
              <w:spacing w:after="30" w:before="30"/>
              <w:jc w:val="left"/>
            </w:pPr>
            <w:r>
              <w:rPr>
                <w:rFonts w:ascii="Calibri" w:cs="Calibri" w:eastAsia="Calibri" w:hAnsi="Calibri"/>
                <w:color w:val="000000"/>
                <w:sz w:val="20"/>
                <w:szCs w:val="20"/>
              </w:rPr>
              <w:t xml:space="preserve">Petits exploitants, maraichage</w:t>
            </w:r>
          </w:p>
        </w:tc>
      </w:tr>
      <w:tr>
        <w:tc>
          <w:tcPr>
            <w:tcW w:type="pct" w:w="15%"/>
            <w:shd w:fill="EDF5F2" w:val="clear"/>
            <w:vAlign w:val="center"/>
          </w:tcPr>
          <w:p>
            <w:pPr>
              <w:spacing w:after="30" w:before="30"/>
              <w:jc w:val="left"/>
            </w:pPr>
            <w:r>
              <w:rPr>
                <w:rFonts w:ascii="Calibri" w:cs="Calibri" w:eastAsia="Calibri" w:hAnsi="Calibri"/>
                <w:color w:val="000000"/>
                <w:sz w:val="20"/>
                <w:szCs w:val="20"/>
              </w:rPr>
              <w:t xml:space="preserve">Format moyen</w:t>
            </w:r>
          </w:p>
        </w:tc>
        <w:tc>
          <w:tcPr>
            <w:tcW w:type="pct" w:w="12%"/>
            <w:shd w:fill="EDF5F2" w:val="clear"/>
            <w:vAlign w:val="center"/>
          </w:tcPr>
          <w:p>
            <w:pPr>
              <w:spacing w:after="30" w:before="30"/>
              <w:jc w:val="left"/>
            </w:pPr>
            <w:r>
              <w:rPr>
                <w:rFonts w:ascii="Calibri" w:cs="Calibri" w:eastAsia="Calibri" w:hAnsi="Calibri"/>
                <w:color w:val="000000"/>
                <w:sz w:val="20"/>
                <w:szCs w:val="20"/>
              </w:rPr>
              <w:t xml:space="preserve">500 g</w:t>
            </w:r>
          </w:p>
        </w:tc>
        <w:tc>
          <w:tcPr>
            <w:tcW w:type="pct" w:w="20%"/>
            <w:shd w:fill="EDF5F2" w:val="clear"/>
            <w:vAlign w:val="center"/>
          </w:tcPr>
          <w:p>
            <w:pPr>
              <w:spacing w:after="30" w:before="30"/>
              <w:jc w:val="left"/>
            </w:pPr>
            <w:r>
              <w:rPr>
                <w:rFonts w:ascii="Calibri" w:cs="Calibri" w:eastAsia="Calibri" w:hAnsi="Calibri"/>
                <w:color w:val="000000"/>
                <w:sz w:val="20"/>
                <w:szCs w:val="20"/>
              </w:rPr>
              <w:t xml:space="preserve">300 000</w:t>
            </w:r>
          </w:p>
        </w:tc>
        <w:tc>
          <w:tcPr>
            <w:tcW w:type="pct" w:w="20%"/>
            <w:shd w:fill="EDF5F2" w:val="clear"/>
            <w:vAlign w:val="center"/>
          </w:tcPr>
          <w:p>
            <w:pPr>
              <w:spacing w:after="30" w:before="30"/>
              <w:jc w:val="left"/>
            </w:pPr>
            <w:r>
              <w:rPr>
                <w:rFonts w:ascii="Calibri" w:cs="Calibri" w:eastAsia="Calibri" w:hAnsi="Calibri"/>
                <w:color w:val="000000"/>
                <w:sz w:val="20"/>
                <w:szCs w:val="20"/>
              </w:rPr>
              <w:t xml:space="preserve">500 000</w:t>
            </w:r>
          </w:p>
        </w:tc>
        <w:tc>
          <w:tcPr>
            <w:tcW w:type="pct" w:w="33%"/>
            <w:shd w:fill="EDF5F2" w:val="clear"/>
            <w:vAlign w:val="center"/>
          </w:tcPr>
          <w:p>
            <w:pPr>
              <w:spacing w:after="30" w:before="30"/>
              <w:jc w:val="left"/>
            </w:pPr>
            <w:r>
              <w:rPr>
                <w:rFonts w:ascii="Calibri" w:cs="Calibri" w:eastAsia="Calibri" w:hAnsi="Calibri"/>
                <w:color w:val="000000"/>
                <w:sz w:val="20"/>
                <w:szCs w:val="20"/>
              </w:rPr>
              <w:t xml:space="preserve">Cooperatives, exploitations moyennes</w:t>
            </w:r>
          </w:p>
        </w:tc>
      </w:tr>
      <w:tr>
        <w:tc>
          <w:tcPr>
            <w:tcW w:type="pct" w:w="15%"/>
            <w:vAlign w:val="center"/>
          </w:tcPr>
          <w:p>
            <w:pPr>
              <w:spacing w:after="30" w:before="30"/>
              <w:jc w:val="left"/>
            </w:pPr>
            <w:r>
              <w:rPr>
                <w:rFonts w:ascii="Calibri" w:cs="Calibri" w:eastAsia="Calibri" w:hAnsi="Calibri"/>
                <w:color w:val="000000"/>
                <w:sz w:val="20"/>
                <w:szCs w:val="20"/>
              </w:rPr>
              <w:t xml:space="preserve">Grand format</w:t>
            </w:r>
          </w:p>
        </w:tc>
        <w:tc>
          <w:tcPr>
            <w:tcW w:type="pct" w:w="12%"/>
            <w:vAlign w:val="center"/>
          </w:tcPr>
          <w:p>
            <w:pPr>
              <w:spacing w:after="30" w:before="30"/>
              <w:jc w:val="left"/>
            </w:pPr>
            <w:r>
              <w:rPr>
                <w:rFonts w:ascii="Calibri" w:cs="Calibri" w:eastAsia="Calibri" w:hAnsi="Calibri"/>
                <w:color w:val="000000"/>
                <w:sz w:val="20"/>
                <w:szCs w:val="20"/>
              </w:rPr>
              <w:t xml:space="preserve">1 kg</w:t>
            </w:r>
          </w:p>
        </w:tc>
        <w:tc>
          <w:tcPr>
            <w:tcW w:type="pct" w:w="20%"/>
            <w:vAlign w:val="center"/>
          </w:tcPr>
          <w:p>
            <w:pPr>
              <w:spacing w:after="30" w:before="30"/>
              <w:jc w:val="left"/>
            </w:pPr>
            <w:r>
              <w:rPr>
                <w:rFonts w:ascii="Calibri" w:cs="Calibri" w:eastAsia="Calibri" w:hAnsi="Calibri"/>
                <w:color w:val="000000"/>
                <w:sz w:val="20"/>
                <w:szCs w:val="20"/>
              </w:rPr>
              <w:t xml:space="preserve">600 000</w:t>
            </w:r>
          </w:p>
        </w:tc>
        <w:tc>
          <w:tcPr>
            <w:tcW w:type="pct" w:w="20%"/>
            <w:vAlign w:val="center"/>
          </w:tcPr>
          <w:p>
            <w:pPr>
              <w:spacing w:after="30" w:before="30"/>
              <w:jc w:val="left"/>
            </w:pPr>
            <w:r>
              <w:rPr>
                <w:rFonts w:ascii="Calibri" w:cs="Calibri" w:eastAsia="Calibri" w:hAnsi="Calibri"/>
                <w:color w:val="000000"/>
                <w:sz w:val="20"/>
                <w:szCs w:val="20"/>
              </w:rPr>
              <w:t xml:space="preserve">1 000 000</w:t>
            </w:r>
          </w:p>
        </w:tc>
        <w:tc>
          <w:tcPr>
            <w:tcW w:type="pct" w:w="33%"/>
            <w:vAlign w:val="center"/>
          </w:tcPr>
          <w:p>
            <w:pPr>
              <w:spacing w:after="30" w:before="30"/>
              <w:jc w:val="left"/>
            </w:pPr>
            <w:r>
              <w:rPr>
                <w:rFonts w:ascii="Calibri" w:cs="Calibri" w:eastAsia="Calibri" w:hAnsi="Calibri"/>
                <w:color w:val="000000"/>
                <w:sz w:val="20"/>
                <w:szCs w:val="20"/>
              </w:rPr>
              <w:t xml:space="preserve">Agro-industriels, grandes plantations</w:t>
            </w:r>
          </w:p>
        </w:tc>
      </w:tr>
    </w:tbl>
    <w:p>
      <w:pPr>
        <w:spacing w:after="120" w:line="312"/>
        <w:ind w:firstLine="480"/>
        <w:jc w:val="both"/>
      </w:pPr>
      <w:r>
        <w:rPr>
          <w:rFonts w:ascii="Calibri" w:cs="Calibri" w:eastAsia="Calibri" w:hAnsi="Calibri"/>
          <w:color w:val="000000"/>
          <w:sz w:val="22"/>
          <w:szCs w:val="22"/>
        </w:rPr>
        <w:t xml:space="preserve">Le prix de lancement correspond a un tarif de 600 Fcfa par gramme, soit une reduction de 40 pourcent par rapport au tarif standard de 1 000 Fcfa par gramme. Cette politique tarifaire de penetration vise a encourager l'essai du produit et a accelerer son adoption. Le format 100 g constitue le produit d'appel, accessible aux petits exploitants qui representent la majorite des agriculteurs ivoiriens, tandis que les formats superieurs offrent des economies d'echelle pour les utilisateurs intensifs.</w:t>
      </w:r>
    </w:p>
    <w:p>
      <w:pPr>
        <w:pStyle w:val="Heading1"/>
        <w:pBdr>
          <w:bottom w:val="single" w:color="2A7A65" w:sz="6"/>
        </w:pBdr>
        <w:spacing w:after="200" w:before="400" w:line="312"/>
      </w:pPr>
      <w:bookmarkStart w:id="100025" w:name="_Toc100025"/>
      <w:r>
        <w:rPr>
          <w:rFonts w:ascii="Times New Roman" w:cs="Times New Roman" w:eastAsia="Times New Roman" w:hAnsi="Times New Roman"/>
          <w:b/>
          <w:bCs/>
          <w:color w:val="2A7A65"/>
          <w:sz w:val="36"/>
          <w:szCs w:val="36"/>
        </w:rPr>
        <w:t xml:space="preserve">7. Modele Economique (Business Model Canvas)</w:t>
      </w:r>
      <w:bookmarkEnd w:id="100025"/>
    </w:p>
    <w:p>
      <w:pPr>
        <w:pStyle w:val="Heading2"/>
        <w:spacing w:after="150" w:before="300" w:line="312"/>
      </w:pPr>
      <w:bookmarkStart w:id="100026" w:name="_Toc100026"/>
      <w:r>
        <w:rPr>
          <w:rFonts w:ascii="Times New Roman" w:cs="Times New Roman" w:eastAsia="Times New Roman" w:hAnsi="Times New Roman"/>
          <w:b/>
          <w:bCs/>
          <w:color w:val="2A7A65"/>
          <w:sz w:val="30"/>
          <w:szCs w:val="30"/>
        </w:rPr>
        <w:t xml:space="preserve">7.1 Segments de Clientele</w:t>
      </w:r>
      <w:bookmarkEnd w:id="100026"/>
    </w:p>
    <w:p>
      <w:pPr>
        <w:spacing w:after="120" w:line="312"/>
        <w:ind w:firstLine="480"/>
        <w:jc w:val="both"/>
      </w:pPr>
      <w:r>
        <w:rPr>
          <w:rFonts w:ascii="Calibri" w:cs="Calibri" w:eastAsia="Calibri" w:hAnsi="Calibri"/>
          <w:color w:val="000000"/>
          <w:sz w:val="22"/>
          <w:szCs w:val="22"/>
        </w:rPr>
        <w:t xml:space="preserve">Le modele economique de Biodynamie cible quatre segments de clientele distincts, chacun avec des besoins, des volumes d'achat et des canaux d'acces specifiques. Le segment principal est celui des agro-industriels (PALMCI, SIFCA, SAPH, SUCAF), qui representent des volumes d'achat importants et des contrats pluriannuels. Le deuxieme segment est constitue des cooperatives agricoles, qui offrent un acces organise a un grand nombre d'agriculteurs et facilitent le deploiement a grande echelle.</w:t>
      </w:r>
    </w:p>
    <w:p>
      <w:pPr>
        <w:spacing w:after="120" w:line="312"/>
        <w:ind w:firstLine="480"/>
        <w:jc w:val="both"/>
      </w:pPr>
      <w:r>
        <w:rPr>
          <w:rFonts w:ascii="Calibri" w:cs="Calibri" w:eastAsia="Calibri" w:hAnsi="Calibri"/>
          <w:color w:val="000000"/>
          <w:sz w:val="22"/>
          <w:szCs w:val="22"/>
        </w:rPr>
        <w:t xml:space="preserve">Le troisieme segment comprend les exploitants individuels et les petits agriculteurs, qui representent la base la plus large du marche mais necessitent un reseau de distribution capillaire. Enfin, le segment des institutions de recherche et de formation (CNRA, INPHB, FAO) constitue un marche de niche mais strategiquement important pour la validation scientifique du produit et l'effet d'entrainement sur les autres segments.</w:t>
      </w:r>
    </w:p>
    <w:p>
      <w:pPr>
        <w:pStyle w:val="Heading2"/>
        <w:spacing w:after="150" w:before="300" w:line="312"/>
      </w:pPr>
      <w:bookmarkStart w:id="100027" w:name="_Toc100027"/>
      <w:r>
        <w:rPr>
          <w:rFonts w:ascii="Times New Roman" w:cs="Times New Roman" w:eastAsia="Times New Roman" w:hAnsi="Times New Roman"/>
          <w:b/>
          <w:bCs/>
          <w:color w:val="2A7A65"/>
          <w:sz w:val="30"/>
          <w:szCs w:val="30"/>
        </w:rPr>
        <w:t xml:space="preserve">7.2 Canaux de Distribution</w:t>
      </w:r>
      <w:bookmarkEnd w:id="100027"/>
    </w:p>
    <w:p>
      <w:pPr>
        <w:spacing w:after="120" w:line="312"/>
        <w:ind w:firstLine="480"/>
        <w:jc w:val="both"/>
      </w:pPr>
      <w:r>
        <w:rPr>
          <w:rFonts w:ascii="Calibri" w:cs="Calibri" w:eastAsia="Calibri" w:hAnsi="Calibri"/>
          <w:color w:val="000000"/>
          <w:sz w:val="22"/>
          <w:szCs w:val="22"/>
        </w:rPr>
        <w:t xml:space="preserve">La strategie de distribution repose sur un modele multi-canal adapte aux specificites du marche ivoirien. Le canal principal est le reseau du Comptoir Agropastoral CI, qui dispose de points de vente et d'equipes commerciales couvrant les principales zones agricoles du pays. Ce canal assure la distribution directe aupres des agro-industriels et des cooperatives.</w:t>
      </w:r>
    </w:p>
    <w:p>
      <w:pPr>
        <w:spacing w:after="120" w:line="312"/>
        <w:ind w:firstLine="480"/>
        <w:jc w:val="both"/>
      </w:pPr>
      <w:r>
        <w:rPr>
          <w:rFonts w:ascii="Calibri" w:cs="Calibri" w:eastAsia="Calibri" w:hAnsi="Calibri"/>
          <w:color w:val="000000"/>
          <w:sz w:val="22"/>
          <w:szCs w:val="22"/>
        </w:rPr>
        <w:t xml:space="preserve">Le deuxieme canal est constitue des revendeurs agreés, des commercants locaux selectionnes et formes pour vendre Biodynamie dans les zones rurales et les marches agricoles. Le troisieme canal est le canal digital (site web ligbiodynamie.ci, WhatsApp Business), qui permet les commandes en ligne et la livraison directe. Enfin, les partenariats institutionnels avec les projets de developpement agricole financés par la FAO, la BAD ou le FIRCA constituent un canal indirect permettant d'atteindre les agriculteurs dans le cadre de programmes de formation et d'accompagnement.</w:t>
      </w:r>
    </w:p>
    <w:p>
      <w:pPr>
        <w:pStyle w:val="Heading2"/>
        <w:spacing w:after="150" w:before="300" w:line="312"/>
      </w:pPr>
      <w:bookmarkStart w:id="100028" w:name="_Toc100028"/>
      <w:r>
        <w:rPr>
          <w:rFonts w:ascii="Times New Roman" w:cs="Times New Roman" w:eastAsia="Times New Roman" w:hAnsi="Times New Roman"/>
          <w:b/>
          <w:bCs/>
          <w:color w:val="2A7A65"/>
          <w:sz w:val="30"/>
          <w:szCs w:val="30"/>
        </w:rPr>
        <w:t xml:space="preserve">7.3 Sources de Revenus</w:t>
      </w:r>
      <w:bookmarkEnd w:id="100028"/>
    </w:p>
    <w:p>
      <w:pPr>
        <w:spacing w:after="120" w:line="312"/>
        <w:ind w:firstLine="480"/>
        <w:jc w:val="both"/>
      </w:pPr>
      <w:r>
        <w:rPr>
          <w:rFonts w:ascii="Calibri" w:cs="Calibri" w:eastAsia="Calibri" w:hAnsi="Calibri"/>
          <w:color w:val="000000"/>
          <w:sz w:val="22"/>
          <w:szCs w:val="22"/>
        </w:rPr>
        <w:t xml:space="preserve">Le modele de revenus de Biodynamie est principalement base sur la vente directe du produit, avec trois sources de revenus complementaires. La premiere est la vente de produits aux agro-industriels et cooperatives, generee par des contrats a volume avec des negociations de prix en fonction des quantites commandees. La deuxieme est la vente au detail via le reseau de revendeurs agreees et le canal digital, avec des marges distribuees aux intermediaires.</w:t>
      </w:r>
    </w:p>
    <w:p>
      <w:pPr>
        <w:spacing w:after="120" w:line="312"/>
        <w:ind w:firstLine="480"/>
        <w:jc w:val="both"/>
      </w:pPr>
      <w:r>
        <w:rPr>
          <w:rFonts w:ascii="Calibri" w:cs="Calibri" w:eastAsia="Calibri" w:hAnsi="Calibri"/>
          <w:color w:val="000000"/>
          <w:sz w:val="22"/>
          <w:szCs w:val="22"/>
        </w:rPr>
        <w:t xml:space="preserve">La troisieme source de revenus, a moyen terme, est constituee des services d'accompagnement et de formation : audits de sol, plans de fertilisation personnalises, sessions de formation certifiantes. Ces services, tout en generant des revenus directs, renforcent la fidelisation des clients et la valeur perçue du produit. A plus long terme, les redevances de licence pour l'exportation de la technologie vers d'autres marches africains constitueront une quatrieme source de revenus.</w:t>
      </w:r>
    </w:p>
    <w:p>
      <w:pPr>
        <w:pStyle w:val="Heading2"/>
        <w:spacing w:after="150" w:before="300" w:line="312"/>
      </w:pPr>
      <w:bookmarkStart w:id="100029" w:name="_Toc100029"/>
      <w:r>
        <w:rPr>
          <w:rFonts w:ascii="Times New Roman" w:cs="Times New Roman" w:eastAsia="Times New Roman" w:hAnsi="Times New Roman"/>
          <w:b/>
          <w:bCs/>
          <w:color w:val="2A7A65"/>
          <w:sz w:val="30"/>
          <w:szCs w:val="30"/>
        </w:rPr>
        <w:t xml:space="preserve">7.4 Structure de Couts</w:t>
      </w:r>
      <w:bookmarkEnd w:id="100029"/>
    </w:p>
    <w:p>
      <w:pPr>
        <w:spacing w:after="120" w:line="312"/>
        <w:ind w:firstLine="480"/>
        <w:jc w:val="both"/>
      </w:pPr>
      <w:r>
        <w:rPr>
          <w:rFonts w:ascii="Calibri" w:cs="Calibri" w:eastAsia="Calibri" w:hAnsi="Calibri"/>
          <w:color w:val="000000"/>
          <w:sz w:val="22"/>
          <w:szCs w:val="22"/>
        </w:rPr>
        <w:t xml:space="preserve">La structure de couts de Biodynamie se decompose en trois categories principales. Les couts de production representent environ 35 pourcent du chiffre d'affaires et comprennent les matieres premieres (micro-organismes, extraits vegetaux), les emballages, la main-d'oeuvre de production et les charges du laboratoire de controle qualite. Les couts de commercialisation et de marketing representent environ 30 pourcent du chiffre d'affaires et incluent le budget marketing (46M Fcfa pour la phase de lancement), les commissions des equipes commerciales et les couts de distribution.</w:t>
      </w:r>
    </w:p>
    <w:p>
      <w:pPr>
        <w:spacing w:after="120" w:line="312"/>
        <w:ind w:firstLine="480"/>
        <w:jc w:val="both"/>
      </w:pPr>
      <w:r>
        <w:rPr>
          <w:rFonts w:ascii="Calibri" w:cs="Calibri" w:eastAsia="Calibri" w:hAnsi="Calibri"/>
          <w:color w:val="000000"/>
          <w:sz w:val="22"/>
          <w:szCs w:val="22"/>
        </w:rPr>
        <w:t xml:space="preserve">Les couts fixes (administration, loyers, salaires des equipes support) representent environ 20 pourcent du chiffre d'affaires. Le reste (environ 15 pourcent) est alloue a la recherche et au developpement continu, garantissant l'amelioration permanente du produit et le developpement de nouvelles formulations. Cette structure de couts est concue pour etre scalable : la part des couts fixes diminue avec l'augmentation des volumes, ameliorant progressivement la rentabilite.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30%"/>
            <w:shd w:fill="2A7A65" w:val="clear"/>
            <w:vAlign w:val="center"/>
          </w:tcPr>
          <w:p>
            <w:pPr>
              <w:spacing w:after="40" w:before="40"/>
              <w:jc w:val="center"/>
            </w:pPr>
            <w:r>
              <w:rPr>
                <w:rFonts w:ascii="Calibri" w:cs="Calibri" w:eastAsia="Calibri" w:hAnsi="Calibri"/>
                <w:b/>
                <w:bCs/>
                <w:color w:val="FFFFFF"/>
                <w:sz w:val="20"/>
                <w:szCs w:val="20"/>
              </w:rPr>
              <w:t xml:space="preserve">Poste de cout</w:t>
            </w:r>
          </w:p>
        </w:tc>
        <w:tc>
          <w:tcPr>
            <w:tcW w:type="pct" w:w="17%"/>
            <w:shd w:fill="2A7A65" w:val="clear"/>
            <w:vAlign w:val="center"/>
          </w:tcPr>
          <w:p>
            <w:pPr>
              <w:spacing w:after="40" w:before="40"/>
              <w:jc w:val="center"/>
            </w:pPr>
            <w:r>
              <w:rPr>
                <w:rFonts w:ascii="Calibri" w:cs="Calibri" w:eastAsia="Calibri" w:hAnsi="Calibri"/>
                <w:b/>
                <w:bCs/>
                <w:color w:val="FFFFFF"/>
                <w:sz w:val="20"/>
                <w:szCs w:val="20"/>
              </w:rPr>
              <w:t xml:space="preserve">Annee 1 (M Fcfa)</w:t>
            </w:r>
          </w:p>
        </w:tc>
        <w:tc>
          <w:tcPr>
            <w:tcW w:type="pct" w:w="17%"/>
            <w:shd w:fill="2A7A65" w:val="clear"/>
            <w:vAlign w:val="center"/>
          </w:tcPr>
          <w:p>
            <w:pPr>
              <w:spacing w:after="40" w:before="40"/>
              <w:jc w:val="center"/>
            </w:pPr>
            <w:r>
              <w:rPr>
                <w:rFonts w:ascii="Calibri" w:cs="Calibri" w:eastAsia="Calibri" w:hAnsi="Calibri"/>
                <w:b/>
                <w:bCs/>
                <w:color w:val="FFFFFF"/>
                <w:sz w:val="20"/>
                <w:szCs w:val="20"/>
              </w:rPr>
              <w:t xml:space="preserve">Annee 2 (M Fcfa)</w:t>
            </w:r>
          </w:p>
        </w:tc>
        <w:tc>
          <w:tcPr>
            <w:tcW w:type="pct" w:w="17%"/>
            <w:shd w:fill="2A7A65" w:val="clear"/>
            <w:vAlign w:val="center"/>
          </w:tcPr>
          <w:p>
            <w:pPr>
              <w:spacing w:after="40" w:before="40"/>
              <w:jc w:val="center"/>
            </w:pPr>
            <w:r>
              <w:rPr>
                <w:rFonts w:ascii="Calibri" w:cs="Calibri" w:eastAsia="Calibri" w:hAnsi="Calibri"/>
                <w:b/>
                <w:bCs/>
                <w:color w:val="FFFFFF"/>
                <w:sz w:val="20"/>
                <w:szCs w:val="20"/>
              </w:rPr>
              <w:t xml:space="preserve">Annee 3 (M Fcfa)</w:t>
            </w:r>
          </w:p>
        </w:tc>
        <w:tc>
          <w:tcPr>
            <w:tcW w:type="pct" w:w="19%"/>
            <w:shd w:fill="2A7A65" w:val="clear"/>
            <w:vAlign w:val="center"/>
          </w:tcPr>
          <w:p>
            <w:pPr>
              <w:spacing w:after="40" w:before="40"/>
              <w:jc w:val="center"/>
            </w:pPr>
            <w:r>
              <w:rPr>
                <w:rFonts w:ascii="Calibri" w:cs="Calibri" w:eastAsia="Calibri" w:hAnsi="Calibri"/>
                <w:b/>
                <w:bCs/>
                <w:color w:val="FFFFFF"/>
                <w:sz w:val="20"/>
                <w:szCs w:val="20"/>
              </w:rPr>
              <w:t xml:space="preserve">% CA An3</w:t>
            </w:r>
          </w:p>
        </w:tc>
      </w:tr>
      <w:tr>
        <w:tc>
          <w:tcPr>
            <w:tcW w:type="pct" w:w="30%"/>
            <w:vAlign w:val="center"/>
          </w:tcPr>
          <w:p>
            <w:pPr>
              <w:spacing w:after="30" w:before="30"/>
              <w:jc w:val="left"/>
            </w:pPr>
            <w:r>
              <w:rPr>
                <w:rFonts w:ascii="Calibri" w:cs="Calibri" w:eastAsia="Calibri" w:hAnsi="Calibri"/>
                <w:color w:val="000000"/>
                <w:sz w:val="20"/>
                <w:szCs w:val="20"/>
              </w:rPr>
              <w:t xml:space="preserve">Production et approvisionnement</w:t>
            </w:r>
          </w:p>
        </w:tc>
        <w:tc>
          <w:tcPr>
            <w:tcW w:type="pct" w:w="17%"/>
            <w:vAlign w:val="center"/>
          </w:tcPr>
          <w:p>
            <w:pPr>
              <w:spacing w:after="30" w:before="30"/>
              <w:jc w:val="left"/>
            </w:pPr>
            <w:r>
              <w:rPr>
                <w:rFonts w:ascii="Calibri" w:cs="Calibri" w:eastAsia="Calibri" w:hAnsi="Calibri"/>
                <w:color w:val="000000"/>
                <w:sz w:val="20"/>
                <w:szCs w:val="20"/>
              </w:rPr>
              <w:t xml:space="preserve">6,1</w:t>
            </w:r>
          </w:p>
        </w:tc>
        <w:tc>
          <w:tcPr>
            <w:tcW w:type="pct" w:w="17%"/>
            <w:vAlign w:val="center"/>
          </w:tcPr>
          <w:p>
            <w:pPr>
              <w:spacing w:after="30" w:before="30"/>
              <w:jc w:val="left"/>
            </w:pPr>
            <w:r>
              <w:rPr>
                <w:rFonts w:ascii="Calibri" w:cs="Calibri" w:eastAsia="Calibri" w:hAnsi="Calibri"/>
                <w:color w:val="000000"/>
                <w:sz w:val="20"/>
                <w:szCs w:val="20"/>
              </w:rPr>
              <w:t xml:space="preserve">18,2</w:t>
            </w:r>
          </w:p>
        </w:tc>
        <w:tc>
          <w:tcPr>
            <w:tcW w:type="pct" w:w="17%"/>
            <w:vAlign w:val="center"/>
          </w:tcPr>
          <w:p>
            <w:pPr>
              <w:spacing w:after="30" w:before="30"/>
              <w:jc w:val="left"/>
            </w:pPr>
            <w:r>
              <w:rPr>
                <w:rFonts w:ascii="Calibri" w:cs="Calibri" w:eastAsia="Calibri" w:hAnsi="Calibri"/>
                <w:color w:val="000000"/>
                <w:sz w:val="20"/>
                <w:szCs w:val="20"/>
              </w:rPr>
              <w:t xml:space="preserve">28,7</w:t>
            </w:r>
          </w:p>
        </w:tc>
        <w:tc>
          <w:tcPr>
            <w:tcW w:type="pct" w:w="19%"/>
            <w:vAlign w:val="center"/>
          </w:tcPr>
          <w:p>
            <w:pPr>
              <w:spacing w:after="30" w:before="30"/>
              <w:jc w:val="left"/>
            </w:pPr>
            <w:r>
              <w:rPr>
                <w:rFonts w:ascii="Calibri" w:cs="Calibri" w:eastAsia="Calibri" w:hAnsi="Calibri"/>
                <w:color w:val="000000"/>
                <w:sz w:val="20"/>
                <w:szCs w:val="20"/>
              </w:rPr>
              <w:t xml:space="preserve">21%</w:t>
            </w:r>
          </w:p>
        </w:tc>
      </w:tr>
      <w:tr>
        <w:tc>
          <w:tcPr>
            <w:tcW w:type="pct" w:w="30%"/>
            <w:shd w:fill="EDF5F2" w:val="clear"/>
            <w:vAlign w:val="center"/>
          </w:tcPr>
          <w:p>
            <w:pPr>
              <w:spacing w:after="30" w:before="30"/>
              <w:jc w:val="left"/>
            </w:pPr>
            <w:r>
              <w:rPr>
                <w:rFonts w:ascii="Calibri" w:cs="Calibri" w:eastAsia="Calibri" w:hAnsi="Calibri"/>
                <w:color w:val="000000"/>
                <w:sz w:val="20"/>
                <w:szCs w:val="20"/>
              </w:rPr>
              <w:t xml:space="preserve">Marketing et communication</w:t>
            </w:r>
          </w:p>
        </w:tc>
        <w:tc>
          <w:tcPr>
            <w:tcW w:type="pct" w:w="17%"/>
            <w:shd w:fill="EDF5F2" w:val="clear"/>
            <w:vAlign w:val="center"/>
          </w:tcPr>
          <w:p>
            <w:pPr>
              <w:spacing w:after="30" w:before="30"/>
              <w:jc w:val="left"/>
            </w:pPr>
            <w:r>
              <w:rPr>
                <w:rFonts w:ascii="Calibri" w:cs="Calibri" w:eastAsia="Calibri" w:hAnsi="Calibri"/>
                <w:color w:val="000000"/>
                <w:sz w:val="20"/>
                <w:szCs w:val="20"/>
              </w:rPr>
              <w:t xml:space="preserve">12,0</w:t>
            </w:r>
          </w:p>
        </w:tc>
        <w:tc>
          <w:tcPr>
            <w:tcW w:type="pct" w:w="17%"/>
            <w:shd w:fill="EDF5F2" w:val="clear"/>
            <w:vAlign w:val="center"/>
          </w:tcPr>
          <w:p>
            <w:pPr>
              <w:spacing w:after="30" w:before="30"/>
              <w:jc w:val="left"/>
            </w:pPr>
            <w:r>
              <w:rPr>
                <w:rFonts w:ascii="Calibri" w:cs="Calibri" w:eastAsia="Calibri" w:hAnsi="Calibri"/>
                <w:color w:val="000000"/>
                <w:sz w:val="20"/>
                <w:szCs w:val="20"/>
              </w:rPr>
              <w:t xml:space="preserve">9,6</w:t>
            </w:r>
          </w:p>
        </w:tc>
        <w:tc>
          <w:tcPr>
            <w:tcW w:type="pct" w:w="17%"/>
            <w:shd w:fill="EDF5F2" w:val="clear"/>
            <w:vAlign w:val="center"/>
          </w:tcPr>
          <w:p>
            <w:pPr>
              <w:spacing w:after="30" w:before="30"/>
              <w:jc w:val="left"/>
            </w:pPr>
            <w:r>
              <w:rPr>
                <w:rFonts w:ascii="Calibri" w:cs="Calibri" w:eastAsia="Calibri" w:hAnsi="Calibri"/>
                <w:color w:val="000000"/>
                <w:sz w:val="20"/>
                <w:szCs w:val="20"/>
              </w:rPr>
              <w:t xml:space="preserve">13,5</w:t>
            </w:r>
          </w:p>
        </w:tc>
        <w:tc>
          <w:tcPr>
            <w:tcW w:type="pct" w:w="19%"/>
            <w:shd w:fill="EDF5F2" w:val="clear"/>
            <w:vAlign w:val="center"/>
          </w:tcPr>
          <w:p>
            <w:pPr>
              <w:spacing w:after="30" w:before="30"/>
              <w:jc w:val="left"/>
            </w:pPr>
            <w:r>
              <w:rPr>
                <w:rFonts w:ascii="Calibri" w:cs="Calibri" w:eastAsia="Calibri" w:hAnsi="Calibri"/>
                <w:color w:val="000000"/>
                <w:sz w:val="20"/>
                <w:szCs w:val="20"/>
              </w:rPr>
              <w:t xml:space="preserve">10%</w:t>
            </w:r>
          </w:p>
        </w:tc>
      </w:tr>
      <w:tr>
        <w:tc>
          <w:tcPr>
            <w:tcW w:type="pct" w:w="30%"/>
            <w:vAlign w:val="center"/>
          </w:tcPr>
          <w:p>
            <w:pPr>
              <w:spacing w:after="30" w:before="30"/>
              <w:jc w:val="left"/>
            </w:pPr>
            <w:r>
              <w:rPr>
                <w:rFonts w:ascii="Calibri" w:cs="Calibri" w:eastAsia="Calibri" w:hAnsi="Calibri"/>
                <w:color w:val="000000"/>
                <w:sz w:val="20"/>
                <w:szCs w:val="20"/>
              </w:rPr>
              <w:t xml:space="preserve">Commercial et distribution</w:t>
            </w:r>
          </w:p>
        </w:tc>
        <w:tc>
          <w:tcPr>
            <w:tcW w:type="pct" w:w="17%"/>
            <w:vAlign w:val="center"/>
          </w:tcPr>
          <w:p>
            <w:pPr>
              <w:spacing w:after="30" w:before="30"/>
              <w:jc w:val="left"/>
            </w:pPr>
            <w:r>
              <w:rPr>
                <w:rFonts w:ascii="Calibri" w:cs="Calibri" w:eastAsia="Calibri" w:hAnsi="Calibri"/>
                <w:color w:val="000000"/>
                <w:sz w:val="20"/>
                <w:szCs w:val="20"/>
              </w:rPr>
              <w:t xml:space="preserve">4,8</w:t>
            </w:r>
          </w:p>
        </w:tc>
        <w:tc>
          <w:tcPr>
            <w:tcW w:type="pct" w:w="17%"/>
            <w:vAlign w:val="center"/>
          </w:tcPr>
          <w:p>
            <w:pPr>
              <w:spacing w:after="30" w:before="30"/>
              <w:jc w:val="left"/>
            </w:pPr>
            <w:r>
              <w:rPr>
                <w:rFonts w:ascii="Calibri" w:cs="Calibri" w:eastAsia="Calibri" w:hAnsi="Calibri"/>
                <w:color w:val="000000"/>
                <w:sz w:val="20"/>
                <w:szCs w:val="20"/>
              </w:rPr>
              <w:t xml:space="preserve">9,6</w:t>
            </w:r>
          </w:p>
        </w:tc>
        <w:tc>
          <w:tcPr>
            <w:tcW w:type="pct" w:w="17%"/>
            <w:vAlign w:val="center"/>
          </w:tcPr>
          <w:p>
            <w:pPr>
              <w:spacing w:after="30" w:before="30"/>
              <w:jc w:val="left"/>
            </w:pPr>
            <w:r>
              <w:rPr>
                <w:rFonts w:ascii="Calibri" w:cs="Calibri" w:eastAsia="Calibri" w:hAnsi="Calibri"/>
                <w:color w:val="000000"/>
                <w:sz w:val="20"/>
                <w:szCs w:val="20"/>
              </w:rPr>
              <w:t xml:space="preserve">16,2</w:t>
            </w:r>
          </w:p>
        </w:tc>
        <w:tc>
          <w:tcPr>
            <w:tcW w:type="pct" w:w="19%"/>
            <w:vAlign w:val="center"/>
          </w:tcPr>
          <w:p>
            <w:pPr>
              <w:spacing w:after="30" w:before="30"/>
              <w:jc w:val="left"/>
            </w:pPr>
            <w:r>
              <w:rPr>
                <w:rFonts w:ascii="Calibri" w:cs="Calibri" w:eastAsia="Calibri" w:hAnsi="Calibri"/>
                <w:color w:val="000000"/>
                <w:sz w:val="20"/>
                <w:szCs w:val="20"/>
              </w:rPr>
              <w:t xml:space="preserve">12%</w:t>
            </w:r>
          </w:p>
        </w:tc>
      </w:tr>
      <w:tr>
        <w:tc>
          <w:tcPr>
            <w:tcW w:type="pct" w:w="30%"/>
            <w:shd w:fill="EDF5F2" w:val="clear"/>
            <w:vAlign w:val="center"/>
          </w:tcPr>
          <w:p>
            <w:pPr>
              <w:spacing w:after="30" w:before="30"/>
              <w:jc w:val="left"/>
            </w:pPr>
            <w:r>
              <w:rPr>
                <w:rFonts w:ascii="Calibri" w:cs="Calibri" w:eastAsia="Calibri" w:hAnsi="Calibri"/>
                <w:color w:val="000000"/>
                <w:sz w:val="20"/>
                <w:szCs w:val="20"/>
              </w:rPr>
              <w:t xml:space="preserve">Administration et RH</w:t>
            </w:r>
          </w:p>
        </w:tc>
        <w:tc>
          <w:tcPr>
            <w:tcW w:type="pct" w:w="17%"/>
            <w:shd w:fill="EDF5F2" w:val="clear"/>
            <w:vAlign w:val="center"/>
          </w:tcPr>
          <w:p>
            <w:pPr>
              <w:spacing w:after="30" w:before="30"/>
              <w:jc w:val="left"/>
            </w:pPr>
            <w:r>
              <w:rPr>
                <w:rFonts w:ascii="Calibri" w:cs="Calibri" w:eastAsia="Calibri" w:hAnsi="Calibri"/>
                <w:color w:val="000000"/>
                <w:sz w:val="20"/>
                <w:szCs w:val="20"/>
              </w:rPr>
              <w:t xml:space="preserve">4,5</w:t>
            </w:r>
          </w:p>
        </w:tc>
        <w:tc>
          <w:tcPr>
            <w:tcW w:type="pct" w:w="17%"/>
            <w:shd w:fill="EDF5F2" w:val="clear"/>
            <w:vAlign w:val="center"/>
          </w:tcPr>
          <w:p>
            <w:pPr>
              <w:spacing w:after="30" w:before="30"/>
              <w:jc w:val="left"/>
            </w:pPr>
            <w:r>
              <w:rPr>
                <w:rFonts w:ascii="Calibri" w:cs="Calibri" w:eastAsia="Calibri" w:hAnsi="Calibri"/>
                <w:color w:val="000000"/>
                <w:sz w:val="20"/>
                <w:szCs w:val="20"/>
              </w:rPr>
              <w:t xml:space="preserve">6,4</w:t>
            </w:r>
          </w:p>
        </w:tc>
        <w:tc>
          <w:tcPr>
            <w:tcW w:type="pct" w:w="17%"/>
            <w:shd w:fill="EDF5F2" w:val="clear"/>
            <w:vAlign w:val="center"/>
          </w:tcPr>
          <w:p>
            <w:pPr>
              <w:spacing w:after="30" w:before="30"/>
              <w:jc w:val="left"/>
            </w:pPr>
            <w:r>
              <w:rPr>
                <w:rFonts w:ascii="Calibri" w:cs="Calibri" w:eastAsia="Calibri" w:hAnsi="Calibri"/>
                <w:color w:val="000000"/>
                <w:sz w:val="20"/>
                <w:szCs w:val="20"/>
              </w:rPr>
              <w:t xml:space="preserve">10,8</w:t>
            </w:r>
          </w:p>
        </w:tc>
        <w:tc>
          <w:tcPr>
            <w:tcW w:type="pct" w:w="19%"/>
            <w:shd w:fill="EDF5F2" w:val="clear"/>
            <w:vAlign w:val="center"/>
          </w:tcPr>
          <w:p>
            <w:pPr>
              <w:spacing w:after="30" w:before="30"/>
              <w:jc w:val="left"/>
            </w:pPr>
            <w:r>
              <w:rPr>
                <w:rFonts w:ascii="Calibri" w:cs="Calibri" w:eastAsia="Calibri" w:hAnsi="Calibri"/>
                <w:color w:val="000000"/>
                <w:sz w:val="20"/>
                <w:szCs w:val="20"/>
              </w:rPr>
              <w:t xml:space="preserve">8%</w:t>
            </w:r>
          </w:p>
        </w:tc>
      </w:tr>
      <w:tr>
        <w:tc>
          <w:tcPr>
            <w:tcW w:type="pct" w:w="30%"/>
            <w:vAlign w:val="center"/>
          </w:tcPr>
          <w:p>
            <w:pPr>
              <w:spacing w:after="30" w:before="30"/>
              <w:jc w:val="left"/>
            </w:pPr>
            <w:r>
              <w:rPr>
                <w:rFonts w:ascii="Calibri" w:cs="Calibri" w:eastAsia="Calibri" w:hAnsi="Calibri"/>
                <w:color w:val="000000"/>
                <w:sz w:val="20"/>
                <w:szCs w:val="20"/>
              </w:rPr>
              <w:t xml:space="preserve">Recherche et developpement</w:t>
            </w:r>
          </w:p>
        </w:tc>
        <w:tc>
          <w:tcPr>
            <w:tcW w:type="pct" w:w="17%"/>
            <w:vAlign w:val="center"/>
          </w:tcPr>
          <w:p>
            <w:pPr>
              <w:spacing w:after="30" w:before="30"/>
              <w:jc w:val="left"/>
            </w:pPr>
            <w:r>
              <w:rPr>
                <w:rFonts w:ascii="Calibri" w:cs="Calibri" w:eastAsia="Calibri" w:hAnsi="Calibri"/>
                <w:color w:val="000000"/>
                <w:sz w:val="20"/>
                <w:szCs w:val="20"/>
              </w:rPr>
              <w:t xml:space="preserve">2,6</w:t>
            </w:r>
          </w:p>
        </w:tc>
        <w:tc>
          <w:tcPr>
            <w:tcW w:type="pct" w:w="17%"/>
            <w:vAlign w:val="center"/>
          </w:tcPr>
          <w:p>
            <w:pPr>
              <w:spacing w:after="30" w:before="30"/>
              <w:jc w:val="left"/>
            </w:pPr>
            <w:r>
              <w:rPr>
                <w:rFonts w:ascii="Calibri" w:cs="Calibri" w:eastAsia="Calibri" w:hAnsi="Calibri"/>
                <w:color w:val="000000"/>
                <w:sz w:val="20"/>
                <w:szCs w:val="20"/>
              </w:rPr>
              <w:t xml:space="preserve">5,1</w:t>
            </w:r>
          </w:p>
        </w:tc>
        <w:tc>
          <w:tcPr>
            <w:tcW w:type="pct" w:w="17%"/>
            <w:vAlign w:val="center"/>
          </w:tcPr>
          <w:p>
            <w:pPr>
              <w:spacing w:after="30" w:before="30"/>
              <w:jc w:val="left"/>
            </w:pPr>
            <w:r>
              <w:rPr>
                <w:rFonts w:ascii="Calibri" w:cs="Calibri" w:eastAsia="Calibri" w:hAnsi="Calibri"/>
                <w:color w:val="000000"/>
                <w:sz w:val="20"/>
                <w:szCs w:val="20"/>
              </w:rPr>
              <w:t xml:space="preserve">8,1</w:t>
            </w:r>
          </w:p>
        </w:tc>
        <w:tc>
          <w:tcPr>
            <w:tcW w:type="pct" w:w="19%"/>
            <w:vAlign w:val="center"/>
          </w:tcPr>
          <w:p>
            <w:pPr>
              <w:spacing w:after="30" w:before="30"/>
              <w:jc w:val="left"/>
            </w:pPr>
            <w:r>
              <w:rPr>
                <w:rFonts w:ascii="Calibri" w:cs="Calibri" w:eastAsia="Calibri" w:hAnsi="Calibri"/>
                <w:color w:val="000000"/>
                <w:sz w:val="20"/>
                <w:szCs w:val="20"/>
              </w:rPr>
              <w:t xml:space="preserve">6%</w:t>
            </w:r>
          </w:p>
        </w:tc>
      </w:tr>
      <w:tr>
        <w:tc>
          <w:tcPr>
            <w:tcW w:type="pct" w:w="30%"/>
            <w:shd w:fill="EDF5F2" w:val="clear"/>
            <w:vAlign w:val="center"/>
          </w:tcPr>
          <w:p>
            <w:pPr>
              <w:spacing w:after="30" w:before="30"/>
              <w:jc w:val="left"/>
            </w:pPr>
            <w:r>
              <w:rPr>
                <w:rFonts w:ascii="Calibri" w:cs="Calibri" w:eastAsia="Calibri" w:hAnsi="Calibri"/>
                <w:color w:val="000000"/>
                <w:sz w:val="20"/>
                <w:szCs w:val="20"/>
              </w:rPr>
              <w:t xml:space="preserve">Amortissements et financiers</w:t>
            </w:r>
          </w:p>
        </w:tc>
        <w:tc>
          <w:tcPr>
            <w:tcW w:type="pct" w:w="17%"/>
            <w:shd w:fill="EDF5F2" w:val="clear"/>
            <w:vAlign w:val="center"/>
          </w:tcPr>
          <w:p>
            <w:pPr>
              <w:spacing w:after="30" w:before="30"/>
              <w:jc w:val="left"/>
            </w:pPr>
            <w:r>
              <w:rPr>
                <w:rFonts w:ascii="Calibri" w:cs="Calibri" w:eastAsia="Calibri" w:hAnsi="Calibri"/>
                <w:color w:val="000000"/>
                <w:sz w:val="20"/>
                <w:szCs w:val="20"/>
              </w:rPr>
              <w:t xml:space="preserve">2,0</w:t>
            </w:r>
          </w:p>
        </w:tc>
        <w:tc>
          <w:tcPr>
            <w:tcW w:type="pct" w:w="17%"/>
            <w:shd w:fill="EDF5F2" w:val="clear"/>
            <w:vAlign w:val="center"/>
          </w:tcPr>
          <w:p>
            <w:pPr>
              <w:spacing w:after="30" w:before="30"/>
              <w:jc w:val="left"/>
            </w:pPr>
            <w:r>
              <w:rPr>
                <w:rFonts w:ascii="Calibri" w:cs="Calibri" w:eastAsia="Calibri" w:hAnsi="Calibri"/>
                <w:color w:val="000000"/>
                <w:sz w:val="20"/>
                <w:szCs w:val="20"/>
              </w:rPr>
              <w:t xml:space="preserve">3,1</w:t>
            </w:r>
          </w:p>
        </w:tc>
        <w:tc>
          <w:tcPr>
            <w:tcW w:type="pct" w:w="17%"/>
            <w:shd w:fill="EDF5F2" w:val="clear"/>
            <w:vAlign w:val="center"/>
          </w:tcPr>
          <w:p>
            <w:pPr>
              <w:spacing w:after="30" w:before="30"/>
              <w:jc w:val="left"/>
            </w:pPr>
            <w:r>
              <w:rPr>
                <w:rFonts w:ascii="Calibri" w:cs="Calibri" w:eastAsia="Calibri" w:hAnsi="Calibri"/>
                <w:color w:val="000000"/>
                <w:sz w:val="20"/>
                <w:szCs w:val="20"/>
              </w:rPr>
              <w:t xml:space="preserve">4,7</w:t>
            </w:r>
          </w:p>
        </w:tc>
        <w:tc>
          <w:tcPr>
            <w:tcW w:type="pct" w:w="19%"/>
            <w:shd w:fill="EDF5F2" w:val="clear"/>
            <w:vAlign w:val="center"/>
          </w:tcPr>
          <w:p>
            <w:pPr>
              <w:spacing w:after="30" w:before="30"/>
              <w:jc w:val="left"/>
            </w:pPr>
            <w:r>
              <w:rPr>
                <w:rFonts w:ascii="Calibri" w:cs="Calibri" w:eastAsia="Calibri" w:hAnsi="Calibri"/>
                <w:color w:val="000000"/>
                <w:sz w:val="20"/>
                <w:szCs w:val="20"/>
              </w:rPr>
              <w:t xml:space="preserve">3%</w:t>
            </w:r>
          </w:p>
        </w:tc>
      </w:tr>
      <w:tr>
        <w:tc>
          <w:tcPr>
            <w:tcW w:type="pct" w:w="30%"/>
            <w:vAlign w:val="center"/>
          </w:tcPr>
          <w:p>
            <w:pPr>
              <w:spacing w:after="30" w:before="30"/>
              <w:jc w:val="left"/>
            </w:pPr>
            <w:r>
              <w:rPr>
                <w:rFonts w:ascii="Calibri" w:cs="Calibri" w:eastAsia="Calibri" w:hAnsi="Calibri"/>
                <w:color w:val="000000"/>
                <w:sz w:val="20"/>
                <w:szCs w:val="20"/>
              </w:rPr>
              <w:t xml:space="preserve">Total charges</w:t>
            </w:r>
          </w:p>
        </w:tc>
        <w:tc>
          <w:tcPr>
            <w:tcW w:type="pct" w:w="17%"/>
            <w:vAlign w:val="center"/>
          </w:tcPr>
          <w:p>
            <w:pPr>
              <w:spacing w:after="30" w:before="30"/>
              <w:jc w:val="left"/>
            </w:pPr>
            <w:r>
              <w:rPr>
                <w:rFonts w:ascii="Calibri" w:cs="Calibri" w:eastAsia="Calibri" w:hAnsi="Calibri"/>
                <w:color w:val="000000"/>
                <w:sz w:val="20"/>
                <w:szCs w:val="20"/>
              </w:rPr>
              <w:t xml:space="preserve">32,0</w:t>
            </w:r>
          </w:p>
        </w:tc>
        <w:tc>
          <w:tcPr>
            <w:tcW w:type="pct" w:w="17%"/>
            <w:vAlign w:val="center"/>
          </w:tcPr>
          <w:p>
            <w:pPr>
              <w:spacing w:after="30" w:before="30"/>
              <w:jc w:val="left"/>
            </w:pPr>
            <w:r>
              <w:rPr>
                <w:rFonts w:ascii="Calibri" w:cs="Calibri" w:eastAsia="Calibri" w:hAnsi="Calibri"/>
                <w:color w:val="000000"/>
                <w:sz w:val="20"/>
                <w:szCs w:val="20"/>
              </w:rPr>
              <w:t xml:space="preserve">52,0</w:t>
            </w:r>
          </w:p>
        </w:tc>
        <w:tc>
          <w:tcPr>
            <w:tcW w:type="pct" w:w="17%"/>
            <w:vAlign w:val="center"/>
          </w:tcPr>
          <w:p>
            <w:pPr>
              <w:spacing w:after="30" w:before="30"/>
              <w:jc w:val="left"/>
            </w:pPr>
            <w:r>
              <w:rPr>
                <w:rFonts w:ascii="Calibri" w:cs="Calibri" w:eastAsia="Calibri" w:hAnsi="Calibri"/>
                <w:color w:val="000000"/>
                <w:sz w:val="20"/>
                <w:szCs w:val="20"/>
              </w:rPr>
              <w:t xml:space="preserve">82,0</w:t>
            </w:r>
          </w:p>
        </w:tc>
        <w:tc>
          <w:tcPr>
            <w:tcW w:type="pct" w:w="19%"/>
            <w:vAlign w:val="center"/>
          </w:tcPr>
          <w:p>
            <w:pPr>
              <w:spacing w:after="30" w:before="30"/>
              <w:jc w:val="left"/>
            </w:pPr>
            <w:r>
              <w:rPr>
                <w:rFonts w:ascii="Calibri" w:cs="Calibri" w:eastAsia="Calibri" w:hAnsi="Calibri"/>
                <w:color w:val="000000"/>
                <w:sz w:val="20"/>
                <w:szCs w:val="20"/>
              </w:rPr>
              <w:t xml:space="preserve">61%</w:t>
            </w:r>
          </w:p>
        </w:tc>
      </w:tr>
    </w:tbl>
    <w:p>
      <w:pPr>
        <w:pStyle w:val="Heading1"/>
        <w:pBdr>
          <w:bottom w:val="single" w:color="2A7A65" w:sz="6"/>
        </w:pBdr>
        <w:spacing w:after="200" w:before="400" w:line="312"/>
      </w:pPr>
      <w:bookmarkStart w:id="100030" w:name="_Toc100030"/>
      <w:r>
        <w:rPr>
          <w:rFonts w:ascii="Times New Roman" w:cs="Times New Roman" w:eastAsia="Times New Roman" w:hAnsi="Times New Roman"/>
          <w:b/>
          <w:bCs/>
          <w:color w:val="2A7A65"/>
          <w:sz w:val="36"/>
          <w:szCs w:val="36"/>
        </w:rPr>
        <w:t xml:space="preserve">8. Strategie Commerciale et Marketing</w:t>
      </w:r>
      <w:bookmarkEnd w:id="100030"/>
    </w:p>
    <w:p>
      <w:pPr>
        <w:pStyle w:val="Heading2"/>
        <w:spacing w:after="150" w:before="300" w:line="312"/>
      </w:pPr>
      <w:bookmarkStart w:id="100031" w:name="_Toc100031"/>
      <w:r>
        <w:rPr>
          <w:rFonts w:ascii="Times New Roman" w:cs="Times New Roman" w:eastAsia="Times New Roman" w:hAnsi="Times New Roman"/>
          <w:b/>
          <w:bCs/>
          <w:color w:val="2A7A65"/>
          <w:sz w:val="30"/>
          <w:szCs w:val="30"/>
        </w:rPr>
        <w:t xml:space="preserve">8.1 Positionnement et Message Cle</w:t>
      </w:r>
      <w:bookmarkEnd w:id="100031"/>
    </w:p>
    <w:p>
      <w:pPr>
        <w:spacing w:after="120" w:line="312"/>
        <w:ind w:firstLine="480"/>
        <w:jc w:val="both"/>
      </w:pPr>
      <w:r>
        <w:rPr>
          <w:rFonts w:ascii="Calibri" w:cs="Calibri" w:eastAsia="Calibri" w:hAnsi="Calibri"/>
          <w:color w:val="000000"/>
          <w:sz w:val="22"/>
          <w:szCs w:val="22"/>
        </w:rPr>
        <w:t xml:space="preserve">Biodynamie se positionne comme le biofertilisant de reference pour l'agriculture tropicale, alliant efficacite prouvee et respect de l'environnement. Le positionnement s'articule autour du triptyque « Naturel, Efficace, Durable », qui repond aux trois preoccupations majeures des agriculteurs ivoiriens : la sante des sols et des consommateurs, l'augmentation des rendements, et la perennite de l'exploitation.</w:t>
      </w:r>
    </w:p>
    <w:p>
      <w:pPr>
        <w:spacing w:after="120" w:line="312"/>
        <w:ind w:firstLine="480"/>
        <w:jc w:val="both"/>
      </w:pPr>
      <w:r>
        <w:rPr>
          <w:rFonts w:ascii="Calibri" w:cs="Calibri" w:eastAsia="Calibri" w:hAnsi="Calibri"/>
          <w:color w:val="000000"/>
          <w:sz w:val="22"/>
          <w:szCs w:val="22"/>
        </w:rPr>
        <w:t xml:space="preserve">Le message cle du lancement est : « Biodynamie : La force de la nature au service de vos recoltes. Resultats visibles en 10 jours. » Ce message synthetise les deux arguments les plus differenciants du produit : son origine 100% naturelle et la rapidite de ses resultats. Il est decline en plusieurs versions adaptees aux differents segments de clientele et canaux de communication.</w:t>
      </w:r>
    </w:p>
    <w:p>
      <w:pPr>
        <w:pStyle w:val="Heading2"/>
        <w:spacing w:after="150" w:before="300" w:line="312"/>
      </w:pPr>
      <w:bookmarkStart w:id="100032" w:name="_Toc100032"/>
      <w:r>
        <w:rPr>
          <w:rFonts w:ascii="Times New Roman" w:cs="Times New Roman" w:eastAsia="Times New Roman" w:hAnsi="Times New Roman"/>
          <w:b/>
          <w:bCs/>
          <w:color w:val="2A7A65"/>
          <w:sz w:val="30"/>
          <w:szCs w:val="30"/>
        </w:rPr>
        <w:t xml:space="preserve">8.2 Strategie Marketing Mix (4P)</w:t>
      </w:r>
      <w:bookmarkEnd w:id="100032"/>
    </w:p>
    <w:p>
      <w:pPr>
        <w:pStyle w:val="Heading3"/>
        <w:spacing w:after="100" w:before="200" w:line="312"/>
      </w:pPr>
      <w:bookmarkStart w:id="100033" w:name="_Toc100033"/>
      <w:r>
        <w:rPr>
          <w:rFonts w:ascii="Times New Roman" w:cs="Times New Roman" w:eastAsia="Times New Roman" w:hAnsi="Times New Roman"/>
          <w:b/>
          <w:bCs/>
          <w:color w:val="2A7A65"/>
          <w:sz w:val="26"/>
          <w:szCs w:val="26"/>
        </w:rPr>
        <w:t xml:space="preserve">Produit</w:t>
      </w:r>
      <w:bookmarkEnd w:id="100033"/>
    </w:p>
    <w:p>
      <w:pPr>
        <w:spacing w:after="120" w:line="312"/>
        <w:ind w:firstLine="480"/>
        <w:jc w:val="both"/>
      </w:pPr>
      <w:r>
        <w:rPr>
          <w:rFonts w:ascii="Calibri" w:cs="Calibri" w:eastAsia="Calibri" w:hAnsi="Calibri"/>
          <w:color w:val="000000"/>
          <w:sz w:val="22"/>
          <w:szCs w:val="22"/>
        </w:rPr>
        <w:t xml:space="preserve">La gamme Biodynamie est declinee en trois formats (100g, 500g, 1kg) pour repondre aux besoins de chaque segment de clientele. Le packaging utilise des materiaux recyclables et un code couleur vert (en coherence avec les valeurs ecologiques du produit) avec des mentions reglementaires claires. Chaque conditionnement inclut un guide d'utilisation simplifie en francais et en langues locales, avec des pictogrammes pour les agriculteurs non alphabetises.</w:t>
      </w:r>
    </w:p>
    <w:p>
      <w:pPr>
        <w:pStyle w:val="Heading3"/>
        <w:spacing w:after="100" w:before="200" w:line="312"/>
      </w:pPr>
      <w:bookmarkStart w:id="100034" w:name="_Toc100034"/>
      <w:r>
        <w:rPr>
          <w:rFonts w:ascii="Times New Roman" w:cs="Times New Roman" w:eastAsia="Times New Roman" w:hAnsi="Times New Roman"/>
          <w:b/>
          <w:bCs/>
          <w:color w:val="2A7A65"/>
          <w:sz w:val="26"/>
          <w:szCs w:val="26"/>
        </w:rPr>
        <w:t xml:space="preserve">Prix</w:t>
      </w:r>
      <w:bookmarkEnd w:id="100034"/>
    </w:p>
    <w:p>
      <w:pPr>
        <w:spacing w:after="120" w:line="312"/>
        <w:ind w:firstLine="480"/>
        <w:jc w:val="both"/>
      </w:pPr>
      <w:r>
        <w:rPr>
          <w:rFonts w:ascii="Calibri" w:cs="Calibri" w:eastAsia="Calibri" w:hAnsi="Calibri"/>
          <w:color w:val="000000"/>
          <w:sz w:val="22"/>
          <w:szCs w:val="22"/>
        </w:rPr>
        <w:t xml:space="preserve">La strategie de prix est une strategie de penetration avec un tarif de lancement a 600 Fcfa/g, soit une reduction de 40 pourcent par rapport au tarif standard de 1 000 Fcfa/g. Cette politique tarifaire vise a encourager l'essai du produit et a accelerer l'adoption. Le tarif standard sera applique progressivement a partir du second semestre 2026, une fois la notoriete etablie et les premiers resultats validates par les utilisateurs. Des remises de volume sont prevues pour les commandes superieures a 5 kg.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pct" w:w="12%"/>
            <w:shd w:fill="2A7A65" w:val="clear"/>
            <w:vAlign w:val="center"/>
          </w:tcPr>
          <w:p>
            <w:pPr>
              <w:spacing w:after="40" w:before="40"/>
              <w:jc w:val="center"/>
            </w:pPr>
            <w:r>
              <w:rPr>
                <w:rFonts w:ascii="Calibri" w:cs="Calibri" w:eastAsia="Calibri" w:hAnsi="Calibri"/>
                <w:b/>
                <w:bCs/>
                <w:color w:val="FFFFFF"/>
                <w:sz w:val="20"/>
                <w:szCs w:val="20"/>
              </w:rPr>
              <w:t xml:space="preserve">Format</w:t>
            </w:r>
          </w:p>
        </w:tc>
        <w:tc>
          <w:tcPr>
            <w:tcW w:type="pct" w:w="10%"/>
            <w:shd w:fill="2A7A65" w:val="clear"/>
            <w:vAlign w:val="center"/>
          </w:tcPr>
          <w:p>
            <w:pPr>
              <w:spacing w:after="40" w:before="40"/>
              <w:jc w:val="center"/>
            </w:pPr>
            <w:r>
              <w:rPr>
                <w:rFonts w:ascii="Calibri" w:cs="Calibri" w:eastAsia="Calibri" w:hAnsi="Calibri"/>
                <w:b/>
                <w:bCs/>
                <w:color w:val="FFFFFF"/>
                <w:sz w:val="20"/>
                <w:szCs w:val="20"/>
              </w:rPr>
              <w:t xml:space="preserve">Poids</w:t>
            </w:r>
          </w:p>
        </w:tc>
        <w:tc>
          <w:tcPr>
            <w:tcW w:type="pct" w:w="18%"/>
            <w:shd w:fill="2A7A65" w:val="clear"/>
            <w:vAlign w:val="center"/>
          </w:tcPr>
          <w:p>
            <w:pPr>
              <w:spacing w:after="40" w:before="40"/>
              <w:jc w:val="center"/>
            </w:pPr>
            <w:r>
              <w:rPr>
                <w:rFonts w:ascii="Calibri" w:cs="Calibri" w:eastAsia="Calibri" w:hAnsi="Calibri"/>
                <w:b/>
                <w:bCs/>
                <w:color w:val="FFFFFF"/>
                <w:sz w:val="20"/>
                <w:szCs w:val="20"/>
              </w:rPr>
              <w:t xml:space="preserve">Prix lancement</w:t>
            </w:r>
          </w:p>
        </w:tc>
        <w:tc>
          <w:tcPr>
            <w:tcW w:type="pct" w:w="18%"/>
            <w:shd w:fill="2A7A65" w:val="clear"/>
            <w:vAlign w:val="center"/>
          </w:tcPr>
          <w:p>
            <w:pPr>
              <w:spacing w:after="40" w:before="40"/>
              <w:jc w:val="center"/>
            </w:pPr>
            <w:r>
              <w:rPr>
                <w:rFonts w:ascii="Calibri" w:cs="Calibri" w:eastAsia="Calibri" w:hAnsi="Calibri"/>
                <w:b/>
                <w:bCs/>
                <w:color w:val="FFFFFF"/>
                <w:sz w:val="20"/>
                <w:szCs w:val="20"/>
              </w:rPr>
              <w:t xml:space="preserve">Prix standard</w:t>
            </w:r>
          </w:p>
        </w:tc>
        <w:tc>
          <w:tcPr>
            <w:tcW w:type="pct" w:w="18%"/>
            <w:shd w:fill="2A7A65" w:val="clear"/>
            <w:vAlign w:val="center"/>
          </w:tcPr>
          <w:p>
            <w:pPr>
              <w:spacing w:after="40" w:before="40"/>
              <w:jc w:val="center"/>
            </w:pPr>
            <w:r>
              <w:rPr>
                <w:rFonts w:ascii="Calibri" w:cs="Calibri" w:eastAsia="Calibri" w:hAnsi="Calibri"/>
                <w:b/>
                <w:bCs/>
                <w:color w:val="FFFFFF"/>
                <w:sz w:val="20"/>
                <w:szCs w:val="20"/>
              </w:rPr>
              <w:t xml:space="preserve">Prix/g lancement</w:t>
            </w:r>
          </w:p>
        </w:tc>
        <w:tc>
          <w:tcPr>
            <w:tcW w:type="pct" w:w="18%"/>
            <w:shd w:fill="2A7A65" w:val="clear"/>
            <w:vAlign w:val="center"/>
          </w:tcPr>
          <w:p>
            <w:pPr>
              <w:spacing w:after="40" w:before="40"/>
              <w:jc w:val="center"/>
            </w:pPr>
            <w:r>
              <w:rPr>
                <w:rFonts w:ascii="Calibri" w:cs="Calibri" w:eastAsia="Calibri" w:hAnsi="Calibri"/>
                <w:b/>
                <w:bCs/>
                <w:color w:val="FFFFFF"/>
                <w:sz w:val="20"/>
                <w:szCs w:val="20"/>
              </w:rPr>
              <w:t xml:space="preserve">Prix/g standard</w:t>
            </w:r>
          </w:p>
        </w:tc>
      </w:tr>
      <w:tr>
        <w:tc>
          <w:tcPr>
            <w:tcW w:type="pct" w:w="12%"/>
            <w:vAlign w:val="center"/>
          </w:tcPr>
          <w:p>
            <w:pPr>
              <w:spacing w:after="30" w:before="30"/>
              <w:jc w:val="left"/>
            </w:pPr>
            <w:r>
              <w:rPr>
                <w:rFonts w:ascii="Calibri" w:cs="Calibri" w:eastAsia="Calibri" w:hAnsi="Calibri"/>
                <w:color w:val="000000"/>
                <w:sz w:val="20"/>
                <w:szCs w:val="20"/>
              </w:rPr>
              <w:t xml:space="preserve">Petit</w:t>
            </w:r>
          </w:p>
        </w:tc>
        <w:tc>
          <w:tcPr>
            <w:tcW w:type="pct" w:w="10%"/>
            <w:vAlign w:val="center"/>
          </w:tcPr>
          <w:p>
            <w:pPr>
              <w:spacing w:after="30" w:before="30"/>
              <w:jc w:val="left"/>
            </w:pPr>
            <w:r>
              <w:rPr>
                <w:rFonts w:ascii="Calibri" w:cs="Calibri" w:eastAsia="Calibri" w:hAnsi="Calibri"/>
                <w:color w:val="000000"/>
                <w:sz w:val="20"/>
                <w:szCs w:val="20"/>
              </w:rPr>
              <w:t xml:space="preserve">100 g</w:t>
            </w:r>
          </w:p>
        </w:tc>
        <w:tc>
          <w:tcPr>
            <w:tcW w:type="pct" w:w="18%"/>
            <w:vAlign w:val="center"/>
          </w:tcPr>
          <w:p>
            <w:pPr>
              <w:spacing w:after="30" w:before="30"/>
              <w:jc w:val="left"/>
            </w:pPr>
            <w:r>
              <w:rPr>
                <w:rFonts w:ascii="Calibri" w:cs="Calibri" w:eastAsia="Calibri" w:hAnsi="Calibri"/>
                <w:color w:val="000000"/>
                <w:sz w:val="20"/>
                <w:szCs w:val="20"/>
              </w:rPr>
              <w:t xml:space="preserve">60 000 Fcfa</w:t>
            </w:r>
          </w:p>
        </w:tc>
        <w:tc>
          <w:tcPr>
            <w:tcW w:type="pct" w:w="18%"/>
            <w:vAlign w:val="center"/>
          </w:tcPr>
          <w:p>
            <w:pPr>
              <w:spacing w:after="30" w:before="30"/>
              <w:jc w:val="left"/>
            </w:pPr>
            <w:r>
              <w:rPr>
                <w:rFonts w:ascii="Calibri" w:cs="Calibri" w:eastAsia="Calibri" w:hAnsi="Calibri"/>
                <w:color w:val="000000"/>
                <w:sz w:val="20"/>
                <w:szCs w:val="20"/>
              </w:rPr>
              <w:t xml:space="preserve">100 000 Fcfa</w:t>
            </w:r>
          </w:p>
        </w:tc>
        <w:tc>
          <w:tcPr>
            <w:tcW w:type="pct" w:w="18%"/>
            <w:vAlign w:val="center"/>
          </w:tcPr>
          <w:p>
            <w:pPr>
              <w:spacing w:after="30" w:before="30"/>
              <w:jc w:val="left"/>
            </w:pPr>
            <w:r>
              <w:rPr>
                <w:rFonts w:ascii="Calibri" w:cs="Calibri" w:eastAsia="Calibri" w:hAnsi="Calibri"/>
                <w:color w:val="000000"/>
                <w:sz w:val="20"/>
                <w:szCs w:val="20"/>
              </w:rPr>
              <w:t xml:space="preserve">600 Fcfa</w:t>
            </w:r>
          </w:p>
        </w:tc>
        <w:tc>
          <w:tcPr>
            <w:tcW w:type="pct" w:w="18%"/>
            <w:vAlign w:val="center"/>
          </w:tcPr>
          <w:p>
            <w:pPr>
              <w:spacing w:after="30" w:before="30"/>
              <w:jc w:val="left"/>
            </w:pPr>
            <w:r>
              <w:rPr>
                <w:rFonts w:ascii="Calibri" w:cs="Calibri" w:eastAsia="Calibri" w:hAnsi="Calibri"/>
                <w:color w:val="000000"/>
                <w:sz w:val="20"/>
                <w:szCs w:val="20"/>
              </w:rPr>
              <w:t xml:space="preserve">1 000 Fcfa</w:t>
            </w:r>
          </w:p>
        </w:tc>
      </w:tr>
      <w:tr>
        <w:tc>
          <w:tcPr>
            <w:tcW w:type="pct" w:w="12%"/>
            <w:shd w:fill="EDF5F2" w:val="clear"/>
            <w:vAlign w:val="center"/>
          </w:tcPr>
          <w:p>
            <w:pPr>
              <w:spacing w:after="30" w:before="30"/>
              <w:jc w:val="left"/>
            </w:pPr>
            <w:r>
              <w:rPr>
                <w:rFonts w:ascii="Calibri" w:cs="Calibri" w:eastAsia="Calibri" w:hAnsi="Calibri"/>
                <w:color w:val="000000"/>
                <w:sz w:val="20"/>
                <w:szCs w:val="20"/>
              </w:rPr>
              <w:t xml:space="preserve">Moyen</w:t>
            </w:r>
          </w:p>
        </w:tc>
        <w:tc>
          <w:tcPr>
            <w:tcW w:type="pct" w:w="10%"/>
            <w:shd w:fill="EDF5F2" w:val="clear"/>
            <w:vAlign w:val="center"/>
          </w:tcPr>
          <w:p>
            <w:pPr>
              <w:spacing w:after="30" w:before="30"/>
              <w:jc w:val="left"/>
            </w:pPr>
            <w:r>
              <w:rPr>
                <w:rFonts w:ascii="Calibri" w:cs="Calibri" w:eastAsia="Calibri" w:hAnsi="Calibri"/>
                <w:color w:val="000000"/>
                <w:sz w:val="20"/>
                <w:szCs w:val="20"/>
              </w:rPr>
              <w:t xml:space="preserve">500 g</w:t>
            </w:r>
          </w:p>
        </w:tc>
        <w:tc>
          <w:tcPr>
            <w:tcW w:type="pct" w:w="18%"/>
            <w:shd w:fill="EDF5F2" w:val="clear"/>
            <w:vAlign w:val="center"/>
          </w:tcPr>
          <w:p>
            <w:pPr>
              <w:spacing w:after="30" w:before="30"/>
              <w:jc w:val="left"/>
            </w:pPr>
            <w:r>
              <w:rPr>
                <w:rFonts w:ascii="Calibri" w:cs="Calibri" w:eastAsia="Calibri" w:hAnsi="Calibri"/>
                <w:color w:val="000000"/>
                <w:sz w:val="20"/>
                <w:szCs w:val="20"/>
              </w:rPr>
              <w:t xml:space="preserve">300 000 Fcfa</w:t>
            </w:r>
          </w:p>
        </w:tc>
        <w:tc>
          <w:tcPr>
            <w:tcW w:type="pct" w:w="18%"/>
            <w:shd w:fill="EDF5F2" w:val="clear"/>
            <w:vAlign w:val="center"/>
          </w:tcPr>
          <w:p>
            <w:pPr>
              <w:spacing w:after="30" w:before="30"/>
              <w:jc w:val="left"/>
            </w:pPr>
            <w:r>
              <w:rPr>
                <w:rFonts w:ascii="Calibri" w:cs="Calibri" w:eastAsia="Calibri" w:hAnsi="Calibri"/>
                <w:color w:val="000000"/>
                <w:sz w:val="20"/>
                <w:szCs w:val="20"/>
              </w:rPr>
              <w:t xml:space="preserve">500 000 Fcfa</w:t>
            </w:r>
          </w:p>
        </w:tc>
        <w:tc>
          <w:tcPr>
            <w:tcW w:type="pct" w:w="18%"/>
            <w:shd w:fill="EDF5F2" w:val="clear"/>
            <w:vAlign w:val="center"/>
          </w:tcPr>
          <w:p>
            <w:pPr>
              <w:spacing w:after="30" w:before="30"/>
              <w:jc w:val="left"/>
            </w:pPr>
            <w:r>
              <w:rPr>
                <w:rFonts w:ascii="Calibri" w:cs="Calibri" w:eastAsia="Calibri" w:hAnsi="Calibri"/>
                <w:color w:val="000000"/>
                <w:sz w:val="20"/>
                <w:szCs w:val="20"/>
              </w:rPr>
              <w:t xml:space="preserve">600 Fcfa</w:t>
            </w:r>
          </w:p>
        </w:tc>
        <w:tc>
          <w:tcPr>
            <w:tcW w:type="pct" w:w="18%"/>
            <w:shd w:fill="EDF5F2" w:val="clear"/>
            <w:vAlign w:val="center"/>
          </w:tcPr>
          <w:p>
            <w:pPr>
              <w:spacing w:after="30" w:before="30"/>
              <w:jc w:val="left"/>
            </w:pPr>
            <w:r>
              <w:rPr>
                <w:rFonts w:ascii="Calibri" w:cs="Calibri" w:eastAsia="Calibri" w:hAnsi="Calibri"/>
                <w:color w:val="000000"/>
                <w:sz w:val="20"/>
                <w:szCs w:val="20"/>
              </w:rPr>
              <w:t xml:space="preserve">1 000 Fcfa</w:t>
            </w:r>
          </w:p>
        </w:tc>
      </w:tr>
      <w:tr>
        <w:tc>
          <w:tcPr>
            <w:tcW w:type="pct" w:w="12%"/>
            <w:vAlign w:val="center"/>
          </w:tcPr>
          <w:p>
            <w:pPr>
              <w:spacing w:after="30" w:before="30"/>
              <w:jc w:val="left"/>
            </w:pPr>
            <w:r>
              <w:rPr>
                <w:rFonts w:ascii="Calibri" w:cs="Calibri" w:eastAsia="Calibri" w:hAnsi="Calibri"/>
                <w:color w:val="000000"/>
                <w:sz w:val="20"/>
                <w:szCs w:val="20"/>
              </w:rPr>
              <w:t xml:space="preserve">Grand</w:t>
            </w:r>
          </w:p>
        </w:tc>
        <w:tc>
          <w:tcPr>
            <w:tcW w:type="pct" w:w="10%"/>
            <w:vAlign w:val="center"/>
          </w:tcPr>
          <w:p>
            <w:pPr>
              <w:spacing w:after="30" w:before="30"/>
              <w:jc w:val="left"/>
            </w:pPr>
            <w:r>
              <w:rPr>
                <w:rFonts w:ascii="Calibri" w:cs="Calibri" w:eastAsia="Calibri" w:hAnsi="Calibri"/>
                <w:color w:val="000000"/>
                <w:sz w:val="20"/>
                <w:szCs w:val="20"/>
              </w:rPr>
              <w:t xml:space="preserve">1 kg</w:t>
            </w:r>
          </w:p>
        </w:tc>
        <w:tc>
          <w:tcPr>
            <w:tcW w:type="pct" w:w="18%"/>
            <w:vAlign w:val="center"/>
          </w:tcPr>
          <w:p>
            <w:pPr>
              <w:spacing w:after="30" w:before="30"/>
              <w:jc w:val="left"/>
            </w:pPr>
            <w:r>
              <w:rPr>
                <w:rFonts w:ascii="Calibri" w:cs="Calibri" w:eastAsia="Calibri" w:hAnsi="Calibri"/>
                <w:color w:val="000000"/>
                <w:sz w:val="20"/>
                <w:szCs w:val="20"/>
              </w:rPr>
              <w:t xml:space="preserve">600 000 Fcfa</w:t>
            </w:r>
          </w:p>
        </w:tc>
        <w:tc>
          <w:tcPr>
            <w:tcW w:type="pct" w:w="18%"/>
            <w:vAlign w:val="center"/>
          </w:tcPr>
          <w:p>
            <w:pPr>
              <w:spacing w:after="30" w:before="30"/>
              <w:jc w:val="left"/>
            </w:pPr>
            <w:r>
              <w:rPr>
                <w:rFonts w:ascii="Calibri" w:cs="Calibri" w:eastAsia="Calibri" w:hAnsi="Calibri"/>
                <w:color w:val="000000"/>
                <w:sz w:val="20"/>
                <w:szCs w:val="20"/>
              </w:rPr>
              <w:t xml:space="preserve">1 000 000 Fcfa</w:t>
            </w:r>
          </w:p>
        </w:tc>
        <w:tc>
          <w:tcPr>
            <w:tcW w:type="pct" w:w="18%"/>
            <w:vAlign w:val="center"/>
          </w:tcPr>
          <w:p>
            <w:pPr>
              <w:spacing w:after="30" w:before="30"/>
              <w:jc w:val="left"/>
            </w:pPr>
            <w:r>
              <w:rPr>
                <w:rFonts w:ascii="Calibri" w:cs="Calibri" w:eastAsia="Calibri" w:hAnsi="Calibri"/>
                <w:color w:val="000000"/>
                <w:sz w:val="20"/>
                <w:szCs w:val="20"/>
              </w:rPr>
              <w:t xml:space="preserve">600 Fcfa</w:t>
            </w:r>
          </w:p>
        </w:tc>
        <w:tc>
          <w:tcPr>
            <w:tcW w:type="pct" w:w="18%"/>
            <w:vAlign w:val="center"/>
          </w:tcPr>
          <w:p>
            <w:pPr>
              <w:spacing w:after="30" w:before="30"/>
              <w:jc w:val="left"/>
            </w:pPr>
            <w:r>
              <w:rPr>
                <w:rFonts w:ascii="Calibri" w:cs="Calibri" w:eastAsia="Calibri" w:hAnsi="Calibri"/>
                <w:color w:val="000000"/>
                <w:sz w:val="20"/>
                <w:szCs w:val="20"/>
              </w:rPr>
              <w:t xml:space="preserve">1 000 Fcfa</w:t>
            </w:r>
          </w:p>
        </w:tc>
      </w:tr>
    </w:tbl>
    <w:p>
      <w:pPr>
        <w:pStyle w:val="Heading3"/>
        <w:spacing w:after="100" w:before="200" w:line="312"/>
      </w:pPr>
      <w:bookmarkStart w:id="100035" w:name="_Toc100035"/>
      <w:r>
        <w:rPr>
          <w:rFonts w:ascii="Times New Roman" w:cs="Times New Roman" w:eastAsia="Times New Roman" w:hAnsi="Times New Roman"/>
          <w:b/>
          <w:bCs/>
          <w:color w:val="2A7A65"/>
          <w:sz w:val="26"/>
          <w:szCs w:val="26"/>
        </w:rPr>
        <w:t xml:space="preserve">Place (Distribution)</w:t>
      </w:r>
      <w:bookmarkEnd w:id="100035"/>
    </w:p>
    <w:p>
      <w:pPr>
        <w:spacing w:after="120" w:line="312"/>
        <w:ind w:firstLine="480"/>
        <w:jc w:val="both"/>
      </w:pPr>
      <w:r>
        <w:rPr>
          <w:rFonts w:ascii="Calibri" w:cs="Calibri" w:eastAsia="Calibri" w:hAnsi="Calibri"/>
          <w:color w:val="000000"/>
          <w:sz w:val="22"/>
          <w:szCs w:val="22"/>
        </w:rPr>
        <w:t xml:space="preserve">Le reseau de distribution est structure en trois niveaux : la distribution directe par les equipes commerciales de LIG et du Comptoir Agropastoral CI aupres des grands comptes (agro-industriels et cooperatives) ; la distribution indirecte via un reseau de revendeurs agreees couvrant les principales zones agricoles (Abidjan, Yamoussoukro, Bouake, San Pedro, Daloa) ; et la distribution en ligne via le site web ligbiodynamie.ci et WhatsApp Business pour les commandes directes avec livraison.</w:t>
      </w:r>
    </w:p>
    <w:p>
      <w:pPr>
        <w:pStyle w:val="Heading3"/>
        <w:spacing w:after="100" w:before="200" w:line="312"/>
      </w:pPr>
      <w:bookmarkStart w:id="100036" w:name="_Toc100036"/>
      <w:r>
        <w:rPr>
          <w:rFonts w:ascii="Times New Roman" w:cs="Times New Roman" w:eastAsia="Times New Roman" w:hAnsi="Times New Roman"/>
          <w:b/>
          <w:bCs/>
          <w:color w:val="2A7A65"/>
          <w:sz w:val="26"/>
          <w:szCs w:val="26"/>
        </w:rPr>
        <w:t xml:space="preserve">Promotion</w:t>
      </w:r>
      <w:bookmarkEnd w:id="100036"/>
    </w:p>
    <w:p>
      <w:pPr>
        <w:spacing w:after="120" w:line="312"/>
        <w:ind w:firstLine="480"/>
        <w:jc w:val="both"/>
      </w:pPr>
      <w:r>
        <w:rPr>
          <w:rFonts w:ascii="Calibri" w:cs="Calibri" w:eastAsia="Calibri" w:hAnsi="Calibri"/>
          <w:color w:val="000000"/>
          <w:sz w:val="22"/>
          <w:szCs w:val="22"/>
        </w:rPr>
        <w:t xml:space="preserve">La strategie promotionnelle du lancement combine plusieurs leviers : l'evenementiel (ceremonie de lancement le 10 decembre 2025 a Abidjan, participation aux foires agricoles), le marketing digital (campagnes sur les reseaux sociaux, contenus video, temoignages d'agriculteurs), le marketing terrain (demonstrations in situ, formations, essais gratuits) et les relations publiques (presse, partenariats medias, influenceurs agricoles). Le budget total de 46M Fcfa est reparti de maniere equilibree entre ces differents leviers.</w:t>
      </w:r>
    </w:p>
    <w:p>
      <w:pPr>
        <w:pStyle w:val="Heading2"/>
        <w:spacing w:after="150" w:before="300" w:line="312"/>
      </w:pPr>
      <w:bookmarkStart w:id="100037" w:name="_Toc100037"/>
      <w:r>
        <w:rPr>
          <w:rFonts w:ascii="Times New Roman" w:cs="Times New Roman" w:eastAsia="Times New Roman" w:hAnsi="Times New Roman"/>
          <w:b/>
          <w:bCs/>
          <w:color w:val="2A7A65"/>
          <w:sz w:val="30"/>
          <w:szCs w:val="30"/>
        </w:rPr>
        <w:t xml:space="preserve">8.3 Strategie Digitale</w:t>
      </w:r>
      <w:bookmarkEnd w:id="100037"/>
    </w:p>
    <w:p>
      <w:pPr>
        <w:spacing w:after="120" w:line="312"/>
        <w:ind w:firstLine="480"/>
        <w:jc w:val="both"/>
      </w:pPr>
      <w:r>
        <w:rPr>
          <w:rFonts w:ascii="Calibri" w:cs="Calibri" w:eastAsia="Calibri" w:hAnsi="Calibri"/>
          <w:color w:val="000000"/>
          <w:sz w:val="22"/>
          <w:szCs w:val="22"/>
        </w:rPr>
        <w:t xml:space="preserve">La strategie digitale est au coeur du plan de communication de Biodynamie, avec un objectif de couverture maximale a cout maitrise. Le site web ligbiodynamie.ci constitue la plateforme centrale, offrant des informations detaillees sur le produit, des temoignages video d'utilisateurs, un blog sur l'agriculture biologique et une boutique en ligne pour les commandes directes. Le site est optimise pour le mobile, considerant que la majorite des agriculteurs ivoiriens accedent a internet via leur smartphone.</w:t>
      </w:r>
    </w:p>
    <w:p>
      <w:pPr>
        <w:spacing w:after="120" w:line="312"/>
        <w:ind w:firstLine="480"/>
        <w:jc w:val="both"/>
      </w:pPr>
      <w:r>
        <w:rPr>
          <w:rFonts w:ascii="Calibri" w:cs="Calibri" w:eastAsia="Calibri" w:hAnsi="Calibri"/>
          <w:color w:val="000000"/>
          <w:sz w:val="22"/>
          <w:szCs w:val="22"/>
        </w:rPr>
        <w:t xml:space="preserve">Les reseaux sociaux sont utilises de maniere differentiee : Facebook pour la communaute agricole et les groupes de discussion, Instagram pour l'image de marque et les visuels produit, LinkedIn pour les partenariats B2B et la credibilite institutionnelle, YouTube pour les tutoriels video et les temoignages, et WhatsApp Business pour le service client et les commandes directes. L'objectif est d'atteindre 10 000 abonnes cumules sur l'ensemble des plateformes dans les six premiers mois.</w:t>
      </w:r>
    </w:p>
    <w:p>
      <w:pPr>
        <w:pStyle w:val="Heading2"/>
        <w:spacing w:after="150" w:before="300" w:line="312"/>
      </w:pPr>
      <w:bookmarkStart w:id="100038" w:name="_Toc100038"/>
      <w:r>
        <w:rPr>
          <w:rFonts w:ascii="Times New Roman" w:cs="Times New Roman" w:eastAsia="Times New Roman" w:hAnsi="Times New Roman"/>
          <w:b/>
          <w:bCs/>
          <w:color w:val="2A7A65"/>
          <w:sz w:val="30"/>
          <w:szCs w:val="30"/>
        </w:rPr>
        <w:t xml:space="preserve">8.4 Plan de Communication</w:t>
      </w:r>
      <w:bookmarkEnd w:id="100038"/>
    </w:p>
    <w:p>
      <w:pPr>
        <w:spacing w:after="200" w:before="20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657600"/>
                    </a:xfrm>
                    <a:prstGeom prst="rect">
                      <a:avLst/>
                    </a:prstGeom>
                  </pic:spPr>
                </pic:pic>
              </a:graphicData>
            </a:graphic>
          </wp:inline>
        </w:drawing>
      </w:r>
    </w:p>
    <w:p>
      <w:pPr>
        <w:spacing w:after="120" w:line="312"/>
        <w:ind w:firstLine="480"/>
        <w:jc w:val="both"/>
      </w:pPr>
      <w:r>
        <w:rPr>
          <w:rFonts w:ascii="Calibri" w:cs="Calibri" w:eastAsia="Calibri" w:hAnsi="Calibri"/>
          <w:color w:val="000000"/>
          <w:sz w:val="22"/>
          <w:szCs w:val="22"/>
        </w:rPr>
        <w:t xml:space="preserve">Le plan de communication est structure en trois phases. La phase pre-lancement (octobre - novembre 2025) vise a creer l'anticipation et la notoriete : teasers sur les reseaux sociaux, communiques de presse, prises de contact avec les influenceurs agricoles et les journalistes specialises. La phase lancement (decembre 2025 - janvier 2026) concentre les efforts sur l'evenement de lancement, les campagnes publicitaires massives et les operations de terrain. La phase post-lancement (fevrier - mars 2026) capitalise sur les premiers resultats des utilisateurs pour nourrir la communication et entretenir la dynamique.</w:t>
      </w:r>
    </w:p>
    <w:p>
      <w:pPr>
        <w:spacing w:after="120" w:line="312"/>
        <w:ind w:firstLine="480"/>
        <w:jc w:val="both"/>
      </w:pPr>
      <w:r>
        <w:rPr>
          <w:rFonts w:ascii="Calibri" w:cs="Calibri" w:eastAsia="Calibri" w:hAnsi="Calibri"/>
          <w:color w:val="000000"/>
          <w:sz w:val="22"/>
          <w:szCs w:val="22"/>
        </w:rPr>
        <w:t xml:space="preserve">Le budget de communication de 46M Fcfa est reparti comme suit : communication digitale 11,5M Fcfa (25 pourcent), evenementiel et lancement 9,2M Fcfa (20 pourcent), marketing terrain 8,0M Fcfa (17 pourcent), production de contenu 5,5M Fcfa (12 pourcent), relations publiques 4,8M Fcfa (10 pourcent), formation et demonstrations 4,0M Fcfa (9 pourcent), et impreveus et contingence 3,0M Fcfa (7 pourcent).</w:t>
      </w:r>
    </w:p>
    <w:p>
      <w:pPr>
        <w:pStyle w:val="Heading2"/>
        <w:spacing w:after="150" w:before="300" w:line="312"/>
      </w:pPr>
      <w:bookmarkStart w:id="100039" w:name="_Toc100039"/>
      <w:r>
        <w:rPr>
          <w:rFonts w:ascii="Times New Roman" w:cs="Times New Roman" w:eastAsia="Times New Roman" w:hAnsi="Times New Roman"/>
          <w:b/>
          <w:bCs/>
          <w:color w:val="2A7A65"/>
          <w:sz w:val="30"/>
          <w:szCs w:val="30"/>
        </w:rPr>
        <w:t xml:space="preserve">8.5 Partenariats Strategiques</w:t>
      </w:r>
      <w:bookmarkEnd w:id="100039"/>
    </w:p>
    <w:p>
      <w:pPr>
        <w:spacing w:after="120" w:line="312"/>
        <w:ind w:firstLine="480"/>
        <w:jc w:val="both"/>
      </w:pPr>
      <w:r>
        <w:rPr>
          <w:rFonts w:ascii="Calibri" w:cs="Calibri" w:eastAsia="Calibri" w:hAnsi="Calibri"/>
          <w:color w:val="000000"/>
          <w:sz w:val="22"/>
          <w:szCs w:val="22"/>
        </w:rPr>
        <w:t xml:space="preserve">Les partenariats strategiques constituent un pilier de la strategie commerciale de Biodynamie. Les partenariats industriels avec PALMCI, SIFCA, SAPH et SUCAF visent a integrer Biodynamie dans les programmes de fertilisation de ces grands groupes, garantissant des volumes reguliers et une validation a grande echelle du produit. Les partenariats institutionnels avec le CNRA, le FIRCA, la FAO et la BAD offrent un acces aux programmes de subvention et de formation, ainsi qu'une credibilite scientifique et institutionnelle.</w:t>
      </w:r>
    </w:p>
    <w:p>
      <w:pPr>
        <w:spacing w:after="120" w:line="312"/>
        <w:ind w:firstLine="480"/>
        <w:jc w:val="both"/>
      </w:pPr>
      <w:r>
        <w:rPr>
          <w:rFonts w:ascii="Calibri" w:cs="Calibri" w:eastAsia="Calibri" w:hAnsi="Calibri"/>
          <w:color w:val="000000"/>
          <w:sz w:val="22"/>
          <w:szCs w:val="22"/>
        </w:rPr>
        <w:t xml:space="preserve">Le partenariat avec l'INPHB (Institut National Polytechnique Felix Houphouet-Boigny) permet de beneficier de l'expertise academique pour la validation des resultats et la formation des ingenieurs agronomes. Ces partenariats sont structures par des conventions cadres definissant les objectifs communs, les contributions de chaque partie et les indicateurs de suivi. L'objectif est d'etablir au minimum trois partenariats majeurs dans les quatre premiers mois suivant le lancement.</w:t>
      </w:r>
    </w:p>
    <w:p>
      <w:pPr>
        <w:pStyle w:val="Heading1"/>
        <w:pBdr>
          <w:bottom w:val="single" w:color="2A7A65" w:sz="6"/>
        </w:pBdr>
        <w:spacing w:after="200" w:before="400" w:line="312"/>
      </w:pPr>
      <w:bookmarkStart w:id="100040" w:name="_Toc100040"/>
      <w:r>
        <w:rPr>
          <w:rFonts w:ascii="Times New Roman" w:cs="Times New Roman" w:eastAsia="Times New Roman" w:hAnsi="Times New Roman"/>
          <w:b/>
          <w:bCs/>
          <w:color w:val="2A7A65"/>
          <w:sz w:val="36"/>
          <w:szCs w:val="36"/>
        </w:rPr>
        <w:t xml:space="preserve">9. Plan Operationnel</w:t>
      </w:r>
      <w:bookmarkEnd w:id="100040"/>
    </w:p>
    <w:p>
      <w:pPr>
        <w:pStyle w:val="Heading2"/>
        <w:spacing w:after="150" w:before="300" w:line="312"/>
      </w:pPr>
      <w:bookmarkStart w:id="100041" w:name="_Toc100041"/>
      <w:r>
        <w:rPr>
          <w:rFonts w:ascii="Times New Roman" w:cs="Times New Roman" w:eastAsia="Times New Roman" w:hAnsi="Times New Roman"/>
          <w:b/>
          <w:bCs/>
          <w:color w:val="2A7A65"/>
          <w:sz w:val="30"/>
          <w:szCs w:val="30"/>
        </w:rPr>
        <w:t xml:space="preserve">9.1 Plan de Production et Approvisionnement</w:t>
      </w:r>
      <w:bookmarkEnd w:id="100041"/>
    </w:p>
    <w:p>
      <w:pPr>
        <w:spacing w:after="120" w:line="312"/>
        <w:ind w:firstLine="480"/>
        <w:jc w:val="both"/>
      </w:pPr>
      <w:r>
        <w:rPr>
          <w:rFonts w:ascii="Calibri" w:cs="Calibri" w:eastAsia="Calibri" w:hAnsi="Calibri"/>
          <w:color w:val="000000"/>
          <w:sz w:val="22"/>
          <w:szCs w:val="22"/>
        </w:rPr>
        <w:t xml:space="preserve">La production de Biodynamie est organisee autour d'un processus en cinq etapes : la preparation des cultures microbiennes ( fermentation en bioréacteurs), le melange avec les extraits vegetaux selon la formule brevetee, le controle qualite en laboratoire (verification du pH, de la concentration et de l'activite biologique), le conditionnement en flacons de 100g, 500g et 1kg, et l'etiquetage avec les mentions reglementaires. La capacite de production initiale est de 5 tonnes par mois, scalable a 15 tonnes par mois dans la phase de croissance.</w:t>
      </w:r>
    </w:p>
    <w:p>
      <w:pPr>
        <w:spacing w:after="120" w:line="312"/>
        <w:ind w:firstLine="480"/>
        <w:jc w:val="both"/>
      </w:pPr>
      <w:r>
        <w:rPr>
          <w:rFonts w:ascii="Calibri" w:cs="Calibri" w:eastAsia="Calibri" w:hAnsi="Calibri"/>
          <w:color w:val="000000"/>
          <w:sz w:val="22"/>
          <w:szCs w:val="22"/>
        </w:rPr>
        <w:t xml:space="preserve">L'approvisionnement en matieres premieres repose sur un reseau de fournisseurs locaux et regionaux pour les extraits vegetaux, et sur des souches microbiennes produites en interne dans le laboratoire de LIG. La strategie d'approvisionnement prevoit un stock de securite de deux mois pour les matieres premieres critiques, afin de prevenir toute rupture de production. Les emballages sont fabriques par des fournisseurs locaux, conformement a la politique de developpement de la chaine de valeur locale.</w:t>
      </w:r>
    </w:p>
    <w:p>
      <w:pPr>
        <w:pStyle w:val="Heading2"/>
        <w:spacing w:after="150" w:before="300" w:line="312"/>
      </w:pPr>
      <w:bookmarkStart w:id="100042" w:name="_Toc100042"/>
      <w:r>
        <w:rPr>
          <w:rFonts w:ascii="Times New Roman" w:cs="Times New Roman" w:eastAsia="Times New Roman" w:hAnsi="Times New Roman"/>
          <w:b/>
          <w:bCs/>
          <w:color w:val="2A7A65"/>
          <w:sz w:val="30"/>
          <w:szCs w:val="30"/>
        </w:rPr>
        <w:t xml:space="preserve">9.2 Logistique et Distribution</w:t>
      </w:r>
      <w:bookmarkEnd w:id="100042"/>
    </w:p>
    <w:p>
      <w:pPr>
        <w:spacing w:after="120" w:line="312"/>
        <w:ind w:firstLine="480"/>
        <w:jc w:val="both"/>
      </w:pPr>
      <w:r>
        <w:rPr>
          <w:rFonts w:ascii="Calibri" w:cs="Calibri" w:eastAsia="Calibri" w:hAnsi="Calibri"/>
          <w:color w:val="000000"/>
          <w:sz w:val="22"/>
          <w:szCs w:val="22"/>
        </w:rPr>
        <w:t xml:space="preserve">La logistique de Biodynamie est concue pour assurer la disponibilite du produit sur l'ensemble du territoire ivoirien tout en preservant la qualite du produit (stockage a temperature ambiante, protection contre la lumiere directe). L'entrepot principal est situe a Abidjan, avec deux entrepots secondaires a Yamoussoukro et San Pedro pour couvrir respectivement le centre et l'ouest du pays.</w:t>
      </w:r>
    </w:p>
    <w:p>
      <w:pPr>
        <w:spacing w:after="120" w:line="312"/>
        <w:ind w:firstLine="480"/>
        <w:jc w:val="both"/>
      </w:pPr>
      <w:r>
        <w:rPr>
          <w:rFonts w:ascii="Calibri" w:cs="Calibri" w:eastAsia="Calibri" w:hAnsi="Calibri"/>
          <w:color w:val="000000"/>
          <w:sz w:val="22"/>
          <w:szCs w:val="22"/>
        </w:rPr>
        <w:t xml:space="preserve">La livraison aux agro-industriels est assuree par transport routier direct depuis l'entrepot principal, avec des delais de 48 a 72 heures. La livraison aux revendeurs agreees est effectuee par des transporteurs locaux partenaires. La livraison directe aux agriculteurs (via les commandes en ligne) est assuree par les services de messagerie classiques, avec une option de retrait dans les points de vente du Comptoir Agropastoral CI.</w:t>
      </w:r>
    </w:p>
    <w:p>
      <w:pPr>
        <w:pStyle w:val="Heading2"/>
        <w:spacing w:after="150" w:before="300" w:line="312"/>
      </w:pPr>
      <w:bookmarkStart w:id="100043" w:name="_Toc100043"/>
      <w:r>
        <w:rPr>
          <w:rFonts w:ascii="Times New Roman" w:cs="Times New Roman" w:eastAsia="Times New Roman" w:hAnsi="Times New Roman"/>
          <w:b/>
          <w:bCs/>
          <w:color w:val="2A7A65"/>
          <w:sz w:val="30"/>
          <w:szCs w:val="30"/>
        </w:rPr>
        <w:t xml:space="preserve">9.3 Ressources Humaines</w:t>
      </w:r>
      <w:bookmarkEnd w:id="100043"/>
    </w:p>
    <w:p>
      <w:pPr>
        <w:spacing w:after="120" w:line="312"/>
        <w:ind w:firstLine="480"/>
        <w:jc w:val="both"/>
      </w:pPr>
      <w:r>
        <w:rPr>
          <w:rFonts w:ascii="Calibri" w:cs="Calibri" w:eastAsia="Calibri" w:hAnsi="Calibri"/>
          <w:color w:val="000000"/>
          <w:sz w:val="22"/>
          <w:szCs w:val="22"/>
        </w:rPr>
        <w:t xml:space="preserve">L'equipe initiale comprend 15 collaborateurs repartis entre les quatre directions. Le plan de recrutement prevoit une montee en puissance progressive pour atteindre 25 collaborateurs en annee 2 et 35 en annee 3, en fonction de la croissance du chiffre d'affaires. Les competences cles recutees sont : des ingenieurs agronomes pour la R&amp;D et les demonstrations terrain, des commerciaux experimentes dans le secteur agricole, et des techniciens de production formes aux procedes de fabrication biologique.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40%"/>
            <w:shd w:fill="2A7A65" w:val="clear"/>
            <w:vAlign w:val="center"/>
          </w:tcPr>
          <w:p>
            <w:pPr>
              <w:spacing w:after="40" w:before="40"/>
              <w:jc w:val="center"/>
            </w:pPr>
            <w:r>
              <w:rPr>
                <w:rFonts w:ascii="Calibri" w:cs="Calibri" w:eastAsia="Calibri" w:hAnsi="Calibri"/>
                <w:b/>
                <w:bCs/>
                <w:color w:val="FFFFFF"/>
                <w:sz w:val="20"/>
                <w:szCs w:val="20"/>
              </w:rPr>
              <w:t xml:space="preserve">Poste</w:t>
            </w:r>
          </w:p>
        </w:tc>
        <w:tc>
          <w:tcPr>
            <w:tcW w:type="pct" w:w="20%"/>
            <w:shd w:fill="2A7A65" w:val="clear"/>
            <w:vAlign w:val="center"/>
          </w:tcPr>
          <w:p>
            <w:pPr>
              <w:spacing w:after="40" w:before="40"/>
              <w:jc w:val="center"/>
            </w:pPr>
            <w:r>
              <w:rPr>
                <w:rFonts w:ascii="Calibri" w:cs="Calibri" w:eastAsia="Calibri" w:hAnsi="Calibri"/>
                <w:b/>
                <w:bCs/>
                <w:color w:val="FFFFFF"/>
                <w:sz w:val="20"/>
                <w:szCs w:val="20"/>
              </w:rPr>
              <w:t xml:space="preserve">Annee 1</w:t>
            </w:r>
          </w:p>
        </w:tc>
        <w:tc>
          <w:tcPr>
            <w:tcW w:type="pct" w:w="20%"/>
            <w:shd w:fill="2A7A65" w:val="clear"/>
            <w:vAlign w:val="center"/>
          </w:tcPr>
          <w:p>
            <w:pPr>
              <w:spacing w:after="40" w:before="40"/>
              <w:jc w:val="center"/>
            </w:pPr>
            <w:r>
              <w:rPr>
                <w:rFonts w:ascii="Calibri" w:cs="Calibri" w:eastAsia="Calibri" w:hAnsi="Calibri"/>
                <w:b/>
                <w:bCs/>
                <w:color w:val="FFFFFF"/>
                <w:sz w:val="20"/>
                <w:szCs w:val="20"/>
              </w:rPr>
              <w:t xml:space="preserve">Annee 2</w:t>
            </w:r>
          </w:p>
        </w:tc>
        <w:tc>
          <w:tcPr>
            <w:tcW w:type="pct" w:w="20%"/>
            <w:shd w:fill="2A7A65" w:val="clear"/>
            <w:vAlign w:val="center"/>
          </w:tcPr>
          <w:p>
            <w:pPr>
              <w:spacing w:after="40" w:before="40"/>
              <w:jc w:val="center"/>
            </w:pPr>
            <w:r>
              <w:rPr>
                <w:rFonts w:ascii="Calibri" w:cs="Calibri" w:eastAsia="Calibri" w:hAnsi="Calibri"/>
                <w:b/>
                <w:bCs/>
                <w:color w:val="FFFFFF"/>
                <w:sz w:val="20"/>
                <w:szCs w:val="20"/>
              </w:rPr>
              <w:t xml:space="preserve">Annee 3</w:t>
            </w:r>
          </w:p>
        </w:tc>
      </w:tr>
      <w:tr>
        <w:tc>
          <w:tcPr>
            <w:tcW w:type="pct" w:w="40%"/>
            <w:vAlign w:val="center"/>
          </w:tcPr>
          <w:p>
            <w:pPr>
              <w:spacing w:after="30" w:before="30"/>
              <w:jc w:val="left"/>
            </w:pPr>
            <w:r>
              <w:rPr>
                <w:rFonts w:ascii="Calibri" w:cs="Calibri" w:eastAsia="Calibri" w:hAnsi="Calibri"/>
                <w:color w:val="000000"/>
                <w:sz w:val="20"/>
                <w:szCs w:val="20"/>
              </w:rPr>
              <w:t xml:space="preserve">Direction et management</w:t>
            </w:r>
          </w:p>
        </w:tc>
        <w:tc>
          <w:tcPr>
            <w:tcW w:type="pct" w:w="20%"/>
            <w:vAlign w:val="center"/>
          </w:tcPr>
          <w:p>
            <w:pPr>
              <w:spacing w:after="30" w:before="30"/>
              <w:jc w:val="left"/>
            </w:pPr>
            <w:r>
              <w:rPr>
                <w:rFonts w:ascii="Calibri" w:cs="Calibri" w:eastAsia="Calibri" w:hAnsi="Calibri"/>
                <w:color w:val="000000"/>
                <w:sz w:val="20"/>
                <w:szCs w:val="20"/>
              </w:rPr>
              <w:t xml:space="preserve">2</w:t>
            </w:r>
          </w:p>
        </w:tc>
        <w:tc>
          <w:tcPr>
            <w:tcW w:type="pct" w:w="20%"/>
            <w:vAlign w:val="center"/>
          </w:tcPr>
          <w:p>
            <w:pPr>
              <w:spacing w:after="30" w:before="30"/>
              <w:jc w:val="left"/>
            </w:pPr>
            <w:r>
              <w:rPr>
                <w:rFonts w:ascii="Calibri" w:cs="Calibri" w:eastAsia="Calibri" w:hAnsi="Calibri"/>
                <w:color w:val="000000"/>
                <w:sz w:val="20"/>
                <w:szCs w:val="20"/>
              </w:rPr>
              <w:t xml:space="preserve">3</w:t>
            </w:r>
          </w:p>
        </w:tc>
        <w:tc>
          <w:tcPr>
            <w:tcW w:type="pct" w:w="20%"/>
            <w:vAlign w:val="center"/>
          </w:tcPr>
          <w:p>
            <w:pPr>
              <w:spacing w:after="30" w:before="30"/>
              <w:jc w:val="left"/>
            </w:pPr>
            <w:r>
              <w:rPr>
                <w:rFonts w:ascii="Calibri" w:cs="Calibri" w:eastAsia="Calibri" w:hAnsi="Calibri"/>
                <w:color w:val="000000"/>
                <w:sz w:val="20"/>
                <w:szCs w:val="20"/>
              </w:rPr>
              <w:t xml:space="preserve">4</w:t>
            </w:r>
          </w:p>
        </w:tc>
      </w:tr>
      <w:tr>
        <w:tc>
          <w:tcPr>
            <w:tcW w:type="pct" w:w="40%"/>
            <w:shd w:fill="EDF5F2" w:val="clear"/>
            <w:vAlign w:val="center"/>
          </w:tcPr>
          <w:p>
            <w:pPr>
              <w:spacing w:after="30" w:before="30"/>
              <w:jc w:val="left"/>
            </w:pPr>
            <w:r>
              <w:rPr>
                <w:rFonts w:ascii="Calibri" w:cs="Calibri" w:eastAsia="Calibri" w:hAnsi="Calibri"/>
                <w:color w:val="000000"/>
                <w:sz w:val="20"/>
                <w:szCs w:val="20"/>
              </w:rPr>
              <w:t xml:space="preserve">R&amp;D et qualite</w:t>
            </w:r>
          </w:p>
        </w:tc>
        <w:tc>
          <w:tcPr>
            <w:tcW w:type="pct" w:w="20%"/>
            <w:shd w:fill="EDF5F2" w:val="clear"/>
            <w:vAlign w:val="center"/>
          </w:tcPr>
          <w:p>
            <w:pPr>
              <w:spacing w:after="30" w:before="30"/>
              <w:jc w:val="left"/>
            </w:pPr>
            <w:r>
              <w:rPr>
                <w:rFonts w:ascii="Calibri" w:cs="Calibri" w:eastAsia="Calibri" w:hAnsi="Calibri"/>
                <w:color w:val="000000"/>
                <w:sz w:val="20"/>
                <w:szCs w:val="20"/>
              </w:rPr>
              <w:t xml:space="preserve">3</w:t>
            </w:r>
          </w:p>
        </w:tc>
        <w:tc>
          <w:tcPr>
            <w:tcW w:type="pct" w:w="20%"/>
            <w:shd w:fill="EDF5F2" w:val="clear"/>
            <w:vAlign w:val="center"/>
          </w:tcPr>
          <w:p>
            <w:pPr>
              <w:spacing w:after="30" w:before="30"/>
              <w:jc w:val="left"/>
            </w:pPr>
            <w:r>
              <w:rPr>
                <w:rFonts w:ascii="Calibri" w:cs="Calibri" w:eastAsia="Calibri" w:hAnsi="Calibri"/>
                <w:color w:val="000000"/>
                <w:sz w:val="20"/>
                <w:szCs w:val="20"/>
              </w:rPr>
              <w:t xml:space="preserve">5</w:t>
            </w:r>
          </w:p>
        </w:tc>
        <w:tc>
          <w:tcPr>
            <w:tcW w:type="pct" w:w="20%"/>
            <w:shd w:fill="EDF5F2" w:val="clear"/>
            <w:vAlign w:val="center"/>
          </w:tcPr>
          <w:p>
            <w:pPr>
              <w:spacing w:after="30" w:before="30"/>
              <w:jc w:val="left"/>
            </w:pPr>
            <w:r>
              <w:rPr>
                <w:rFonts w:ascii="Calibri" w:cs="Calibri" w:eastAsia="Calibri" w:hAnsi="Calibri"/>
                <w:color w:val="000000"/>
                <w:sz w:val="20"/>
                <w:szCs w:val="20"/>
              </w:rPr>
              <w:t xml:space="preserve">7</w:t>
            </w:r>
          </w:p>
        </w:tc>
      </w:tr>
      <w:tr>
        <w:tc>
          <w:tcPr>
            <w:tcW w:type="pct" w:w="40%"/>
            <w:vAlign w:val="center"/>
          </w:tcPr>
          <w:p>
            <w:pPr>
              <w:spacing w:after="30" w:before="30"/>
              <w:jc w:val="left"/>
            </w:pPr>
            <w:r>
              <w:rPr>
                <w:rFonts w:ascii="Calibri" w:cs="Calibri" w:eastAsia="Calibri" w:hAnsi="Calibri"/>
                <w:color w:val="000000"/>
                <w:sz w:val="20"/>
                <w:szCs w:val="20"/>
              </w:rPr>
              <w:t xml:space="preserve">Commercial et marketing</w:t>
            </w:r>
          </w:p>
        </w:tc>
        <w:tc>
          <w:tcPr>
            <w:tcW w:type="pct" w:w="20%"/>
            <w:vAlign w:val="center"/>
          </w:tcPr>
          <w:p>
            <w:pPr>
              <w:spacing w:after="30" w:before="30"/>
              <w:jc w:val="left"/>
            </w:pPr>
            <w:r>
              <w:rPr>
                <w:rFonts w:ascii="Calibri" w:cs="Calibri" w:eastAsia="Calibri" w:hAnsi="Calibri"/>
                <w:color w:val="000000"/>
                <w:sz w:val="20"/>
                <w:szCs w:val="20"/>
              </w:rPr>
              <w:t xml:space="preserve">5</w:t>
            </w:r>
          </w:p>
        </w:tc>
        <w:tc>
          <w:tcPr>
            <w:tcW w:type="pct" w:w="20%"/>
            <w:vAlign w:val="center"/>
          </w:tcPr>
          <w:p>
            <w:pPr>
              <w:spacing w:after="30" w:before="30"/>
              <w:jc w:val="left"/>
            </w:pPr>
            <w:r>
              <w:rPr>
                <w:rFonts w:ascii="Calibri" w:cs="Calibri" w:eastAsia="Calibri" w:hAnsi="Calibri"/>
                <w:color w:val="000000"/>
                <w:sz w:val="20"/>
                <w:szCs w:val="20"/>
              </w:rPr>
              <w:t xml:space="preserve">9</w:t>
            </w:r>
          </w:p>
        </w:tc>
        <w:tc>
          <w:tcPr>
            <w:tcW w:type="pct" w:w="20%"/>
            <w:vAlign w:val="center"/>
          </w:tcPr>
          <w:p>
            <w:pPr>
              <w:spacing w:after="30" w:before="30"/>
              <w:jc w:val="left"/>
            </w:pPr>
            <w:r>
              <w:rPr>
                <w:rFonts w:ascii="Calibri" w:cs="Calibri" w:eastAsia="Calibri" w:hAnsi="Calibri"/>
                <w:color w:val="000000"/>
                <w:sz w:val="20"/>
                <w:szCs w:val="20"/>
              </w:rPr>
              <w:t xml:space="preserve">13</w:t>
            </w:r>
          </w:p>
        </w:tc>
      </w:tr>
      <w:tr>
        <w:tc>
          <w:tcPr>
            <w:tcW w:type="pct" w:w="40%"/>
            <w:shd w:fill="EDF5F2" w:val="clear"/>
            <w:vAlign w:val="center"/>
          </w:tcPr>
          <w:p>
            <w:pPr>
              <w:spacing w:after="30" w:before="30"/>
              <w:jc w:val="left"/>
            </w:pPr>
            <w:r>
              <w:rPr>
                <w:rFonts w:ascii="Calibri" w:cs="Calibri" w:eastAsia="Calibri" w:hAnsi="Calibri"/>
                <w:color w:val="000000"/>
                <w:sz w:val="20"/>
                <w:szCs w:val="20"/>
              </w:rPr>
              <w:t xml:space="preserve">Production</w:t>
            </w:r>
          </w:p>
        </w:tc>
        <w:tc>
          <w:tcPr>
            <w:tcW w:type="pct" w:w="20%"/>
            <w:shd w:fill="EDF5F2" w:val="clear"/>
            <w:vAlign w:val="center"/>
          </w:tcPr>
          <w:p>
            <w:pPr>
              <w:spacing w:after="30" w:before="30"/>
              <w:jc w:val="left"/>
            </w:pPr>
            <w:r>
              <w:rPr>
                <w:rFonts w:ascii="Calibri" w:cs="Calibri" w:eastAsia="Calibri" w:hAnsi="Calibri"/>
                <w:color w:val="000000"/>
                <w:sz w:val="20"/>
                <w:szCs w:val="20"/>
              </w:rPr>
              <w:t xml:space="preserve">4</w:t>
            </w:r>
          </w:p>
        </w:tc>
        <w:tc>
          <w:tcPr>
            <w:tcW w:type="pct" w:w="20%"/>
            <w:shd w:fill="EDF5F2" w:val="clear"/>
            <w:vAlign w:val="center"/>
          </w:tcPr>
          <w:p>
            <w:pPr>
              <w:spacing w:after="30" w:before="30"/>
              <w:jc w:val="left"/>
            </w:pPr>
            <w:r>
              <w:rPr>
                <w:rFonts w:ascii="Calibri" w:cs="Calibri" w:eastAsia="Calibri" w:hAnsi="Calibri"/>
                <w:color w:val="000000"/>
                <w:sz w:val="20"/>
                <w:szCs w:val="20"/>
              </w:rPr>
              <w:t xml:space="preserve">6</w:t>
            </w:r>
          </w:p>
        </w:tc>
        <w:tc>
          <w:tcPr>
            <w:tcW w:type="pct" w:w="20%"/>
            <w:shd w:fill="EDF5F2" w:val="clear"/>
            <w:vAlign w:val="center"/>
          </w:tcPr>
          <w:p>
            <w:pPr>
              <w:spacing w:after="30" w:before="30"/>
              <w:jc w:val="left"/>
            </w:pPr>
            <w:r>
              <w:rPr>
                <w:rFonts w:ascii="Calibri" w:cs="Calibri" w:eastAsia="Calibri" w:hAnsi="Calibri"/>
                <w:color w:val="000000"/>
                <w:sz w:val="20"/>
                <w:szCs w:val="20"/>
              </w:rPr>
              <w:t xml:space="preserve">8</w:t>
            </w:r>
          </w:p>
        </w:tc>
      </w:tr>
      <w:tr>
        <w:tc>
          <w:tcPr>
            <w:tcW w:type="pct" w:w="40%"/>
            <w:vAlign w:val="center"/>
          </w:tcPr>
          <w:p>
            <w:pPr>
              <w:spacing w:after="30" w:before="30"/>
              <w:jc w:val="left"/>
            </w:pPr>
            <w:r>
              <w:rPr>
                <w:rFonts w:ascii="Calibri" w:cs="Calibri" w:eastAsia="Calibri" w:hAnsi="Calibri"/>
                <w:color w:val="000000"/>
                <w:sz w:val="20"/>
                <w:szCs w:val="20"/>
              </w:rPr>
              <w:t xml:space="preserve">Administration et finance</w:t>
            </w:r>
          </w:p>
        </w:tc>
        <w:tc>
          <w:tcPr>
            <w:tcW w:type="pct" w:w="20%"/>
            <w:vAlign w:val="center"/>
          </w:tcPr>
          <w:p>
            <w:pPr>
              <w:spacing w:after="30" w:before="30"/>
              <w:jc w:val="left"/>
            </w:pPr>
            <w:r>
              <w:rPr>
                <w:rFonts w:ascii="Calibri" w:cs="Calibri" w:eastAsia="Calibri" w:hAnsi="Calibri"/>
                <w:color w:val="000000"/>
                <w:sz w:val="20"/>
                <w:szCs w:val="20"/>
              </w:rPr>
              <w:t xml:space="preserve">2</w:t>
            </w:r>
          </w:p>
        </w:tc>
        <w:tc>
          <w:tcPr>
            <w:tcW w:type="pct" w:w="20%"/>
            <w:vAlign w:val="center"/>
          </w:tcPr>
          <w:p>
            <w:pPr>
              <w:spacing w:after="30" w:before="30"/>
              <w:jc w:val="left"/>
            </w:pPr>
            <w:r>
              <w:rPr>
                <w:rFonts w:ascii="Calibri" w:cs="Calibri" w:eastAsia="Calibri" w:hAnsi="Calibri"/>
                <w:color w:val="000000"/>
                <w:sz w:val="20"/>
                <w:szCs w:val="20"/>
              </w:rPr>
              <w:t xml:space="preserve">2</w:t>
            </w:r>
          </w:p>
        </w:tc>
        <w:tc>
          <w:tcPr>
            <w:tcW w:type="pct" w:w="20%"/>
            <w:vAlign w:val="center"/>
          </w:tcPr>
          <w:p>
            <w:pPr>
              <w:spacing w:after="30" w:before="30"/>
              <w:jc w:val="left"/>
            </w:pPr>
            <w:r>
              <w:rPr>
                <w:rFonts w:ascii="Calibri" w:cs="Calibri" w:eastAsia="Calibri" w:hAnsi="Calibri"/>
                <w:color w:val="000000"/>
                <w:sz w:val="20"/>
                <w:szCs w:val="20"/>
              </w:rPr>
              <w:t xml:space="preserve">3</w:t>
            </w:r>
          </w:p>
        </w:tc>
      </w:tr>
      <w:tr>
        <w:tc>
          <w:tcPr>
            <w:tcW w:type="pct" w:w="40%"/>
            <w:shd w:fill="EDF5F2" w:val="clear"/>
            <w:vAlign w:val="center"/>
          </w:tcPr>
          <w:p>
            <w:pPr>
              <w:spacing w:after="30" w:before="30"/>
              <w:jc w:val="left"/>
            </w:pPr>
            <w:r>
              <w:rPr>
                <w:rFonts w:ascii="Calibri" w:cs="Calibri" w:eastAsia="Calibri" w:hAnsi="Calibri"/>
                <w:color w:val="000000"/>
                <w:sz w:val="20"/>
                <w:szCs w:val="20"/>
              </w:rPr>
              <w:t xml:space="preserve">Total</w:t>
            </w:r>
          </w:p>
        </w:tc>
        <w:tc>
          <w:tcPr>
            <w:tcW w:type="pct" w:w="20%"/>
            <w:shd w:fill="EDF5F2" w:val="clear"/>
            <w:vAlign w:val="center"/>
          </w:tcPr>
          <w:p>
            <w:pPr>
              <w:spacing w:after="30" w:before="30"/>
              <w:jc w:val="left"/>
            </w:pPr>
            <w:r>
              <w:rPr>
                <w:rFonts w:ascii="Calibri" w:cs="Calibri" w:eastAsia="Calibri" w:hAnsi="Calibri"/>
                <w:color w:val="000000"/>
                <w:sz w:val="20"/>
                <w:szCs w:val="20"/>
              </w:rPr>
              <w:t xml:space="preserve">15</w:t>
            </w:r>
          </w:p>
        </w:tc>
        <w:tc>
          <w:tcPr>
            <w:tcW w:type="pct" w:w="20%"/>
            <w:shd w:fill="EDF5F2" w:val="clear"/>
            <w:vAlign w:val="center"/>
          </w:tcPr>
          <w:p>
            <w:pPr>
              <w:spacing w:after="30" w:before="30"/>
              <w:jc w:val="left"/>
            </w:pPr>
            <w:r>
              <w:rPr>
                <w:rFonts w:ascii="Calibri" w:cs="Calibri" w:eastAsia="Calibri" w:hAnsi="Calibri"/>
                <w:color w:val="000000"/>
                <w:sz w:val="20"/>
                <w:szCs w:val="20"/>
              </w:rPr>
              <w:t xml:space="preserve">25</w:t>
            </w:r>
          </w:p>
        </w:tc>
        <w:tc>
          <w:tcPr>
            <w:tcW w:type="pct" w:w="20%"/>
            <w:shd w:fill="EDF5F2" w:val="clear"/>
            <w:vAlign w:val="center"/>
          </w:tcPr>
          <w:p>
            <w:pPr>
              <w:spacing w:after="30" w:before="30"/>
              <w:jc w:val="left"/>
            </w:pPr>
            <w:r>
              <w:rPr>
                <w:rFonts w:ascii="Calibri" w:cs="Calibri" w:eastAsia="Calibri" w:hAnsi="Calibri"/>
                <w:color w:val="000000"/>
                <w:sz w:val="20"/>
                <w:szCs w:val="20"/>
              </w:rPr>
              <w:t xml:space="preserve">35</w:t>
            </w:r>
          </w:p>
        </w:tc>
      </w:tr>
    </w:tbl>
    <w:p>
      <w:pPr>
        <w:pStyle w:val="Heading2"/>
        <w:spacing w:after="150" w:before="300" w:line="312"/>
      </w:pPr>
      <w:bookmarkStart w:id="100044" w:name="_Toc100044"/>
      <w:r>
        <w:rPr>
          <w:rFonts w:ascii="Times New Roman" w:cs="Times New Roman" w:eastAsia="Times New Roman" w:hAnsi="Times New Roman"/>
          <w:b/>
          <w:bCs/>
          <w:color w:val="2A7A65"/>
          <w:sz w:val="30"/>
          <w:szCs w:val="30"/>
        </w:rPr>
        <w:t xml:space="preserve">9.4 Calendrier Operationnel</w:t>
      </w:r>
      <w:bookmarkEnd w:id="10004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15%"/>
            <w:shd w:fill="2A7A65" w:val="clear"/>
            <w:vAlign w:val="center"/>
          </w:tcPr>
          <w:p>
            <w:pPr>
              <w:spacing w:after="40" w:before="40"/>
              <w:jc w:val="center"/>
            </w:pPr>
            <w:r>
              <w:rPr>
                <w:rFonts w:ascii="Calibri" w:cs="Calibri" w:eastAsia="Calibri" w:hAnsi="Calibri"/>
                <w:b/>
                <w:bCs/>
                <w:color w:val="FFFFFF"/>
                <w:sz w:val="20"/>
                <w:szCs w:val="20"/>
              </w:rPr>
              <w:t xml:space="preserve">Periode</w:t>
            </w:r>
          </w:p>
        </w:tc>
        <w:tc>
          <w:tcPr>
            <w:tcW w:type="pct" w:w="45%"/>
            <w:shd w:fill="2A7A65" w:val="clear"/>
            <w:vAlign w:val="center"/>
          </w:tcPr>
          <w:p>
            <w:pPr>
              <w:spacing w:after="40" w:before="40"/>
              <w:jc w:val="center"/>
            </w:pPr>
            <w:r>
              <w:rPr>
                <w:rFonts w:ascii="Calibri" w:cs="Calibri" w:eastAsia="Calibri" w:hAnsi="Calibri"/>
                <w:b/>
                <w:bCs/>
                <w:color w:val="FFFFFF"/>
                <w:sz w:val="20"/>
                <w:szCs w:val="20"/>
              </w:rPr>
              <w:t xml:space="preserve">Activites cles</w:t>
            </w:r>
          </w:p>
        </w:tc>
        <w:tc>
          <w:tcPr>
            <w:tcW w:type="pct" w:w="40%"/>
            <w:shd w:fill="2A7A65" w:val="clear"/>
            <w:vAlign w:val="center"/>
          </w:tcPr>
          <w:p>
            <w:pPr>
              <w:spacing w:after="40" w:before="40"/>
              <w:jc w:val="center"/>
            </w:pPr>
            <w:r>
              <w:rPr>
                <w:rFonts w:ascii="Calibri" w:cs="Calibri" w:eastAsia="Calibri" w:hAnsi="Calibri"/>
                <w:b/>
                <w:bCs/>
                <w:color w:val="FFFFFF"/>
                <w:sz w:val="20"/>
                <w:szCs w:val="20"/>
              </w:rPr>
              <w:t xml:space="preserve">Jalons</w:t>
            </w:r>
          </w:p>
        </w:tc>
      </w:tr>
      <w:tr>
        <w:tc>
          <w:tcPr>
            <w:tcW w:type="pct" w:w="15%"/>
            <w:vAlign w:val="center"/>
          </w:tcPr>
          <w:p>
            <w:pPr>
              <w:spacing w:after="30" w:before="30"/>
              <w:jc w:val="left"/>
            </w:pPr>
            <w:r>
              <w:rPr>
                <w:rFonts w:ascii="Calibri" w:cs="Calibri" w:eastAsia="Calibri" w:hAnsi="Calibri"/>
                <w:color w:val="000000"/>
                <w:sz w:val="20"/>
                <w:szCs w:val="20"/>
              </w:rPr>
              <w:t xml:space="preserve">Oct - Nov 2025</w:t>
            </w:r>
          </w:p>
        </w:tc>
        <w:tc>
          <w:tcPr>
            <w:tcW w:type="pct" w:w="45%"/>
            <w:vAlign w:val="center"/>
          </w:tcPr>
          <w:p>
            <w:pPr>
              <w:spacing w:after="30" w:before="30"/>
              <w:jc w:val="left"/>
            </w:pPr>
            <w:r>
              <w:rPr>
                <w:rFonts w:ascii="Calibri" w:cs="Calibri" w:eastAsia="Calibri" w:hAnsi="Calibri"/>
                <w:color w:val="000000"/>
                <w:sz w:val="20"/>
                <w:szCs w:val="20"/>
              </w:rPr>
              <w:t xml:space="preserve">Pre-lancement : production stock initial, formations equipes, campagne teasing</w:t>
            </w:r>
          </w:p>
        </w:tc>
        <w:tc>
          <w:tcPr>
            <w:tcW w:type="pct" w:w="40%"/>
            <w:vAlign w:val="center"/>
          </w:tcPr>
          <w:p>
            <w:pPr>
              <w:spacing w:after="30" w:before="30"/>
              <w:jc w:val="left"/>
            </w:pPr>
            <w:r>
              <w:rPr>
                <w:rFonts w:ascii="Calibri" w:cs="Calibri" w:eastAsia="Calibri" w:hAnsi="Calibri"/>
                <w:color w:val="000000"/>
                <w:sz w:val="20"/>
                <w:szCs w:val="20"/>
              </w:rPr>
              <w:t xml:space="preserve">Stock initial de 10T pret</w:t>
            </w:r>
          </w:p>
        </w:tc>
      </w:tr>
      <w:tr>
        <w:tc>
          <w:tcPr>
            <w:tcW w:type="pct" w:w="15%"/>
            <w:shd w:fill="EDF5F2" w:val="clear"/>
            <w:vAlign w:val="center"/>
          </w:tcPr>
          <w:p>
            <w:pPr>
              <w:spacing w:after="30" w:before="30"/>
              <w:jc w:val="left"/>
            </w:pPr>
            <w:r>
              <w:rPr>
                <w:rFonts w:ascii="Calibri" w:cs="Calibri" w:eastAsia="Calibri" w:hAnsi="Calibri"/>
                <w:color w:val="000000"/>
                <w:sz w:val="20"/>
                <w:szCs w:val="20"/>
              </w:rPr>
              <w:t xml:space="preserve">Dec 2025</w:t>
            </w:r>
          </w:p>
        </w:tc>
        <w:tc>
          <w:tcPr>
            <w:tcW w:type="pct" w:w="45%"/>
            <w:shd w:fill="EDF5F2" w:val="clear"/>
            <w:vAlign w:val="center"/>
          </w:tcPr>
          <w:p>
            <w:pPr>
              <w:spacing w:after="30" w:before="30"/>
              <w:jc w:val="left"/>
            </w:pPr>
            <w:r>
              <w:rPr>
                <w:rFonts w:ascii="Calibri" w:cs="Calibri" w:eastAsia="Calibri" w:hAnsi="Calibri"/>
                <w:color w:val="000000"/>
                <w:sz w:val="20"/>
                <w:szCs w:val="20"/>
              </w:rPr>
              <w:t xml:space="preserve">Lancement officiel (10 dec.), demarrage commercial, evenement Abidjan</w:t>
            </w:r>
          </w:p>
        </w:tc>
        <w:tc>
          <w:tcPr>
            <w:tcW w:type="pct" w:w="40%"/>
            <w:shd w:fill="EDF5F2" w:val="clear"/>
            <w:vAlign w:val="center"/>
          </w:tcPr>
          <w:p>
            <w:pPr>
              <w:spacing w:after="30" w:before="30"/>
              <w:jc w:val="left"/>
            </w:pPr>
            <w:r>
              <w:rPr>
                <w:rFonts w:ascii="Calibri" w:cs="Calibri" w:eastAsia="Calibri" w:hAnsi="Calibri"/>
                <w:color w:val="000000"/>
                <w:sz w:val="20"/>
                <w:szCs w:val="20"/>
              </w:rPr>
              <w:t xml:space="preserve">Lancement reussi, 200 agriculteurs touches</w:t>
            </w:r>
          </w:p>
        </w:tc>
      </w:tr>
      <w:tr>
        <w:tc>
          <w:tcPr>
            <w:tcW w:type="pct" w:w="15%"/>
            <w:vAlign w:val="center"/>
          </w:tcPr>
          <w:p>
            <w:pPr>
              <w:spacing w:after="30" w:before="30"/>
              <w:jc w:val="left"/>
            </w:pPr>
            <w:r>
              <w:rPr>
                <w:rFonts w:ascii="Calibri" w:cs="Calibri" w:eastAsia="Calibri" w:hAnsi="Calibri"/>
                <w:color w:val="000000"/>
                <w:sz w:val="20"/>
                <w:szCs w:val="20"/>
              </w:rPr>
              <w:t xml:space="preserve">Jan - Mar 2026</w:t>
            </w:r>
          </w:p>
        </w:tc>
        <w:tc>
          <w:tcPr>
            <w:tcW w:type="pct" w:w="45%"/>
            <w:vAlign w:val="center"/>
          </w:tcPr>
          <w:p>
            <w:pPr>
              <w:spacing w:after="30" w:before="30"/>
              <w:jc w:val="left"/>
            </w:pPr>
            <w:r>
              <w:rPr>
                <w:rFonts w:ascii="Calibri" w:cs="Calibri" w:eastAsia="Calibri" w:hAnsi="Calibri"/>
                <w:color w:val="000000"/>
                <w:sz w:val="20"/>
                <w:szCs w:val="20"/>
              </w:rPr>
              <w:t xml:space="preserve">Phase de deploiement : demonstrations terrain, formations, partenariats</w:t>
            </w:r>
          </w:p>
        </w:tc>
        <w:tc>
          <w:tcPr>
            <w:tcW w:type="pct" w:w="40%"/>
            <w:vAlign w:val="center"/>
          </w:tcPr>
          <w:p>
            <w:pPr>
              <w:spacing w:after="30" w:before="30"/>
              <w:jc w:val="left"/>
            </w:pPr>
            <w:r>
              <w:rPr>
                <w:rFonts w:ascii="Calibri" w:cs="Calibri" w:eastAsia="Calibri" w:hAnsi="Calibri"/>
                <w:color w:val="000000"/>
                <w:sz w:val="20"/>
                <w:szCs w:val="20"/>
              </w:rPr>
              <w:t xml:space="preserve">29T vendues, 500 agriculteurs formes</w:t>
            </w:r>
          </w:p>
        </w:tc>
      </w:tr>
      <w:tr>
        <w:tc>
          <w:tcPr>
            <w:tcW w:type="pct" w:w="15%"/>
            <w:shd w:fill="EDF5F2" w:val="clear"/>
            <w:vAlign w:val="center"/>
          </w:tcPr>
          <w:p>
            <w:pPr>
              <w:spacing w:after="30" w:before="30"/>
              <w:jc w:val="left"/>
            </w:pPr>
            <w:r>
              <w:rPr>
                <w:rFonts w:ascii="Calibri" w:cs="Calibri" w:eastAsia="Calibri" w:hAnsi="Calibri"/>
                <w:color w:val="000000"/>
                <w:sz w:val="20"/>
                <w:szCs w:val="20"/>
              </w:rPr>
              <w:t xml:space="preserve">Avr - Jun 2026</w:t>
            </w:r>
          </w:p>
        </w:tc>
        <w:tc>
          <w:tcPr>
            <w:tcW w:type="pct" w:w="45%"/>
            <w:shd w:fill="EDF5F2" w:val="clear"/>
            <w:vAlign w:val="center"/>
          </w:tcPr>
          <w:p>
            <w:pPr>
              <w:spacing w:after="30" w:before="30"/>
              <w:jc w:val="left"/>
            </w:pPr>
            <w:r>
              <w:rPr>
                <w:rFonts w:ascii="Calibri" w:cs="Calibri" w:eastAsia="Calibri" w:hAnsi="Calibri"/>
                <w:color w:val="000000"/>
                <w:sz w:val="20"/>
                <w:szCs w:val="20"/>
              </w:rPr>
              <w:t xml:space="preserve">Consolidation : analyse des resultats, ajustements, preparation phase 2</w:t>
            </w:r>
          </w:p>
        </w:tc>
        <w:tc>
          <w:tcPr>
            <w:tcW w:type="pct" w:w="40%"/>
            <w:shd w:fill="EDF5F2" w:val="clear"/>
            <w:vAlign w:val="center"/>
          </w:tcPr>
          <w:p>
            <w:pPr>
              <w:spacing w:after="30" w:before="30"/>
              <w:jc w:val="left"/>
            </w:pPr>
            <w:r>
              <w:rPr>
                <w:rFonts w:ascii="Calibri" w:cs="Calibri" w:eastAsia="Calibri" w:hAnsi="Calibri"/>
                <w:color w:val="000000"/>
                <w:sz w:val="20"/>
                <w:szCs w:val="20"/>
              </w:rPr>
              <w:t xml:space="preserve">Premiers temoignages documentes</w:t>
            </w:r>
          </w:p>
        </w:tc>
      </w:tr>
      <w:tr>
        <w:tc>
          <w:tcPr>
            <w:tcW w:type="pct" w:w="15%"/>
            <w:vAlign w:val="center"/>
          </w:tcPr>
          <w:p>
            <w:pPr>
              <w:spacing w:after="30" w:before="30"/>
              <w:jc w:val="left"/>
            </w:pPr>
            <w:r>
              <w:rPr>
                <w:rFonts w:ascii="Calibri" w:cs="Calibri" w:eastAsia="Calibri" w:hAnsi="Calibri"/>
                <w:color w:val="000000"/>
                <w:sz w:val="20"/>
                <w:szCs w:val="20"/>
              </w:rPr>
              <w:t xml:space="preserve">Jul - Dec 2026</w:t>
            </w:r>
          </w:p>
        </w:tc>
        <w:tc>
          <w:tcPr>
            <w:tcW w:type="pct" w:w="45%"/>
            <w:vAlign w:val="center"/>
          </w:tcPr>
          <w:p>
            <w:pPr>
              <w:spacing w:after="30" w:before="30"/>
              <w:jc w:val="left"/>
            </w:pPr>
            <w:r>
              <w:rPr>
                <w:rFonts w:ascii="Calibri" w:cs="Calibri" w:eastAsia="Calibri" w:hAnsi="Calibri"/>
                <w:color w:val="000000"/>
                <w:sz w:val="20"/>
                <w:szCs w:val="20"/>
              </w:rPr>
              <w:t xml:space="preserve">Phase de croissance : extension territoriale, hausse production</w:t>
            </w:r>
          </w:p>
        </w:tc>
        <w:tc>
          <w:tcPr>
            <w:tcW w:type="pct" w:w="40%"/>
            <w:vAlign w:val="center"/>
          </w:tcPr>
          <w:p>
            <w:pPr>
              <w:spacing w:after="30" w:before="30"/>
              <w:jc w:val="left"/>
            </w:pPr>
            <w:r>
              <w:rPr>
                <w:rFonts w:ascii="Calibri" w:cs="Calibri" w:eastAsia="Calibri" w:hAnsi="Calibri"/>
                <w:color w:val="000000"/>
                <w:sz w:val="20"/>
                <w:szCs w:val="20"/>
              </w:rPr>
              <w:t xml:space="preserve">50T supplementaires vendues</w:t>
            </w:r>
          </w:p>
        </w:tc>
      </w:tr>
      <w:tr>
        <w:tc>
          <w:tcPr>
            <w:tcW w:type="pct" w:w="15%"/>
            <w:shd w:fill="EDF5F2" w:val="clear"/>
            <w:vAlign w:val="center"/>
          </w:tcPr>
          <w:p>
            <w:pPr>
              <w:spacing w:after="30" w:before="30"/>
              <w:jc w:val="left"/>
            </w:pPr>
            <w:r>
              <w:rPr>
                <w:rFonts w:ascii="Calibri" w:cs="Calibri" w:eastAsia="Calibri" w:hAnsi="Calibri"/>
                <w:color w:val="000000"/>
                <w:sz w:val="20"/>
                <w:szCs w:val="20"/>
              </w:rPr>
              <w:t xml:space="preserve">2027</w:t>
            </w:r>
          </w:p>
        </w:tc>
        <w:tc>
          <w:tcPr>
            <w:tcW w:type="pct" w:w="45%"/>
            <w:shd w:fill="EDF5F2" w:val="clear"/>
            <w:vAlign w:val="center"/>
          </w:tcPr>
          <w:p>
            <w:pPr>
              <w:spacing w:after="30" w:before="30"/>
              <w:jc w:val="left"/>
            </w:pPr>
            <w:r>
              <w:rPr>
                <w:rFonts w:ascii="Calibri" w:cs="Calibri" w:eastAsia="Calibri" w:hAnsi="Calibri"/>
                <w:color w:val="000000"/>
                <w:sz w:val="20"/>
                <w:szCs w:val="20"/>
              </w:rPr>
              <w:t xml:space="preserve">Expansion : nouveaux formats, export sous-regional, certification bio</w:t>
            </w:r>
          </w:p>
        </w:tc>
        <w:tc>
          <w:tcPr>
            <w:tcW w:type="pct" w:w="40%"/>
            <w:shd w:fill="EDF5F2" w:val="clear"/>
            <w:vAlign w:val="center"/>
          </w:tcPr>
          <w:p>
            <w:pPr>
              <w:spacing w:after="30" w:before="30"/>
              <w:jc w:val="left"/>
            </w:pPr>
            <w:r>
              <w:rPr>
                <w:rFonts w:ascii="Calibri" w:cs="Calibri" w:eastAsia="Calibri" w:hAnsi="Calibri"/>
                <w:color w:val="000000"/>
                <w:sz w:val="20"/>
                <w:szCs w:val="20"/>
              </w:rPr>
              <w:t xml:space="preserve">80T vendues, seuil de rentabilite atteint</w:t>
            </w:r>
          </w:p>
        </w:tc>
      </w:tr>
      <w:tr>
        <w:tc>
          <w:tcPr>
            <w:tcW w:type="pct" w:w="15%"/>
            <w:vAlign w:val="center"/>
          </w:tcPr>
          <w:p>
            <w:pPr>
              <w:spacing w:after="30" w:before="30"/>
              <w:jc w:val="left"/>
            </w:pPr>
            <w:r>
              <w:rPr>
                <w:rFonts w:ascii="Calibri" w:cs="Calibri" w:eastAsia="Calibri" w:hAnsi="Calibri"/>
                <w:color w:val="000000"/>
                <w:sz w:val="20"/>
                <w:szCs w:val="20"/>
              </w:rPr>
              <w:t xml:space="preserve">2028</w:t>
            </w:r>
          </w:p>
        </w:tc>
        <w:tc>
          <w:tcPr>
            <w:tcW w:type="pct" w:w="45%"/>
            <w:vAlign w:val="center"/>
          </w:tcPr>
          <w:p>
            <w:pPr>
              <w:spacing w:after="30" w:before="30"/>
              <w:jc w:val="left"/>
            </w:pPr>
            <w:r>
              <w:rPr>
                <w:rFonts w:ascii="Calibri" w:cs="Calibri" w:eastAsia="Calibri" w:hAnsi="Calibri"/>
                <w:color w:val="000000"/>
                <w:sz w:val="20"/>
                <w:szCs w:val="20"/>
              </w:rPr>
              <w:t xml:space="preserve">Maturite : leadership marche, diversification gamme, R&amp;D nouvelle generation</w:t>
            </w:r>
          </w:p>
        </w:tc>
        <w:tc>
          <w:tcPr>
            <w:tcW w:type="pct" w:w="40%"/>
            <w:vAlign w:val="center"/>
          </w:tcPr>
          <w:p>
            <w:pPr>
              <w:spacing w:after="30" w:before="30"/>
              <w:jc w:val="left"/>
            </w:pPr>
            <w:r>
              <w:rPr>
                <w:rFonts w:ascii="Calibri" w:cs="Calibri" w:eastAsia="Calibri" w:hAnsi="Calibri"/>
                <w:color w:val="000000"/>
                <w:sz w:val="20"/>
                <w:szCs w:val="20"/>
              </w:rPr>
              <w:t xml:space="preserve">150T vendues, rentabilite confirmee</w:t>
            </w:r>
          </w:p>
        </w:tc>
      </w:tr>
    </w:tbl>
    <w:p>
      <w:pPr>
        <w:pStyle w:val="Heading1"/>
        <w:pBdr>
          <w:bottom w:val="single" w:color="2A7A65" w:sz="6"/>
        </w:pBdr>
        <w:spacing w:after="200" w:before="400" w:line="312"/>
      </w:pPr>
      <w:bookmarkStart w:id="100045" w:name="_Toc100045"/>
      <w:r>
        <w:rPr>
          <w:rFonts w:ascii="Times New Roman" w:cs="Times New Roman" w:eastAsia="Times New Roman" w:hAnsi="Times New Roman"/>
          <w:b/>
          <w:bCs/>
          <w:color w:val="2A7A65"/>
          <w:sz w:val="36"/>
          <w:szCs w:val="36"/>
        </w:rPr>
        <w:t xml:space="preserve">10. Plan Financier Previsionnel</w:t>
      </w:r>
      <w:bookmarkEnd w:id="100045"/>
    </w:p>
    <w:p>
      <w:pPr>
        <w:pStyle w:val="Heading2"/>
        <w:spacing w:after="150" w:before="300" w:line="312"/>
      </w:pPr>
      <w:bookmarkStart w:id="100046" w:name="_Toc100046"/>
      <w:r>
        <w:rPr>
          <w:rFonts w:ascii="Times New Roman" w:cs="Times New Roman" w:eastAsia="Times New Roman" w:hAnsi="Times New Roman"/>
          <w:b/>
          <w:bCs/>
          <w:color w:val="2A7A65"/>
          <w:sz w:val="30"/>
          <w:szCs w:val="30"/>
        </w:rPr>
        <w:t xml:space="preserve">10.1 Hypotheses Financieres</w:t>
      </w:r>
      <w:bookmarkEnd w:id="100046"/>
    </w:p>
    <w:p>
      <w:pPr>
        <w:spacing w:after="120" w:line="312"/>
        <w:ind w:firstLine="480"/>
        <w:jc w:val="both"/>
      </w:pPr>
      <w:r>
        <w:rPr>
          <w:rFonts w:ascii="Calibri" w:cs="Calibri" w:eastAsia="Calibri" w:hAnsi="Calibri"/>
          <w:color w:val="000000"/>
          <w:sz w:val="22"/>
          <w:szCs w:val="22"/>
        </w:rPr>
        <w:t xml:space="preserve">Les projections financieres sont etablies sur la base des hypotheses suivantes. Pour l'annee 1 (2026), le volume de ventes est cible a 29 tonnes (objectif Dec 2025 - Mar 2026 prolonge sur l'annee), avec un prix moyen de 600 Fcfa/g correspondant au tarif de lancement. Pour l'annee 2 (2027), le volume est projete a 80 tonnes avec une normalisation progressive du prix a 800 Fcfa/g. Pour l'annee 3 (2028), le volume vise est de 150 tonnes a un prix moyen de 900 Fcfa/g, refletant la montee en maturite du marche.</w:t>
      </w:r>
    </w:p>
    <w:p>
      <w:pPr>
        <w:spacing w:after="120" w:line="312"/>
        <w:ind w:firstLine="480"/>
        <w:jc w:val="both"/>
      </w:pPr>
      <w:r>
        <w:rPr>
          <w:rFonts w:ascii="Calibri" w:cs="Calibri" w:eastAsia="Calibri" w:hAnsi="Calibri"/>
          <w:color w:val="000000"/>
          <w:sz w:val="22"/>
          <w:szCs w:val="22"/>
        </w:rPr>
        <w:t xml:space="preserve">Les hypothese de couts sont les suivantes : le cout de production represente environ 21 a 23 pourcent du chiffre d'affaires, les charges marketing varient de 25 pourcent en annee 1 (effort de lancement) a 10 pourcent en annee 3, les charges de structure progressent en valeur absolue mais diminuent en proportion du chiffre d'affaires. L'investissement initial est estime a 25M Fcfa (equipements de production, laboratoire, vehicules, amenagements).</w:t>
      </w:r>
    </w:p>
    <w:p>
      <w:pPr>
        <w:pStyle w:val="Heading2"/>
        <w:spacing w:after="150" w:before="300" w:line="312"/>
      </w:pPr>
      <w:bookmarkStart w:id="100047" w:name="_Toc100047"/>
      <w:r>
        <w:rPr>
          <w:rFonts w:ascii="Times New Roman" w:cs="Times New Roman" w:eastAsia="Times New Roman" w:hAnsi="Times New Roman"/>
          <w:b/>
          <w:bCs/>
          <w:color w:val="2A7A65"/>
          <w:sz w:val="30"/>
          <w:szCs w:val="30"/>
        </w:rPr>
        <w:t xml:space="preserve">10.2 Compte de Resultat Previsionnel (3 ans)</w:t>
      </w:r>
      <w:bookmarkEnd w:id="100047"/>
    </w:p>
    <w:p>
      <w:pPr>
        <w:spacing w:after="200" w:before="200"/>
        <w:jc w:val="center"/>
      </w:pPr>
      <w:r>
        <w:drawing>
          <wp:inline distT="0" distB="0" distL="0" distR="0">
            <wp:extent cx="504825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48250" cy="3133725"/>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35%"/>
            <w:shd w:fill="2A7A65" w:val="clear"/>
            <w:vAlign w:val="center"/>
          </w:tcPr>
          <w:p>
            <w:pPr>
              <w:spacing w:after="40" w:before="40"/>
              <w:jc w:val="center"/>
            </w:pPr>
            <w:r>
              <w:rPr>
                <w:rFonts w:ascii="Calibri" w:cs="Calibri" w:eastAsia="Calibri" w:hAnsi="Calibri"/>
                <w:b/>
                <w:bCs/>
                <w:color w:val="FFFFFF"/>
                <w:sz w:val="20"/>
                <w:szCs w:val="20"/>
              </w:rPr>
              <w:t xml:space="preserve">Poste</w:t>
            </w:r>
          </w:p>
        </w:tc>
        <w:tc>
          <w:tcPr>
            <w:tcW w:type="pct" w:w="22%"/>
            <w:shd w:fill="2A7A65" w:val="clear"/>
            <w:vAlign w:val="center"/>
          </w:tcPr>
          <w:p>
            <w:pPr>
              <w:spacing w:after="40" w:before="40"/>
              <w:jc w:val="center"/>
            </w:pPr>
            <w:r>
              <w:rPr>
                <w:rFonts w:ascii="Calibri" w:cs="Calibri" w:eastAsia="Calibri" w:hAnsi="Calibri"/>
                <w:b/>
                <w:bCs/>
                <w:color w:val="FFFFFF"/>
                <w:sz w:val="20"/>
                <w:szCs w:val="20"/>
              </w:rPr>
              <w:t xml:space="preserve">Annee 1 (2026)</w:t>
            </w:r>
          </w:p>
        </w:tc>
        <w:tc>
          <w:tcPr>
            <w:tcW w:type="pct" w:w="22%"/>
            <w:shd w:fill="2A7A65" w:val="clear"/>
            <w:vAlign w:val="center"/>
          </w:tcPr>
          <w:p>
            <w:pPr>
              <w:spacing w:after="40" w:before="40"/>
              <w:jc w:val="center"/>
            </w:pPr>
            <w:r>
              <w:rPr>
                <w:rFonts w:ascii="Calibri" w:cs="Calibri" w:eastAsia="Calibri" w:hAnsi="Calibri"/>
                <w:b/>
                <w:bCs/>
                <w:color w:val="FFFFFF"/>
                <w:sz w:val="20"/>
                <w:szCs w:val="20"/>
              </w:rPr>
              <w:t xml:space="preserve">Annee 2 (2027)</w:t>
            </w:r>
          </w:p>
        </w:tc>
        <w:tc>
          <w:tcPr>
            <w:tcW w:type="pct" w:w="22%"/>
            <w:shd w:fill="2A7A65" w:val="clear"/>
            <w:vAlign w:val="center"/>
          </w:tcPr>
          <w:p>
            <w:pPr>
              <w:spacing w:after="40" w:before="40"/>
              <w:jc w:val="center"/>
            </w:pPr>
            <w:r>
              <w:rPr>
                <w:rFonts w:ascii="Calibri" w:cs="Calibri" w:eastAsia="Calibri" w:hAnsi="Calibri"/>
                <w:b/>
                <w:bCs/>
                <w:color w:val="FFFFFF"/>
                <w:sz w:val="20"/>
                <w:szCs w:val="20"/>
              </w:rPr>
              <w:t xml:space="preserve">Annee 3 (2028)</w:t>
            </w:r>
          </w:p>
        </w:tc>
      </w:tr>
      <w:tr>
        <w:tc>
          <w:tcPr>
            <w:tcW w:type="pct" w:w="35%"/>
            <w:vAlign w:val="center"/>
          </w:tcPr>
          <w:p>
            <w:pPr>
              <w:spacing w:after="30" w:before="30"/>
              <w:jc w:val="left"/>
            </w:pPr>
            <w:r>
              <w:rPr>
                <w:rFonts w:ascii="Calibri" w:cs="Calibri" w:eastAsia="Calibri" w:hAnsi="Calibri"/>
                <w:color w:val="000000"/>
                <w:sz w:val="20"/>
                <w:szCs w:val="20"/>
              </w:rPr>
              <w:t xml:space="preserve">Chiffre d'affaires</w:t>
            </w:r>
          </w:p>
        </w:tc>
        <w:tc>
          <w:tcPr>
            <w:tcW w:type="pct" w:w="22%"/>
            <w:vAlign w:val="center"/>
          </w:tcPr>
          <w:p>
            <w:pPr>
              <w:spacing w:after="30" w:before="30"/>
              <w:jc w:val="left"/>
            </w:pPr>
            <w:r>
              <w:rPr>
                <w:rFonts w:ascii="Calibri" w:cs="Calibri" w:eastAsia="Calibri" w:hAnsi="Calibri"/>
                <w:color w:val="000000"/>
                <w:sz w:val="20"/>
                <w:szCs w:val="20"/>
              </w:rPr>
              <w:t xml:space="preserve">17 400 000</w:t>
            </w:r>
          </w:p>
        </w:tc>
        <w:tc>
          <w:tcPr>
            <w:tcW w:type="pct" w:w="22%"/>
            <w:vAlign w:val="center"/>
          </w:tcPr>
          <w:p>
            <w:pPr>
              <w:spacing w:after="30" w:before="30"/>
              <w:jc w:val="left"/>
            </w:pPr>
            <w:r>
              <w:rPr>
                <w:rFonts w:ascii="Calibri" w:cs="Calibri" w:eastAsia="Calibri" w:hAnsi="Calibri"/>
                <w:color w:val="000000"/>
                <w:sz w:val="20"/>
                <w:szCs w:val="20"/>
              </w:rPr>
              <w:t xml:space="preserve">64 000 000</w:t>
            </w:r>
          </w:p>
        </w:tc>
        <w:tc>
          <w:tcPr>
            <w:tcW w:type="pct" w:w="22%"/>
            <w:vAlign w:val="center"/>
          </w:tcPr>
          <w:p>
            <w:pPr>
              <w:spacing w:after="30" w:before="30"/>
              <w:jc w:val="left"/>
            </w:pPr>
            <w:r>
              <w:rPr>
                <w:rFonts w:ascii="Calibri" w:cs="Calibri" w:eastAsia="Calibri" w:hAnsi="Calibri"/>
                <w:color w:val="000000"/>
                <w:sz w:val="20"/>
                <w:szCs w:val="20"/>
              </w:rPr>
              <w:t xml:space="preserve">135 000 000</w:t>
            </w:r>
          </w:p>
        </w:tc>
      </w:tr>
      <w:tr>
        <w:tc>
          <w:tcPr>
            <w:tcW w:type="pct" w:w="35%"/>
            <w:shd w:fill="EDF5F2" w:val="clear"/>
            <w:vAlign w:val="center"/>
          </w:tcPr>
          <w:p>
            <w:pPr>
              <w:spacing w:after="30" w:before="30"/>
              <w:jc w:val="left"/>
            </w:pPr>
            <w:r>
              <w:rPr>
                <w:rFonts w:ascii="Calibri" w:cs="Calibri" w:eastAsia="Calibri" w:hAnsi="Calibri"/>
                <w:color w:val="000000"/>
                <w:sz w:val="20"/>
                <w:szCs w:val="20"/>
              </w:rPr>
              <w:t xml:space="preserve">Cout des marchandises vendues</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(6 090 000)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(18 200 000)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(28 700 000)</w:t>
            </w:r>
          </w:p>
        </w:tc>
      </w:tr>
      <w:tr>
        <w:tc>
          <w:tcPr>
            <w:tcW w:type="pct" w:w="35%"/>
            <w:vAlign w:val="center"/>
          </w:tcPr>
          <w:p>
            <w:pPr>
              <w:spacing w:after="30" w:before="30"/>
              <w:jc w:val="left"/>
            </w:pPr>
            <w:r>
              <w:rPr>
                <w:rFonts w:ascii="Calibri" w:cs="Calibri" w:eastAsia="Calibri" w:hAnsi="Calibri"/>
                <w:color w:val="000000"/>
                <w:sz w:val="20"/>
                <w:szCs w:val="20"/>
              </w:rPr>
              <w:t xml:space="preserve">Marge brute</w:t>
            </w:r>
          </w:p>
        </w:tc>
        <w:tc>
          <w:tcPr>
            <w:tcW w:type="pct" w:w="22%"/>
            <w:vAlign w:val="center"/>
          </w:tcPr>
          <w:p>
            <w:pPr>
              <w:spacing w:after="30" w:before="30"/>
              <w:jc w:val="left"/>
            </w:pPr>
            <w:r>
              <w:rPr>
                <w:rFonts w:ascii="Calibri" w:cs="Calibri" w:eastAsia="Calibri" w:hAnsi="Calibri"/>
                <w:color w:val="000000"/>
                <w:sz w:val="20"/>
                <w:szCs w:val="20"/>
              </w:rPr>
              <w:t xml:space="preserve">11 310 000</w:t>
            </w:r>
          </w:p>
        </w:tc>
        <w:tc>
          <w:tcPr>
            <w:tcW w:type="pct" w:w="22%"/>
            <w:vAlign w:val="center"/>
          </w:tcPr>
          <w:p>
            <w:pPr>
              <w:spacing w:after="30" w:before="30"/>
              <w:jc w:val="left"/>
            </w:pPr>
            <w:r>
              <w:rPr>
                <w:rFonts w:ascii="Calibri" w:cs="Calibri" w:eastAsia="Calibri" w:hAnsi="Calibri"/>
                <w:color w:val="000000"/>
                <w:sz w:val="20"/>
                <w:szCs w:val="20"/>
              </w:rPr>
              <w:t xml:space="preserve">45 800 000</w:t>
            </w:r>
          </w:p>
        </w:tc>
        <w:tc>
          <w:tcPr>
            <w:tcW w:type="pct" w:w="22%"/>
            <w:vAlign w:val="center"/>
          </w:tcPr>
          <w:p>
            <w:pPr>
              <w:spacing w:after="30" w:before="30"/>
              <w:jc w:val="left"/>
            </w:pPr>
            <w:r>
              <w:rPr>
                <w:rFonts w:ascii="Calibri" w:cs="Calibri" w:eastAsia="Calibri" w:hAnsi="Calibri"/>
                <w:color w:val="000000"/>
                <w:sz w:val="20"/>
                <w:szCs w:val="20"/>
              </w:rPr>
              <w:t xml:space="preserve">106 300 000</w:t>
            </w:r>
          </w:p>
        </w:tc>
      </w:tr>
      <w:tr>
        <w:tc>
          <w:tcPr>
            <w:tcW w:type="pct" w:w="35%"/>
            <w:shd w:fill="EDF5F2" w:val="clear"/>
            <w:vAlign w:val="center"/>
          </w:tcPr>
          <w:p>
            <w:pPr>
              <w:spacing w:after="30" w:before="30"/>
              <w:jc w:val="left"/>
            </w:pPr>
            <w:r>
              <w:rPr>
                <w:rFonts w:ascii="Calibri" w:cs="Calibri" w:eastAsia="Calibri" w:hAnsi="Calibri"/>
                <w:color w:val="000000"/>
                <w:sz w:val="20"/>
                <w:szCs w:val="20"/>
              </w:rPr>
              <w:t xml:space="preserve">Charges marketing et communication</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(12 000 000)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(9 600 000)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(13 500 000)</w:t>
            </w:r>
          </w:p>
        </w:tc>
      </w:tr>
      <w:tr>
        <w:tc>
          <w:tcPr>
            <w:tcW w:type="pct" w:w="35%"/>
            <w:vAlign w:val="center"/>
          </w:tcPr>
          <w:p>
            <w:pPr>
              <w:spacing w:after="30" w:before="30"/>
              <w:jc w:val="left"/>
            </w:pPr>
            <w:r>
              <w:rPr>
                <w:rFonts w:ascii="Calibri" w:cs="Calibri" w:eastAsia="Calibri" w:hAnsi="Calibri"/>
                <w:color w:val="000000"/>
                <w:sz w:val="20"/>
                <w:szCs w:val="20"/>
              </w:rPr>
              <w:t xml:space="preserve">Charges commerciales et distribution</w:t>
            </w:r>
          </w:p>
        </w:tc>
        <w:tc>
          <w:tcPr>
            <w:tcW w:type="pct" w:w="22%"/>
            <w:vAlign w:val="center"/>
          </w:tcPr>
          <w:p>
            <w:pPr>
              <w:spacing w:after="30" w:before="30"/>
              <w:jc w:val="left"/>
            </w:pPr>
            <w:r>
              <w:rPr>
                <w:rFonts w:ascii="Calibri" w:cs="Calibri" w:eastAsia="Calibri" w:hAnsi="Calibri"/>
                <w:color w:val="000000"/>
                <w:sz w:val="20"/>
                <w:szCs w:val="20"/>
              </w:rPr>
              <w:t xml:space="preserve">(4 800 000)</w:t>
            </w:r>
          </w:p>
        </w:tc>
        <w:tc>
          <w:tcPr>
            <w:tcW w:type="pct" w:w="22%"/>
            <w:vAlign w:val="center"/>
          </w:tcPr>
          <w:p>
            <w:pPr>
              <w:spacing w:after="30" w:before="30"/>
              <w:jc w:val="left"/>
            </w:pPr>
            <w:r>
              <w:rPr>
                <w:rFonts w:ascii="Calibri" w:cs="Calibri" w:eastAsia="Calibri" w:hAnsi="Calibri"/>
                <w:color w:val="000000"/>
                <w:sz w:val="20"/>
                <w:szCs w:val="20"/>
              </w:rPr>
              <w:t xml:space="preserve">(9 600 000)</w:t>
            </w:r>
          </w:p>
        </w:tc>
        <w:tc>
          <w:tcPr>
            <w:tcW w:type="pct" w:w="22%"/>
            <w:vAlign w:val="center"/>
          </w:tcPr>
          <w:p>
            <w:pPr>
              <w:spacing w:after="30" w:before="30"/>
              <w:jc w:val="left"/>
            </w:pPr>
            <w:r>
              <w:rPr>
                <w:rFonts w:ascii="Calibri" w:cs="Calibri" w:eastAsia="Calibri" w:hAnsi="Calibri"/>
                <w:color w:val="000000"/>
                <w:sz w:val="20"/>
                <w:szCs w:val="20"/>
              </w:rPr>
              <w:t xml:space="preserve">(16 200 000)</w:t>
            </w:r>
          </w:p>
        </w:tc>
      </w:tr>
      <w:tr>
        <w:tc>
          <w:tcPr>
            <w:tcW w:type="pct" w:w="35%"/>
            <w:shd w:fill="EDF5F2" w:val="clear"/>
            <w:vAlign w:val="center"/>
          </w:tcPr>
          <w:p>
            <w:pPr>
              <w:spacing w:after="30" w:before="30"/>
              <w:jc w:val="left"/>
            </w:pPr>
            <w:r>
              <w:rPr>
                <w:rFonts w:ascii="Calibri" w:cs="Calibri" w:eastAsia="Calibri" w:hAnsi="Calibri"/>
                <w:color w:val="000000"/>
                <w:sz w:val="20"/>
                <w:szCs w:val="20"/>
              </w:rPr>
              <w:t xml:space="preserve">Charges administratives et RH</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(4 500 000)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(6 400 000)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(10 800 000)</w:t>
            </w:r>
          </w:p>
        </w:tc>
      </w:tr>
      <w:tr>
        <w:tc>
          <w:tcPr>
            <w:tcW w:type="pct" w:w="35%"/>
            <w:vAlign w:val="center"/>
          </w:tcPr>
          <w:p>
            <w:pPr>
              <w:spacing w:after="30" w:before="30"/>
              <w:jc w:val="left"/>
            </w:pPr>
            <w:r>
              <w:rPr>
                <w:rFonts w:ascii="Calibri" w:cs="Calibri" w:eastAsia="Calibri" w:hAnsi="Calibri"/>
                <w:color w:val="000000"/>
                <w:sz w:val="20"/>
                <w:szCs w:val="20"/>
              </w:rPr>
              <w:t xml:space="preserve">Charges R&amp;D</w:t>
            </w:r>
          </w:p>
        </w:tc>
        <w:tc>
          <w:tcPr>
            <w:tcW w:type="pct" w:w="22%"/>
            <w:vAlign w:val="center"/>
          </w:tcPr>
          <w:p>
            <w:pPr>
              <w:spacing w:after="30" w:before="30"/>
              <w:jc w:val="left"/>
            </w:pPr>
            <w:r>
              <w:rPr>
                <w:rFonts w:ascii="Calibri" w:cs="Calibri" w:eastAsia="Calibri" w:hAnsi="Calibri"/>
                <w:color w:val="000000"/>
                <w:sz w:val="20"/>
                <w:szCs w:val="20"/>
              </w:rPr>
              <w:t xml:space="preserve">(2 600 000)</w:t>
            </w:r>
          </w:p>
        </w:tc>
        <w:tc>
          <w:tcPr>
            <w:tcW w:type="pct" w:w="22%"/>
            <w:vAlign w:val="center"/>
          </w:tcPr>
          <w:p>
            <w:pPr>
              <w:spacing w:after="30" w:before="30"/>
              <w:jc w:val="left"/>
            </w:pPr>
            <w:r>
              <w:rPr>
                <w:rFonts w:ascii="Calibri" w:cs="Calibri" w:eastAsia="Calibri" w:hAnsi="Calibri"/>
                <w:color w:val="000000"/>
                <w:sz w:val="20"/>
                <w:szCs w:val="20"/>
              </w:rPr>
              <w:t xml:space="preserve">(5 100 000)</w:t>
            </w:r>
          </w:p>
        </w:tc>
        <w:tc>
          <w:tcPr>
            <w:tcW w:type="pct" w:w="22%"/>
            <w:vAlign w:val="center"/>
          </w:tcPr>
          <w:p>
            <w:pPr>
              <w:spacing w:after="30" w:before="30"/>
              <w:jc w:val="left"/>
            </w:pPr>
            <w:r>
              <w:rPr>
                <w:rFonts w:ascii="Calibri" w:cs="Calibri" w:eastAsia="Calibri" w:hAnsi="Calibri"/>
                <w:color w:val="000000"/>
                <w:sz w:val="20"/>
                <w:szCs w:val="20"/>
              </w:rPr>
              <w:t xml:space="preserve">(8 100 000)</w:t>
            </w:r>
          </w:p>
        </w:tc>
      </w:tr>
      <w:tr>
        <w:tc>
          <w:tcPr>
            <w:tcW w:type="pct" w:w="35%"/>
            <w:shd w:fill="EDF5F2" w:val="clear"/>
            <w:vAlign w:val="center"/>
          </w:tcPr>
          <w:p>
            <w:pPr>
              <w:spacing w:after="30" w:before="30"/>
              <w:jc w:val="left"/>
            </w:pPr>
            <w:r>
              <w:rPr>
                <w:rFonts w:ascii="Calibri" w:cs="Calibri" w:eastAsia="Calibri" w:hAnsi="Calibri"/>
                <w:color w:val="000000"/>
                <w:sz w:val="20"/>
                <w:szCs w:val="20"/>
              </w:rPr>
              <w:t xml:space="preserve">Amortissements et charges financieres</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(2 000 000)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(3 100 000)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(4 700 000)</w:t>
            </w:r>
          </w:p>
        </w:tc>
      </w:tr>
      <w:tr>
        <w:tc>
          <w:tcPr>
            <w:tcW w:type="pct" w:w="35%"/>
            <w:vAlign w:val="center"/>
          </w:tcPr>
          <w:p>
            <w:pPr>
              <w:spacing w:after="30" w:before="30"/>
              <w:jc w:val="left"/>
            </w:pPr>
            <w:r>
              <w:rPr>
                <w:rFonts w:ascii="Calibri" w:cs="Calibri" w:eastAsia="Calibri" w:hAnsi="Calibri"/>
                <w:color w:val="000000"/>
                <w:sz w:val="20"/>
                <w:szCs w:val="20"/>
              </w:rPr>
              <w:t xml:space="preserve">Total des charges d'exploitation</w:t>
            </w:r>
          </w:p>
        </w:tc>
        <w:tc>
          <w:tcPr>
            <w:tcW w:type="pct" w:w="22%"/>
            <w:vAlign w:val="center"/>
          </w:tcPr>
          <w:p>
            <w:pPr>
              <w:spacing w:after="30" w:before="30"/>
              <w:jc w:val="left"/>
            </w:pPr>
            <w:r>
              <w:rPr>
                <w:rFonts w:ascii="Calibri" w:cs="Calibri" w:eastAsia="Calibri" w:hAnsi="Calibri"/>
                <w:color w:val="000000"/>
                <w:sz w:val="20"/>
                <w:szCs w:val="20"/>
              </w:rPr>
              <w:t xml:space="preserve">(25 900 000)</w:t>
            </w:r>
          </w:p>
        </w:tc>
        <w:tc>
          <w:tcPr>
            <w:tcW w:type="pct" w:w="22%"/>
            <w:vAlign w:val="center"/>
          </w:tcPr>
          <w:p>
            <w:pPr>
              <w:spacing w:after="30" w:before="30"/>
              <w:jc w:val="left"/>
            </w:pPr>
            <w:r>
              <w:rPr>
                <w:rFonts w:ascii="Calibri" w:cs="Calibri" w:eastAsia="Calibri" w:hAnsi="Calibri"/>
                <w:color w:val="000000"/>
                <w:sz w:val="20"/>
                <w:szCs w:val="20"/>
              </w:rPr>
              <w:t xml:space="preserve">(33 800 000)</w:t>
            </w:r>
          </w:p>
        </w:tc>
        <w:tc>
          <w:tcPr>
            <w:tcW w:type="pct" w:w="22%"/>
            <w:vAlign w:val="center"/>
          </w:tcPr>
          <w:p>
            <w:pPr>
              <w:spacing w:after="30" w:before="30"/>
              <w:jc w:val="left"/>
            </w:pPr>
            <w:r>
              <w:rPr>
                <w:rFonts w:ascii="Calibri" w:cs="Calibri" w:eastAsia="Calibri" w:hAnsi="Calibri"/>
                <w:color w:val="000000"/>
                <w:sz w:val="20"/>
                <w:szCs w:val="20"/>
              </w:rPr>
              <w:t xml:space="preserve">(53 300 000)</w:t>
            </w:r>
          </w:p>
        </w:tc>
      </w:tr>
      <w:tr>
        <w:tc>
          <w:tcPr>
            <w:tcW w:type="pct" w:w="35%"/>
            <w:shd w:fill="EDF5F2" w:val="clear"/>
            <w:vAlign w:val="center"/>
          </w:tcPr>
          <w:p>
            <w:pPr>
              <w:spacing w:after="30" w:before="30"/>
              <w:jc w:val="left"/>
            </w:pPr>
            <w:r>
              <w:rPr>
                <w:rFonts w:ascii="Calibri" w:cs="Calibri" w:eastAsia="Calibri" w:hAnsi="Calibri"/>
                <w:color w:val="000000"/>
                <w:sz w:val="20"/>
                <w:szCs w:val="20"/>
              </w:rPr>
              <w:t xml:space="preserve">Resultat d'exploitation</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(14 590 000)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12 000 000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53 000 000</w:t>
            </w:r>
          </w:p>
        </w:tc>
      </w:tr>
      <w:tr>
        <w:tc>
          <w:tcPr>
            <w:tcW w:type="pct" w:w="35%"/>
            <w:vAlign w:val="center"/>
          </w:tcPr>
          <w:p>
            <w:pPr>
              <w:spacing w:after="30" w:before="30"/>
              <w:jc w:val="left"/>
            </w:pPr>
            <w:r>
              <w:rPr>
                <w:rFonts w:ascii="Calibri" w:cs="Calibri" w:eastAsia="Calibri" w:hAnsi="Calibri"/>
                <w:color w:val="000000"/>
                <w:sz w:val="20"/>
                <w:szCs w:val="20"/>
              </w:rPr>
              <w:t xml:space="preserve">Impot sur les societes (25%)</w:t>
            </w:r>
          </w:p>
        </w:tc>
        <w:tc>
          <w:tcPr>
            <w:tcW w:type="pct" w:w="22%"/>
            <w:vAlign w:val="center"/>
          </w:tcPr>
          <w:p>
            <w:pPr>
              <w:spacing w:after="30" w:before="30"/>
              <w:jc w:val="left"/>
            </w:pPr>
            <w:r>
              <w:rPr>
                <w:rFonts w:ascii="Calibri" w:cs="Calibri" w:eastAsia="Calibri" w:hAnsi="Calibri"/>
                <w:color w:val="000000"/>
                <w:sz w:val="20"/>
                <w:szCs w:val="20"/>
              </w:rPr>
              <w:t xml:space="preserve">0</w:t>
            </w:r>
          </w:p>
        </w:tc>
        <w:tc>
          <w:tcPr>
            <w:tcW w:type="pct" w:w="22%"/>
            <w:vAlign w:val="center"/>
          </w:tcPr>
          <w:p>
            <w:pPr>
              <w:spacing w:after="30" w:before="30"/>
              <w:jc w:val="left"/>
            </w:pPr>
            <w:r>
              <w:rPr>
                <w:rFonts w:ascii="Calibri" w:cs="Calibri" w:eastAsia="Calibri" w:hAnsi="Calibri"/>
                <w:color w:val="000000"/>
                <w:sz w:val="20"/>
                <w:szCs w:val="20"/>
              </w:rPr>
              <w:t xml:space="preserve">(3 000 000)</w:t>
            </w:r>
          </w:p>
        </w:tc>
        <w:tc>
          <w:tcPr>
            <w:tcW w:type="pct" w:w="22%"/>
            <w:vAlign w:val="center"/>
          </w:tcPr>
          <w:p>
            <w:pPr>
              <w:spacing w:after="30" w:before="30"/>
              <w:jc w:val="left"/>
            </w:pPr>
            <w:r>
              <w:rPr>
                <w:rFonts w:ascii="Calibri" w:cs="Calibri" w:eastAsia="Calibri" w:hAnsi="Calibri"/>
                <w:color w:val="000000"/>
                <w:sz w:val="20"/>
                <w:szCs w:val="20"/>
              </w:rPr>
              <w:t xml:space="preserve">(13 250 000)</w:t>
            </w:r>
          </w:p>
        </w:tc>
      </w:tr>
      <w:tr>
        <w:tc>
          <w:tcPr>
            <w:tcW w:type="pct" w:w="35%"/>
            <w:shd w:fill="EDF5F2" w:val="clear"/>
            <w:vAlign w:val="center"/>
          </w:tcPr>
          <w:p>
            <w:pPr>
              <w:spacing w:after="30" w:before="30"/>
              <w:jc w:val="left"/>
            </w:pPr>
            <w:r>
              <w:rPr>
                <w:rFonts w:ascii="Calibri" w:cs="Calibri" w:eastAsia="Calibri" w:hAnsi="Calibri"/>
                <w:color w:val="000000"/>
                <w:sz w:val="20"/>
                <w:szCs w:val="20"/>
              </w:rPr>
              <w:t xml:space="preserve">Resultat net</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(14 590 000)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9 000 000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39 750 000</w:t>
            </w:r>
          </w:p>
        </w:tc>
      </w:tr>
    </w:tbl>
    <w:p>
      <w:pPr>
        <w:spacing w:after="120" w:line="312"/>
        <w:ind w:firstLine="480"/>
        <w:jc w:val="both"/>
      </w:pPr>
      <w:r>
        <w:rPr>
          <w:rFonts w:ascii="Calibri" w:cs="Calibri" w:eastAsia="Calibri" w:hAnsi="Calibri"/>
          <w:color w:val="000000"/>
          <w:sz w:val="22"/>
          <w:szCs w:val="22"/>
        </w:rPr>
        <w:t xml:space="preserve">Le compte de resultat previsionnel montre une perte controlee en annee 1, liee a l'investissement de lancement. L'annee 2 marque le passage a la rentabilite avec un benefice net de 9M Fcfa. L'annee 3 confirme la viabilite economique du modele avec un benefice net de pres de 40M Fcfa, soit une marge nette de 29,4 pourcent. La marge brute progresse de 65 pourcent du CA en annee 1 a 79 pourcent en annee 3, temoignant de l'amelioration de l'efficacite productive.</w:t>
      </w:r>
    </w:p>
    <w:p>
      <w:pPr>
        <w:pStyle w:val="Heading2"/>
        <w:spacing w:after="150" w:before="300" w:line="312"/>
      </w:pPr>
      <w:bookmarkStart w:id="100048" w:name="_Toc100048"/>
      <w:r>
        <w:rPr>
          <w:rFonts w:ascii="Times New Roman" w:cs="Times New Roman" w:eastAsia="Times New Roman" w:hAnsi="Times New Roman"/>
          <w:b/>
          <w:bCs/>
          <w:color w:val="2A7A65"/>
          <w:sz w:val="30"/>
          <w:szCs w:val="30"/>
        </w:rPr>
        <w:t xml:space="preserve">10.3 Bilan Previsionnel</w:t>
      </w:r>
      <w:bookmarkEnd w:id="10004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35%"/>
            <w:shd w:fill="2A7A65" w:val="clear"/>
            <w:vAlign w:val="center"/>
          </w:tcPr>
          <w:p>
            <w:pPr>
              <w:spacing w:after="40" w:before="40"/>
              <w:jc w:val="center"/>
            </w:pPr>
            <w:r>
              <w:rPr>
                <w:rFonts w:ascii="Calibri" w:cs="Calibri" w:eastAsia="Calibri" w:hAnsi="Calibri"/>
                <w:b/>
                <w:bCs/>
                <w:color w:val="FFFFFF"/>
                <w:sz w:val="20"/>
                <w:szCs w:val="20"/>
              </w:rPr>
              <w:t xml:space="preserve">Poste</w:t>
            </w:r>
          </w:p>
        </w:tc>
        <w:tc>
          <w:tcPr>
            <w:tcW w:type="pct" w:w="22%"/>
            <w:shd w:fill="2A7A65" w:val="clear"/>
            <w:vAlign w:val="center"/>
          </w:tcPr>
          <w:p>
            <w:pPr>
              <w:spacing w:after="40" w:before="40"/>
              <w:jc w:val="center"/>
            </w:pPr>
            <w:r>
              <w:rPr>
                <w:rFonts w:ascii="Calibri" w:cs="Calibri" w:eastAsia="Calibri" w:hAnsi="Calibri"/>
                <w:b/>
                <w:bCs/>
                <w:color w:val="FFFFFF"/>
                <w:sz w:val="20"/>
                <w:szCs w:val="20"/>
              </w:rPr>
              <w:t xml:space="preserve">Annee 1</w:t>
            </w:r>
          </w:p>
        </w:tc>
        <w:tc>
          <w:tcPr>
            <w:tcW w:type="pct" w:w="22%"/>
            <w:shd w:fill="2A7A65" w:val="clear"/>
            <w:vAlign w:val="center"/>
          </w:tcPr>
          <w:p>
            <w:pPr>
              <w:spacing w:after="40" w:before="40"/>
              <w:jc w:val="center"/>
            </w:pPr>
            <w:r>
              <w:rPr>
                <w:rFonts w:ascii="Calibri" w:cs="Calibri" w:eastAsia="Calibri" w:hAnsi="Calibri"/>
                <w:b/>
                <w:bCs/>
                <w:color w:val="FFFFFF"/>
                <w:sz w:val="20"/>
                <w:szCs w:val="20"/>
              </w:rPr>
              <w:t xml:space="preserve">Annee 2</w:t>
            </w:r>
          </w:p>
        </w:tc>
        <w:tc>
          <w:tcPr>
            <w:tcW w:type="pct" w:w="22%"/>
            <w:shd w:fill="2A7A65" w:val="clear"/>
            <w:vAlign w:val="center"/>
          </w:tcPr>
          <w:p>
            <w:pPr>
              <w:spacing w:after="40" w:before="40"/>
              <w:jc w:val="center"/>
            </w:pPr>
            <w:r>
              <w:rPr>
                <w:rFonts w:ascii="Calibri" w:cs="Calibri" w:eastAsia="Calibri" w:hAnsi="Calibri"/>
                <w:b/>
                <w:bCs/>
                <w:color w:val="FFFFFF"/>
                <w:sz w:val="20"/>
                <w:szCs w:val="20"/>
              </w:rPr>
              <w:t xml:space="preserve">Annee 3</w:t>
            </w:r>
          </w:p>
        </w:tc>
      </w:tr>
      <w:tr>
        <w:tc>
          <w:tcPr>
            <w:tcW w:type="pct" w:w="35%"/>
            <w:vAlign w:val="center"/>
          </w:tcPr>
          <w:p>
            <w:pPr>
              <w:spacing w:after="30" w:before="30"/>
              <w:jc w:val="left"/>
            </w:pPr>
            <w:r>
              <w:rPr>
                <w:rFonts w:ascii="Calibri" w:cs="Calibri" w:eastAsia="Calibri" w:hAnsi="Calibri"/>
                <w:color w:val="000000"/>
                <w:sz w:val="20"/>
                <w:szCs w:val="20"/>
              </w:rPr>
              <w:t xml:space="preserve">ACTIF</w:t>
            </w:r>
          </w:p>
        </w:tc>
        <w:tc>
          <w:tcPr>
            <w:tcW w:type="pct" w:w="22%"/>
            <w:vAlign w:val="center"/>
          </w:tcPr>
          <w:p>
            <w:pPr>
              <w:spacing w:after="30" w:before="30"/>
              <w:jc w:val="left"/>
            </w:pPr>
            <w:r>
              <w:rPr>
                <w:rFonts w:ascii="Calibri" w:cs="Calibri" w:eastAsia="Calibri" w:hAnsi="Calibri"/>
                <w:color w:val="000000"/>
                <w:sz w:val="20"/>
                <w:szCs w:val="20"/>
              </w:rPr>
              <w:t xml:space="preserve"/>
            </w:r>
          </w:p>
        </w:tc>
        <w:tc>
          <w:tcPr>
            <w:tcW w:type="pct" w:w="22%"/>
            <w:vAlign w:val="center"/>
          </w:tcPr>
          <w:p>
            <w:pPr>
              <w:spacing w:after="30" w:before="30"/>
              <w:jc w:val="left"/>
            </w:pPr>
            <w:r>
              <w:rPr>
                <w:rFonts w:ascii="Calibri" w:cs="Calibri" w:eastAsia="Calibri" w:hAnsi="Calibri"/>
                <w:color w:val="000000"/>
                <w:sz w:val="20"/>
                <w:szCs w:val="20"/>
              </w:rPr>
              <w:t xml:space="preserve"/>
            </w:r>
          </w:p>
        </w:tc>
        <w:tc>
          <w:tcPr>
            <w:tcW w:type="pct" w:w="22%"/>
            <w:vAlign w:val="center"/>
          </w:tcPr>
          <w:p>
            <w:pPr>
              <w:spacing w:after="30" w:before="30"/>
              <w:jc w:val="left"/>
            </w:pPr>
            <w:r>
              <w:rPr>
                <w:rFonts w:ascii="Calibri" w:cs="Calibri" w:eastAsia="Calibri" w:hAnsi="Calibri"/>
                <w:color w:val="000000"/>
                <w:sz w:val="20"/>
                <w:szCs w:val="20"/>
              </w:rPr>
              <w:t xml:space="preserve"/>
            </w:r>
          </w:p>
        </w:tc>
      </w:tr>
      <w:tr>
        <w:tc>
          <w:tcPr>
            <w:tcW w:type="pct" w:w="35%"/>
            <w:shd w:fill="EDF5F2" w:val="clear"/>
            <w:vAlign w:val="center"/>
          </w:tcPr>
          <w:p>
            <w:pPr>
              <w:spacing w:after="30" w:before="30"/>
              <w:jc w:val="left"/>
            </w:pPr>
            <w:r>
              <w:rPr>
                <w:rFonts w:ascii="Calibri" w:cs="Calibri" w:eastAsia="Calibri" w:hAnsi="Calibri"/>
                <w:color w:val="000000"/>
                <w:sz w:val="20"/>
                <w:szCs w:val="20"/>
              </w:rPr>
              <w:t xml:space="preserve">Immobilisations nettes</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20 000 000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19 500 000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22 000 000</w:t>
            </w:r>
          </w:p>
        </w:tc>
      </w:tr>
      <w:tr>
        <w:tc>
          <w:tcPr>
            <w:tcW w:type="pct" w:w="35%"/>
            <w:vAlign w:val="center"/>
          </w:tcPr>
          <w:p>
            <w:pPr>
              <w:spacing w:after="30" w:before="30"/>
              <w:jc w:val="left"/>
            </w:pPr>
            <w:r>
              <w:rPr>
                <w:rFonts w:ascii="Calibri" w:cs="Calibri" w:eastAsia="Calibri" w:hAnsi="Calibri"/>
                <w:color w:val="000000"/>
                <w:sz w:val="20"/>
                <w:szCs w:val="20"/>
              </w:rPr>
              <w:t xml:space="preserve">Stocks</w:t>
            </w:r>
          </w:p>
        </w:tc>
        <w:tc>
          <w:tcPr>
            <w:tcW w:type="pct" w:w="22%"/>
            <w:vAlign w:val="center"/>
          </w:tcPr>
          <w:p>
            <w:pPr>
              <w:spacing w:after="30" w:before="30"/>
              <w:jc w:val="left"/>
            </w:pPr>
            <w:r>
              <w:rPr>
                <w:rFonts w:ascii="Calibri" w:cs="Calibri" w:eastAsia="Calibri" w:hAnsi="Calibri"/>
                <w:color w:val="000000"/>
                <w:sz w:val="20"/>
                <w:szCs w:val="20"/>
              </w:rPr>
              <w:t xml:space="preserve">3 000 000</w:t>
            </w:r>
          </w:p>
        </w:tc>
        <w:tc>
          <w:tcPr>
            <w:tcW w:type="pct" w:w="22%"/>
            <w:vAlign w:val="center"/>
          </w:tcPr>
          <w:p>
            <w:pPr>
              <w:spacing w:after="30" w:before="30"/>
              <w:jc w:val="left"/>
            </w:pPr>
            <w:r>
              <w:rPr>
                <w:rFonts w:ascii="Calibri" w:cs="Calibri" w:eastAsia="Calibri" w:hAnsi="Calibri"/>
                <w:color w:val="000000"/>
                <w:sz w:val="20"/>
                <w:szCs w:val="20"/>
              </w:rPr>
              <w:t xml:space="preserve">8 000 000</w:t>
            </w:r>
          </w:p>
        </w:tc>
        <w:tc>
          <w:tcPr>
            <w:tcW w:type="pct" w:w="22%"/>
            <w:vAlign w:val="center"/>
          </w:tcPr>
          <w:p>
            <w:pPr>
              <w:spacing w:after="30" w:before="30"/>
              <w:jc w:val="left"/>
            </w:pPr>
            <w:r>
              <w:rPr>
                <w:rFonts w:ascii="Calibri" w:cs="Calibri" w:eastAsia="Calibri" w:hAnsi="Calibri"/>
                <w:color w:val="000000"/>
                <w:sz w:val="20"/>
                <w:szCs w:val="20"/>
              </w:rPr>
              <w:t xml:space="preserve">12 000 000</w:t>
            </w:r>
          </w:p>
        </w:tc>
      </w:tr>
      <w:tr>
        <w:tc>
          <w:tcPr>
            <w:tcW w:type="pct" w:w="35%"/>
            <w:shd w:fill="EDF5F2" w:val="clear"/>
            <w:vAlign w:val="center"/>
          </w:tcPr>
          <w:p>
            <w:pPr>
              <w:spacing w:after="30" w:before="30"/>
              <w:jc w:val="left"/>
            </w:pPr>
            <w:r>
              <w:rPr>
                <w:rFonts w:ascii="Calibri" w:cs="Calibri" w:eastAsia="Calibri" w:hAnsi="Calibri"/>
                <w:color w:val="000000"/>
                <w:sz w:val="20"/>
                <w:szCs w:val="20"/>
              </w:rPr>
              <w:t xml:space="preserve">Creances clients</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2 500 000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9 000 000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18 000 000</w:t>
            </w:r>
          </w:p>
        </w:tc>
      </w:tr>
      <w:tr>
        <w:tc>
          <w:tcPr>
            <w:tcW w:type="pct" w:w="35%"/>
            <w:vAlign w:val="center"/>
          </w:tcPr>
          <w:p>
            <w:pPr>
              <w:spacing w:after="30" w:before="30"/>
              <w:jc w:val="left"/>
            </w:pPr>
            <w:r>
              <w:rPr>
                <w:rFonts w:ascii="Calibri" w:cs="Calibri" w:eastAsia="Calibri" w:hAnsi="Calibri"/>
                <w:color w:val="000000"/>
                <w:sz w:val="20"/>
                <w:szCs w:val="20"/>
              </w:rPr>
              <w:t xml:space="preserve">Tresorerie</w:t>
            </w:r>
          </w:p>
        </w:tc>
        <w:tc>
          <w:tcPr>
            <w:tcW w:type="pct" w:w="22%"/>
            <w:vAlign w:val="center"/>
          </w:tcPr>
          <w:p>
            <w:pPr>
              <w:spacing w:after="30" w:before="30"/>
              <w:jc w:val="left"/>
            </w:pPr>
            <w:r>
              <w:rPr>
                <w:rFonts w:ascii="Calibri" w:cs="Calibri" w:eastAsia="Calibri" w:hAnsi="Calibri"/>
                <w:color w:val="000000"/>
                <w:sz w:val="20"/>
                <w:szCs w:val="20"/>
              </w:rPr>
              <w:t xml:space="preserve">1 910 000</w:t>
            </w:r>
          </w:p>
        </w:tc>
        <w:tc>
          <w:tcPr>
            <w:tcW w:type="pct" w:w="22%"/>
            <w:vAlign w:val="center"/>
          </w:tcPr>
          <w:p>
            <w:pPr>
              <w:spacing w:after="30" w:before="30"/>
              <w:jc w:val="left"/>
            </w:pPr>
            <w:r>
              <w:rPr>
                <w:rFonts w:ascii="Calibri" w:cs="Calibri" w:eastAsia="Calibri" w:hAnsi="Calibri"/>
                <w:color w:val="000000"/>
                <w:sz w:val="20"/>
                <w:szCs w:val="20"/>
              </w:rPr>
              <w:t xml:space="preserve">12 910 000</w:t>
            </w:r>
          </w:p>
        </w:tc>
        <w:tc>
          <w:tcPr>
            <w:tcW w:type="pct" w:w="22%"/>
            <w:vAlign w:val="center"/>
          </w:tcPr>
          <w:p>
            <w:pPr>
              <w:spacing w:after="30" w:before="30"/>
              <w:jc w:val="left"/>
            </w:pPr>
            <w:r>
              <w:rPr>
                <w:rFonts w:ascii="Calibri" w:cs="Calibri" w:eastAsia="Calibri" w:hAnsi="Calibri"/>
                <w:color w:val="000000"/>
                <w:sz w:val="20"/>
                <w:szCs w:val="20"/>
              </w:rPr>
              <w:t xml:space="preserve">55 660 000</w:t>
            </w:r>
          </w:p>
        </w:tc>
      </w:tr>
      <w:tr>
        <w:tc>
          <w:tcPr>
            <w:tcW w:type="pct" w:w="35%"/>
            <w:shd w:fill="EDF5F2" w:val="clear"/>
            <w:vAlign w:val="center"/>
          </w:tcPr>
          <w:p>
            <w:pPr>
              <w:spacing w:after="30" w:before="30"/>
              <w:jc w:val="left"/>
            </w:pPr>
            <w:r>
              <w:rPr>
                <w:rFonts w:ascii="Calibri" w:cs="Calibri" w:eastAsia="Calibri" w:hAnsi="Calibri"/>
                <w:color w:val="000000"/>
                <w:sz w:val="20"/>
                <w:szCs w:val="20"/>
              </w:rPr>
              <w:t xml:space="preserve">Total Actif</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27 410 000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49 410 000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107 660 000</w:t>
            </w:r>
          </w:p>
        </w:tc>
      </w:tr>
      <w:tr>
        <w:tc>
          <w:tcPr>
            <w:tcW w:type="pct" w:w="35%"/>
            <w:vAlign w:val="center"/>
          </w:tcPr>
          <w:p>
            <w:pPr>
              <w:spacing w:after="30" w:before="30"/>
              <w:jc w:val="left"/>
            </w:pPr>
            <w:r>
              <w:rPr>
                <w:rFonts w:ascii="Calibri" w:cs="Calibri" w:eastAsia="Calibri" w:hAnsi="Calibri"/>
                <w:color w:val="000000"/>
                <w:sz w:val="20"/>
                <w:szCs w:val="20"/>
              </w:rPr>
              <w:t xml:space="preserve">PASSIF</w:t>
            </w:r>
          </w:p>
        </w:tc>
        <w:tc>
          <w:tcPr>
            <w:tcW w:type="pct" w:w="22%"/>
            <w:vAlign w:val="center"/>
          </w:tcPr>
          <w:p>
            <w:pPr>
              <w:spacing w:after="30" w:before="30"/>
              <w:jc w:val="left"/>
            </w:pPr>
            <w:r>
              <w:rPr>
                <w:rFonts w:ascii="Calibri" w:cs="Calibri" w:eastAsia="Calibri" w:hAnsi="Calibri"/>
                <w:color w:val="000000"/>
                <w:sz w:val="20"/>
                <w:szCs w:val="20"/>
              </w:rPr>
              <w:t xml:space="preserve"/>
            </w:r>
          </w:p>
        </w:tc>
        <w:tc>
          <w:tcPr>
            <w:tcW w:type="pct" w:w="22%"/>
            <w:vAlign w:val="center"/>
          </w:tcPr>
          <w:p>
            <w:pPr>
              <w:spacing w:after="30" w:before="30"/>
              <w:jc w:val="left"/>
            </w:pPr>
            <w:r>
              <w:rPr>
                <w:rFonts w:ascii="Calibri" w:cs="Calibri" w:eastAsia="Calibri" w:hAnsi="Calibri"/>
                <w:color w:val="000000"/>
                <w:sz w:val="20"/>
                <w:szCs w:val="20"/>
              </w:rPr>
              <w:t xml:space="preserve"/>
            </w:r>
          </w:p>
        </w:tc>
        <w:tc>
          <w:tcPr>
            <w:tcW w:type="pct" w:w="22%"/>
            <w:vAlign w:val="center"/>
          </w:tcPr>
          <w:p>
            <w:pPr>
              <w:spacing w:after="30" w:before="30"/>
              <w:jc w:val="left"/>
            </w:pPr>
            <w:r>
              <w:rPr>
                <w:rFonts w:ascii="Calibri" w:cs="Calibri" w:eastAsia="Calibri" w:hAnsi="Calibri"/>
                <w:color w:val="000000"/>
                <w:sz w:val="20"/>
                <w:szCs w:val="20"/>
              </w:rPr>
              <w:t xml:space="preserve"/>
            </w:r>
          </w:p>
        </w:tc>
      </w:tr>
      <w:tr>
        <w:tc>
          <w:tcPr>
            <w:tcW w:type="pct" w:w="35%"/>
            <w:shd w:fill="EDF5F2" w:val="clear"/>
            <w:vAlign w:val="center"/>
          </w:tcPr>
          <w:p>
            <w:pPr>
              <w:spacing w:after="30" w:before="30"/>
              <w:jc w:val="left"/>
            </w:pPr>
            <w:r>
              <w:rPr>
                <w:rFonts w:ascii="Calibri" w:cs="Calibri" w:eastAsia="Calibri" w:hAnsi="Calibri"/>
                <w:color w:val="000000"/>
                <w:sz w:val="20"/>
                <w:szCs w:val="20"/>
              </w:rPr>
              <w:t xml:space="preserve">Capitaux propres</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10 410 000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19 410 000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59 160 000</w:t>
            </w:r>
          </w:p>
        </w:tc>
      </w:tr>
      <w:tr>
        <w:tc>
          <w:tcPr>
            <w:tcW w:type="pct" w:w="35%"/>
            <w:vAlign w:val="center"/>
          </w:tcPr>
          <w:p>
            <w:pPr>
              <w:spacing w:after="30" w:before="30"/>
              <w:jc w:val="left"/>
            </w:pPr>
            <w:r>
              <w:rPr>
                <w:rFonts w:ascii="Calibri" w:cs="Calibri" w:eastAsia="Calibri" w:hAnsi="Calibri"/>
                <w:color w:val="000000"/>
                <w:sz w:val="20"/>
                <w:szCs w:val="20"/>
              </w:rPr>
              <w:t xml:space="preserve">Dettes financieres</w:t>
            </w:r>
          </w:p>
        </w:tc>
        <w:tc>
          <w:tcPr>
            <w:tcW w:type="pct" w:w="22%"/>
            <w:vAlign w:val="center"/>
          </w:tcPr>
          <w:p>
            <w:pPr>
              <w:spacing w:after="30" w:before="30"/>
              <w:jc w:val="left"/>
            </w:pPr>
            <w:r>
              <w:rPr>
                <w:rFonts w:ascii="Calibri" w:cs="Calibri" w:eastAsia="Calibri" w:hAnsi="Calibri"/>
                <w:color w:val="000000"/>
                <w:sz w:val="20"/>
                <w:szCs w:val="20"/>
              </w:rPr>
              <w:t xml:space="preserve">12 000 000</w:t>
            </w:r>
          </w:p>
        </w:tc>
        <w:tc>
          <w:tcPr>
            <w:tcW w:type="pct" w:w="22%"/>
            <w:vAlign w:val="center"/>
          </w:tcPr>
          <w:p>
            <w:pPr>
              <w:spacing w:after="30" w:before="30"/>
              <w:jc w:val="left"/>
            </w:pPr>
            <w:r>
              <w:rPr>
                <w:rFonts w:ascii="Calibri" w:cs="Calibri" w:eastAsia="Calibri" w:hAnsi="Calibri"/>
                <w:color w:val="000000"/>
                <w:sz w:val="20"/>
                <w:szCs w:val="20"/>
              </w:rPr>
              <w:t xml:space="preserve">8 000 000</w:t>
            </w:r>
          </w:p>
        </w:tc>
        <w:tc>
          <w:tcPr>
            <w:tcW w:type="pct" w:w="22%"/>
            <w:vAlign w:val="center"/>
          </w:tcPr>
          <w:p>
            <w:pPr>
              <w:spacing w:after="30" w:before="30"/>
              <w:jc w:val="left"/>
            </w:pPr>
            <w:r>
              <w:rPr>
                <w:rFonts w:ascii="Calibri" w:cs="Calibri" w:eastAsia="Calibri" w:hAnsi="Calibri"/>
                <w:color w:val="000000"/>
                <w:sz w:val="20"/>
                <w:szCs w:val="20"/>
              </w:rPr>
              <w:t xml:space="preserve">4 000 000</w:t>
            </w:r>
          </w:p>
        </w:tc>
      </w:tr>
      <w:tr>
        <w:tc>
          <w:tcPr>
            <w:tcW w:type="pct" w:w="35%"/>
            <w:shd w:fill="EDF5F2" w:val="clear"/>
            <w:vAlign w:val="center"/>
          </w:tcPr>
          <w:p>
            <w:pPr>
              <w:spacing w:after="30" w:before="30"/>
              <w:jc w:val="left"/>
            </w:pPr>
            <w:r>
              <w:rPr>
                <w:rFonts w:ascii="Calibri" w:cs="Calibri" w:eastAsia="Calibri" w:hAnsi="Calibri"/>
                <w:color w:val="000000"/>
                <w:sz w:val="20"/>
                <w:szCs w:val="20"/>
              </w:rPr>
              <w:t xml:space="preserve">Dettes fournisseurs</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2 000 000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5 000 000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8 500 000</w:t>
            </w:r>
          </w:p>
        </w:tc>
      </w:tr>
      <w:tr>
        <w:tc>
          <w:tcPr>
            <w:tcW w:type="pct" w:w="35%"/>
            <w:vAlign w:val="center"/>
          </w:tcPr>
          <w:p>
            <w:pPr>
              <w:spacing w:after="30" w:before="30"/>
              <w:jc w:val="left"/>
            </w:pPr>
            <w:r>
              <w:rPr>
                <w:rFonts w:ascii="Calibri" w:cs="Calibri" w:eastAsia="Calibri" w:hAnsi="Calibri"/>
                <w:color w:val="000000"/>
                <w:sz w:val="20"/>
                <w:szCs w:val="20"/>
              </w:rPr>
              <w:t xml:space="preserve">Autres dettes</w:t>
            </w:r>
          </w:p>
        </w:tc>
        <w:tc>
          <w:tcPr>
            <w:tcW w:type="pct" w:w="22%"/>
            <w:vAlign w:val="center"/>
          </w:tcPr>
          <w:p>
            <w:pPr>
              <w:spacing w:after="30" w:before="30"/>
              <w:jc w:val="left"/>
            </w:pPr>
            <w:r>
              <w:rPr>
                <w:rFonts w:ascii="Calibri" w:cs="Calibri" w:eastAsia="Calibri" w:hAnsi="Calibri"/>
                <w:color w:val="000000"/>
                <w:sz w:val="20"/>
                <w:szCs w:val="20"/>
              </w:rPr>
              <w:t xml:space="preserve">3 000 000</w:t>
            </w:r>
          </w:p>
        </w:tc>
        <w:tc>
          <w:tcPr>
            <w:tcW w:type="pct" w:w="22%"/>
            <w:vAlign w:val="center"/>
          </w:tcPr>
          <w:p>
            <w:pPr>
              <w:spacing w:after="30" w:before="30"/>
              <w:jc w:val="left"/>
            </w:pPr>
            <w:r>
              <w:rPr>
                <w:rFonts w:ascii="Calibri" w:cs="Calibri" w:eastAsia="Calibri" w:hAnsi="Calibri"/>
                <w:color w:val="000000"/>
                <w:sz w:val="20"/>
                <w:szCs w:val="20"/>
              </w:rPr>
              <w:t xml:space="preserve">7 000 000</w:t>
            </w:r>
          </w:p>
        </w:tc>
        <w:tc>
          <w:tcPr>
            <w:tcW w:type="pct" w:w="22%"/>
            <w:vAlign w:val="center"/>
          </w:tcPr>
          <w:p>
            <w:pPr>
              <w:spacing w:after="30" w:before="30"/>
              <w:jc w:val="left"/>
            </w:pPr>
            <w:r>
              <w:rPr>
                <w:rFonts w:ascii="Calibri" w:cs="Calibri" w:eastAsia="Calibri" w:hAnsi="Calibri"/>
                <w:color w:val="000000"/>
                <w:sz w:val="20"/>
                <w:szCs w:val="20"/>
              </w:rPr>
              <w:t xml:space="preserve">10 000 000</w:t>
            </w:r>
          </w:p>
        </w:tc>
      </w:tr>
      <w:tr>
        <w:tc>
          <w:tcPr>
            <w:tcW w:type="pct" w:w="35%"/>
            <w:shd w:fill="EDF5F2" w:val="clear"/>
            <w:vAlign w:val="center"/>
          </w:tcPr>
          <w:p>
            <w:pPr>
              <w:spacing w:after="30" w:before="30"/>
              <w:jc w:val="left"/>
            </w:pPr>
            <w:r>
              <w:rPr>
                <w:rFonts w:ascii="Calibri" w:cs="Calibri" w:eastAsia="Calibri" w:hAnsi="Calibri"/>
                <w:color w:val="000000"/>
                <w:sz w:val="20"/>
                <w:szCs w:val="20"/>
              </w:rPr>
              <w:t xml:space="preserve">Total Passif</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27 410 000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49 410 000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107 660 000</w:t>
            </w:r>
          </w:p>
        </w:tc>
      </w:tr>
    </w:tbl>
    <w:p>
      <w:pPr>
        <w:pStyle w:val="Heading2"/>
        <w:spacing w:after="150" w:before="300" w:line="312"/>
      </w:pPr>
      <w:bookmarkStart w:id="100049" w:name="_Toc100049"/>
      <w:r>
        <w:rPr>
          <w:rFonts w:ascii="Times New Roman" w:cs="Times New Roman" w:eastAsia="Times New Roman" w:hAnsi="Times New Roman"/>
          <w:b/>
          <w:bCs/>
          <w:color w:val="2A7A65"/>
          <w:sz w:val="30"/>
          <w:szCs w:val="30"/>
        </w:rPr>
        <w:t xml:space="preserve">10.4 Plan de Tresorerie</w:t>
      </w:r>
      <w:bookmarkEnd w:id="100049"/>
    </w:p>
    <w:p>
      <w:pPr>
        <w:spacing w:after="120" w:line="312"/>
        <w:ind w:firstLine="480"/>
        <w:jc w:val="both"/>
      </w:pPr>
      <w:r>
        <w:rPr>
          <w:rFonts w:ascii="Calibri" w:cs="Calibri" w:eastAsia="Calibri" w:hAnsi="Calibri"/>
          <w:color w:val="000000"/>
          <w:sz w:val="22"/>
          <w:szCs w:val="22"/>
        </w:rPr>
        <w:t xml:space="preserve">Le plan de tresorerie previsionnel prend en compte les besoins de financement du cycle d'exploitation et les investissements prevus. En annee 1, le besoin en fonds de roulement est couvert par l'apport en capital et un emprunt bancaire de 12M Fcfa sur 5 ans. La tresorerie reste positive tout au long de l'annee grace a la gestion rigoureuse des encaissements et decaissements, avec un solde minimum de 1,9M Fcfa en fin d'annee.</w:t>
      </w:r>
    </w:p>
    <w:p>
      <w:pPr>
        <w:spacing w:after="120" w:line="312"/>
        <w:ind w:firstLine="480"/>
        <w:jc w:val="both"/>
      </w:pPr>
      <w:r>
        <w:rPr>
          <w:rFonts w:ascii="Calibri" w:cs="Calibri" w:eastAsia="Calibri" w:hAnsi="Calibri"/>
          <w:color w:val="000000"/>
          <w:sz w:val="22"/>
          <w:szCs w:val="22"/>
        </w:rPr>
        <w:t xml:space="preserve">En annee 2, la tresorerie se renforce significativement grace a l'amelioration de la rentabilite et au recouvrement des creances clients. Le remboursement de l'emprunt (4M Fcfa par an) est assure sans difficulte. En annee 3, la tresorerie atteint 55,7M Fcfa, offrant une marge de manoeuvre confortable pour financer la croissance organique ou d'eventuelles opportunites d'investissement. Le ratio de liquidite generale reste superieur a 1,5 sur toute la periode.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35%"/>
            <w:shd w:fill="2A7A65" w:val="clear"/>
            <w:vAlign w:val="center"/>
          </w:tcPr>
          <w:p>
            <w:pPr>
              <w:spacing w:after="40" w:before="40"/>
              <w:jc w:val="center"/>
            </w:pPr>
            <w:r>
              <w:rPr>
                <w:rFonts w:ascii="Calibri" w:cs="Calibri" w:eastAsia="Calibri" w:hAnsi="Calibri"/>
                <w:b/>
                <w:bCs/>
                <w:color w:val="FFFFFF"/>
                <w:sz w:val="20"/>
                <w:szCs w:val="20"/>
              </w:rPr>
              <w:t xml:space="preserve">Poste</w:t>
            </w:r>
          </w:p>
        </w:tc>
        <w:tc>
          <w:tcPr>
            <w:tcW w:type="pct" w:w="22%"/>
            <w:shd w:fill="2A7A65" w:val="clear"/>
            <w:vAlign w:val="center"/>
          </w:tcPr>
          <w:p>
            <w:pPr>
              <w:spacing w:after="40" w:before="40"/>
              <w:jc w:val="center"/>
            </w:pPr>
            <w:r>
              <w:rPr>
                <w:rFonts w:ascii="Calibri" w:cs="Calibri" w:eastAsia="Calibri" w:hAnsi="Calibri"/>
                <w:b/>
                <w:bCs/>
                <w:color w:val="FFFFFF"/>
                <w:sz w:val="20"/>
                <w:szCs w:val="20"/>
              </w:rPr>
              <w:t xml:space="preserve">Annee 1</w:t>
            </w:r>
          </w:p>
        </w:tc>
        <w:tc>
          <w:tcPr>
            <w:tcW w:type="pct" w:w="22%"/>
            <w:shd w:fill="2A7A65" w:val="clear"/>
            <w:vAlign w:val="center"/>
          </w:tcPr>
          <w:p>
            <w:pPr>
              <w:spacing w:after="40" w:before="40"/>
              <w:jc w:val="center"/>
            </w:pPr>
            <w:r>
              <w:rPr>
                <w:rFonts w:ascii="Calibri" w:cs="Calibri" w:eastAsia="Calibri" w:hAnsi="Calibri"/>
                <w:b/>
                <w:bCs/>
                <w:color w:val="FFFFFF"/>
                <w:sz w:val="20"/>
                <w:szCs w:val="20"/>
              </w:rPr>
              <w:t xml:space="preserve">Annee 2</w:t>
            </w:r>
          </w:p>
        </w:tc>
        <w:tc>
          <w:tcPr>
            <w:tcW w:type="pct" w:w="22%"/>
            <w:shd w:fill="2A7A65" w:val="clear"/>
            <w:vAlign w:val="center"/>
          </w:tcPr>
          <w:p>
            <w:pPr>
              <w:spacing w:after="40" w:before="40"/>
              <w:jc w:val="center"/>
            </w:pPr>
            <w:r>
              <w:rPr>
                <w:rFonts w:ascii="Calibri" w:cs="Calibri" w:eastAsia="Calibri" w:hAnsi="Calibri"/>
                <w:b/>
                <w:bCs/>
                <w:color w:val="FFFFFF"/>
                <w:sz w:val="20"/>
                <w:szCs w:val="20"/>
              </w:rPr>
              <w:t xml:space="preserve">Annee 3</w:t>
            </w:r>
          </w:p>
        </w:tc>
      </w:tr>
      <w:tr>
        <w:tc>
          <w:tcPr>
            <w:tcW w:type="pct" w:w="35%"/>
            <w:vAlign w:val="center"/>
          </w:tcPr>
          <w:p>
            <w:pPr>
              <w:spacing w:after="30" w:before="30"/>
              <w:jc w:val="left"/>
            </w:pPr>
            <w:r>
              <w:rPr>
                <w:rFonts w:ascii="Calibri" w:cs="Calibri" w:eastAsia="Calibri" w:hAnsi="Calibri"/>
                <w:color w:val="000000"/>
                <w:sz w:val="20"/>
                <w:szCs w:val="20"/>
              </w:rPr>
              <w:t xml:space="preserve">Encaissements d'exploitation</w:t>
            </w:r>
          </w:p>
        </w:tc>
        <w:tc>
          <w:tcPr>
            <w:tcW w:type="pct" w:w="22%"/>
            <w:vAlign w:val="center"/>
          </w:tcPr>
          <w:p>
            <w:pPr>
              <w:spacing w:after="30" w:before="30"/>
              <w:jc w:val="left"/>
            </w:pPr>
            <w:r>
              <w:rPr>
                <w:rFonts w:ascii="Calibri" w:cs="Calibri" w:eastAsia="Calibri" w:hAnsi="Calibri"/>
                <w:color w:val="000000"/>
                <w:sz w:val="20"/>
                <w:szCs w:val="20"/>
              </w:rPr>
              <w:t xml:space="preserve">17 400 000</w:t>
            </w:r>
          </w:p>
        </w:tc>
        <w:tc>
          <w:tcPr>
            <w:tcW w:type="pct" w:w="22%"/>
            <w:vAlign w:val="center"/>
          </w:tcPr>
          <w:p>
            <w:pPr>
              <w:spacing w:after="30" w:before="30"/>
              <w:jc w:val="left"/>
            </w:pPr>
            <w:r>
              <w:rPr>
                <w:rFonts w:ascii="Calibri" w:cs="Calibri" w:eastAsia="Calibri" w:hAnsi="Calibri"/>
                <w:color w:val="000000"/>
                <w:sz w:val="20"/>
                <w:szCs w:val="20"/>
              </w:rPr>
              <w:t xml:space="preserve">64 000 000</w:t>
            </w:r>
          </w:p>
        </w:tc>
        <w:tc>
          <w:tcPr>
            <w:tcW w:type="pct" w:w="22%"/>
            <w:vAlign w:val="center"/>
          </w:tcPr>
          <w:p>
            <w:pPr>
              <w:spacing w:after="30" w:before="30"/>
              <w:jc w:val="left"/>
            </w:pPr>
            <w:r>
              <w:rPr>
                <w:rFonts w:ascii="Calibri" w:cs="Calibri" w:eastAsia="Calibri" w:hAnsi="Calibri"/>
                <w:color w:val="000000"/>
                <w:sz w:val="20"/>
                <w:szCs w:val="20"/>
              </w:rPr>
              <w:t xml:space="preserve">135 000 000</w:t>
            </w:r>
          </w:p>
        </w:tc>
      </w:tr>
      <w:tr>
        <w:tc>
          <w:tcPr>
            <w:tcW w:type="pct" w:w="35%"/>
            <w:shd w:fill="EDF5F2" w:val="clear"/>
            <w:vAlign w:val="center"/>
          </w:tcPr>
          <w:p>
            <w:pPr>
              <w:spacing w:after="30" w:before="30"/>
              <w:jc w:val="left"/>
            </w:pPr>
            <w:r>
              <w:rPr>
                <w:rFonts w:ascii="Calibri" w:cs="Calibri" w:eastAsia="Calibri" w:hAnsi="Calibri"/>
                <w:color w:val="000000"/>
                <w:sz w:val="20"/>
                <w:szCs w:val="20"/>
              </w:rPr>
              <w:t xml:space="preserve">Decaissements d'exploitation</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(25 900 000)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(33 800 000)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(53 300 000)</w:t>
            </w:r>
          </w:p>
        </w:tc>
      </w:tr>
      <w:tr>
        <w:tc>
          <w:tcPr>
            <w:tcW w:type="pct" w:w="35%"/>
            <w:vAlign w:val="center"/>
          </w:tcPr>
          <w:p>
            <w:pPr>
              <w:spacing w:after="30" w:before="30"/>
              <w:jc w:val="left"/>
            </w:pPr>
            <w:r>
              <w:rPr>
                <w:rFonts w:ascii="Calibri" w:cs="Calibri" w:eastAsia="Calibri" w:hAnsi="Calibri"/>
                <w:color w:val="000000"/>
                <w:sz w:val="20"/>
                <w:szCs w:val="20"/>
              </w:rPr>
              <w:t xml:space="preserve">Flux d'exploitation</w:t>
            </w:r>
          </w:p>
        </w:tc>
        <w:tc>
          <w:tcPr>
            <w:tcW w:type="pct" w:w="22%"/>
            <w:vAlign w:val="center"/>
          </w:tcPr>
          <w:p>
            <w:pPr>
              <w:spacing w:after="30" w:before="30"/>
              <w:jc w:val="left"/>
            </w:pPr>
            <w:r>
              <w:rPr>
                <w:rFonts w:ascii="Calibri" w:cs="Calibri" w:eastAsia="Calibri" w:hAnsi="Calibri"/>
                <w:color w:val="000000"/>
                <w:sz w:val="20"/>
                <w:szCs w:val="20"/>
              </w:rPr>
              <w:t xml:space="preserve">(8 500 000)</w:t>
            </w:r>
          </w:p>
        </w:tc>
        <w:tc>
          <w:tcPr>
            <w:tcW w:type="pct" w:w="22%"/>
            <w:vAlign w:val="center"/>
          </w:tcPr>
          <w:p>
            <w:pPr>
              <w:spacing w:after="30" w:before="30"/>
              <w:jc w:val="left"/>
            </w:pPr>
            <w:r>
              <w:rPr>
                <w:rFonts w:ascii="Calibri" w:cs="Calibri" w:eastAsia="Calibri" w:hAnsi="Calibri"/>
                <w:color w:val="000000"/>
                <w:sz w:val="20"/>
                <w:szCs w:val="20"/>
              </w:rPr>
              <w:t xml:space="preserve">30 200 000</w:t>
            </w:r>
          </w:p>
        </w:tc>
        <w:tc>
          <w:tcPr>
            <w:tcW w:type="pct" w:w="22%"/>
            <w:vAlign w:val="center"/>
          </w:tcPr>
          <w:p>
            <w:pPr>
              <w:spacing w:after="30" w:before="30"/>
              <w:jc w:val="left"/>
            </w:pPr>
            <w:r>
              <w:rPr>
                <w:rFonts w:ascii="Calibri" w:cs="Calibri" w:eastAsia="Calibri" w:hAnsi="Calibri"/>
                <w:color w:val="000000"/>
                <w:sz w:val="20"/>
                <w:szCs w:val="20"/>
              </w:rPr>
              <w:t xml:space="preserve">81 700 000</w:t>
            </w:r>
          </w:p>
        </w:tc>
      </w:tr>
      <w:tr>
        <w:tc>
          <w:tcPr>
            <w:tcW w:type="pct" w:w="35%"/>
            <w:shd w:fill="EDF5F2" w:val="clear"/>
            <w:vAlign w:val="center"/>
          </w:tcPr>
          <w:p>
            <w:pPr>
              <w:spacing w:after="30" w:before="30"/>
              <w:jc w:val="left"/>
            </w:pPr>
            <w:r>
              <w:rPr>
                <w:rFonts w:ascii="Calibri" w:cs="Calibri" w:eastAsia="Calibri" w:hAnsi="Calibri"/>
                <w:color w:val="000000"/>
                <w:sz w:val="20"/>
                <w:szCs w:val="20"/>
              </w:rPr>
              <w:t xml:space="preserve">Investissements</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(25 000 000)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(5 000 000)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(10 000 000)</w:t>
            </w:r>
          </w:p>
        </w:tc>
      </w:tr>
      <w:tr>
        <w:tc>
          <w:tcPr>
            <w:tcW w:type="pct" w:w="35%"/>
            <w:vAlign w:val="center"/>
          </w:tcPr>
          <w:p>
            <w:pPr>
              <w:spacing w:after="30" w:before="30"/>
              <w:jc w:val="left"/>
            </w:pPr>
            <w:r>
              <w:rPr>
                <w:rFonts w:ascii="Calibri" w:cs="Calibri" w:eastAsia="Calibri" w:hAnsi="Calibri"/>
                <w:color w:val="000000"/>
                <w:sz w:val="20"/>
                <w:szCs w:val="20"/>
              </w:rPr>
              <w:t xml:space="preserve">Financements (emprunt)</w:t>
            </w:r>
          </w:p>
        </w:tc>
        <w:tc>
          <w:tcPr>
            <w:tcW w:type="pct" w:w="22%"/>
            <w:vAlign w:val="center"/>
          </w:tcPr>
          <w:p>
            <w:pPr>
              <w:spacing w:after="30" w:before="30"/>
              <w:jc w:val="left"/>
            </w:pPr>
            <w:r>
              <w:rPr>
                <w:rFonts w:ascii="Calibri" w:cs="Calibri" w:eastAsia="Calibri" w:hAnsi="Calibri"/>
                <w:color w:val="000000"/>
                <w:sz w:val="20"/>
                <w:szCs w:val="20"/>
              </w:rPr>
              <w:t xml:space="preserve">12 000 000</w:t>
            </w:r>
          </w:p>
        </w:tc>
        <w:tc>
          <w:tcPr>
            <w:tcW w:type="pct" w:w="22%"/>
            <w:vAlign w:val="center"/>
          </w:tcPr>
          <w:p>
            <w:pPr>
              <w:spacing w:after="30" w:before="30"/>
              <w:jc w:val="left"/>
            </w:pPr>
            <w:r>
              <w:rPr>
                <w:rFonts w:ascii="Calibri" w:cs="Calibri" w:eastAsia="Calibri" w:hAnsi="Calibri"/>
                <w:color w:val="000000"/>
                <w:sz w:val="20"/>
                <w:szCs w:val="20"/>
              </w:rPr>
              <w:t xml:space="preserve">0</w:t>
            </w:r>
          </w:p>
        </w:tc>
        <w:tc>
          <w:tcPr>
            <w:tcW w:type="pct" w:w="22%"/>
            <w:vAlign w:val="center"/>
          </w:tcPr>
          <w:p>
            <w:pPr>
              <w:spacing w:after="30" w:before="30"/>
              <w:jc w:val="left"/>
            </w:pPr>
            <w:r>
              <w:rPr>
                <w:rFonts w:ascii="Calibri" w:cs="Calibri" w:eastAsia="Calibri" w:hAnsi="Calibri"/>
                <w:color w:val="000000"/>
                <w:sz w:val="20"/>
                <w:szCs w:val="20"/>
              </w:rPr>
              <w:t xml:space="preserve">0</w:t>
            </w:r>
          </w:p>
        </w:tc>
      </w:tr>
      <w:tr>
        <w:tc>
          <w:tcPr>
            <w:tcW w:type="pct" w:w="35%"/>
            <w:shd w:fill="EDF5F2" w:val="clear"/>
            <w:vAlign w:val="center"/>
          </w:tcPr>
          <w:p>
            <w:pPr>
              <w:spacing w:after="30" w:before="30"/>
              <w:jc w:val="left"/>
            </w:pPr>
            <w:r>
              <w:rPr>
                <w:rFonts w:ascii="Calibri" w:cs="Calibri" w:eastAsia="Calibri" w:hAnsi="Calibri"/>
                <w:color w:val="000000"/>
                <w:sz w:val="20"/>
                <w:szCs w:val="20"/>
              </w:rPr>
              <w:t xml:space="preserve">Remboursement emprunt</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(4 000 000)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(4 000 000)</w:t>
            </w:r>
          </w:p>
        </w:tc>
      </w:tr>
      <w:tr>
        <w:tc>
          <w:tcPr>
            <w:tcW w:type="pct" w:w="35%"/>
            <w:vAlign w:val="center"/>
          </w:tcPr>
          <w:p>
            <w:pPr>
              <w:spacing w:after="30" w:before="30"/>
              <w:jc w:val="left"/>
            </w:pPr>
            <w:r>
              <w:rPr>
                <w:rFonts w:ascii="Calibri" w:cs="Calibri" w:eastAsia="Calibri" w:hAnsi="Calibri"/>
                <w:color w:val="000000"/>
                <w:sz w:val="20"/>
                <w:szCs w:val="20"/>
              </w:rPr>
              <w:t xml:space="preserve">Variation tresorerie</w:t>
            </w:r>
          </w:p>
        </w:tc>
        <w:tc>
          <w:tcPr>
            <w:tcW w:type="pct" w:w="22%"/>
            <w:vAlign w:val="center"/>
          </w:tcPr>
          <w:p>
            <w:pPr>
              <w:spacing w:after="30" w:before="30"/>
              <w:jc w:val="left"/>
            </w:pPr>
            <w:r>
              <w:rPr>
                <w:rFonts w:ascii="Calibri" w:cs="Calibri" w:eastAsia="Calibri" w:hAnsi="Calibri"/>
                <w:color w:val="000000"/>
                <w:sz w:val="20"/>
                <w:szCs w:val="20"/>
              </w:rPr>
              <w:t xml:space="preserve">(21 500 000)</w:t>
            </w:r>
          </w:p>
        </w:tc>
        <w:tc>
          <w:tcPr>
            <w:tcW w:type="pct" w:w="22%"/>
            <w:vAlign w:val="center"/>
          </w:tcPr>
          <w:p>
            <w:pPr>
              <w:spacing w:after="30" w:before="30"/>
              <w:jc w:val="left"/>
            </w:pPr>
            <w:r>
              <w:rPr>
                <w:rFonts w:ascii="Calibri" w:cs="Calibri" w:eastAsia="Calibri" w:hAnsi="Calibri"/>
                <w:color w:val="000000"/>
                <w:sz w:val="20"/>
                <w:szCs w:val="20"/>
              </w:rPr>
              <w:t xml:space="preserve">21 200 000</w:t>
            </w:r>
          </w:p>
        </w:tc>
        <w:tc>
          <w:tcPr>
            <w:tcW w:type="pct" w:w="22%"/>
            <w:vAlign w:val="center"/>
          </w:tcPr>
          <w:p>
            <w:pPr>
              <w:spacing w:after="30" w:before="30"/>
              <w:jc w:val="left"/>
            </w:pPr>
            <w:r>
              <w:rPr>
                <w:rFonts w:ascii="Calibri" w:cs="Calibri" w:eastAsia="Calibri" w:hAnsi="Calibri"/>
                <w:color w:val="000000"/>
                <w:sz w:val="20"/>
                <w:szCs w:val="20"/>
              </w:rPr>
              <w:t xml:space="preserve">67 700 000</w:t>
            </w:r>
          </w:p>
        </w:tc>
      </w:tr>
      <w:tr>
        <w:tc>
          <w:tcPr>
            <w:tcW w:type="pct" w:w="35%"/>
            <w:shd w:fill="EDF5F2" w:val="clear"/>
            <w:vAlign w:val="center"/>
          </w:tcPr>
          <w:p>
            <w:pPr>
              <w:spacing w:after="30" w:before="30"/>
              <w:jc w:val="left"/>
            </w:pPr>
            <w:r>
              <w:rPr>
                <w:rFonts w:ascii="Calibri" w:cs="Calibri" w:eastAsia="Calibri" w:hAnsi="Calibri"/>
                <w:color w:val="000000"/>
                <w:sz w:val="20"/>
                <w:szCs w:val="20"/>
              </w:rPr>
              <w:t xml:space="preserve">Tresorerie cumulee</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1 910 000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12 910 000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55 660 000</w:t>
            </w:r>
          </w:p>
        </w:tc>
      </w:tr>
    </w:tbl>
    <w:p>
      <w:pPr>
        <w:pStyle w:val="Heading2"/>
        <w:spacing w:after="150" w:before="300" w:line="312"/>
      </w:pPr>
      <w:bookmarkStart w:id="100050" w:name="_Toc100050"/>
      <w:r>
        <w:rPr>
          <w:rFonts w:ascii="Times New Roman" w:cs="Times New Roman" w:eastAsia="Times New Roman" w:hAnsi="Times New Roman"/>
          <w:b/>
          <w:bCs/>
          <w:color w:val="2A7A65"/>
          <w:sz w:val="30"/>
          <w:szCs w:val="30"/>
        </w:rPr>
        <w:t xml:space="preserve">10.5 Seuil de Rentabilite</w:t>
      </w:r>
      <w:bookmarkEnd w:id="100050"/>
    </w:p>
    <w:p>
      <w:pPr>
        <w:spacing w:after="120" w:line="312"/>
        <w:ind w:firstLine="480"/>
        <w:jc w:val="both"/>
      </w:pPr>
      <w:r>
        <w:rPr>
          <w:rFonts w:ascii="Calibri" w:cs="Calibri" w:eastAsia="Calibri" w:hAnsi="Calibri"/>
          <w:color w:val="000000"/>
          <w:sz w:val="22"/>
          <w:szCs w:val="22"/>
        </w:rPr>
        <w:t xml:space="preserve">Le seuil de rentabilite est atteint lorsque le chiffre d'affaires couvre l'ensemble des charges fixes et variables. Sur la base des hypotheses retenues, le seuil de rentabilite est estime a environ 47,6M Fcfa de chiffre d'affaires, ce qui correspond a un volume de vente d'environ 68 kg a 700 Fcfa/g (prix moyen pondere) ou environ 59,5 tonnes a 800 Fcfa/g. Ce seuil est atteint au cours du troisieme trimestre de l'annee 2, confirmant la viabilite du modele economique.</w:t>
      </w:r>
    </w:p>
    <w:p>
      <w:pPr>
        <w:spacing w:after="120" w:line="312"/>
        <w:ind w:firstLine="480"/>
        <w:jc w:val="both"/>
      </w:pPr>
      <w:r>
        <w:rPr>
          <w:rFonts w:ascii="Calibri" w:cs="Calibri" w:eastAsia="Calibri" w:hAnsi="Calibri"/>
          <w:color w:val="000000"/>
          <w:sz w:val="22"/>
          <w:szCs w:val="22"/>
        </w:rPr>
        <w:t xml:space="preserve">La marge de securite, c'est-a-dire l'ecart entre le chiffre d'affaires previsionnel et le seuil de rentabilite, est negative en annee 1 (-30,2M Fcfa), ce qui est normal pour une phase de lancement. Elle devient positive des l'annee 2 (+16,4M Fcfa) et atteint +87,4M Fcfa en annee 3, offrant une confortable marge de man oeuvre. Le levier operationnel est eleve, ce qui signifie que toute augmentation du chiffre d'affaires au-dela du seuil de rentabilite se traduit par une amplification proportionnellement plus importante du resultat.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35%"/>
            <w:shd w:fill="2A7A65" w:val="clear"/>
            <w:vAlign w:val="center"/>
          </w:tcPr>
          <w:p>
            <w:pPr>
              <w:spacing w:after="40" w:before="40"/>
              <w:jc w:val="center"/>
            </w:pPr>
            <w:r>
              <w:rPr>
                <w:rFonts w:ascii="Calibri" w:cs="Calibri" w:eastAsia="Calibri" w:hAnsi="Calibri"/>
                <w:b/>
                <w:bCs/>
                <w:color w:val="FFFFFF"/>
                <w:sz w:val="20"/>
                <w:szCs w:val="20"/>
              </w:rPr>
              <w:t xml:space="preserve">Indicateur</w:t>
            </w:r>
          </w:p>
        </w:tc>
        <w:tc>
          <w:tcPr>
            <w:tcW w:type="pct" w:w="22%"/>
            <w:shd w:fill="2A7A65" w:val="clear"/>
            <w:vAlign w:val="center"/>
          </w:tcPr>
          <w:p>
            <w:pPr>
              <w:spacing w:after="40" w:before="40"/>
              <w:jc w:val="center"/>
            </w:pPr>
            <w:r>
              <w:rPr>
                <w:rFonts w:ascii="Calibri" w:cs="Calibri" w:eastAsia="Calibri" w:hAnsi="Calibri"/>
                <w:b/>
                <w:bCs/>
                <w:color w:val="FFFFFF"/>
                <w:sz w:val="20"/>
                <w:szCs w:val="20"/>
              </w:rPr>
              <w:t xml:space="preserve">Annee 1</w:t>
            </w:r>
          </w:p>
        </w:tc>
        <w:tc>
          <w:tcPr>
            <w:tcW w:type="pct" w:w="22%"/>
            <w:shd w:fill="2A7A65" w:val="clear"/>
            <w:vAlign w:val="center"/>
          </w:tcPr>
          <w:p>
            <w:pPr>
              <w:spacing w:after="40" w:before="40"/>
              <w:jc w:val="center"/>
            </w:pPr>
            <w:r>
              <w:rPr>
                <w:rFonts w:ascii="Calibri" w:cs="Calibri" w:eastAsia="Calibri" w:hAnsi="Calibri"/>
                <w:b/>
                <w:bCs/>
                <w:color w:val="FFFFFF"/>
                <w:sz w:val="20"/>
                <w:szCs w:val="20"/>
              </w:rPr>
              <w:t xml:space="preserve">Annee 2</w:t>
            </w:r>
          </w:p>
        </w:tc>
        <w:tc>
          <w:tcPr>
            <w:tcW w:type="pct" w:w="22%"/>
            <w:shd w:fill="2A7A65" w:val="clear"/>
            <w:vAlign w:val="center"/>
          </w:tcPr>
          <w:p>
            <w:pPr>
              <w:spacing w:after="40" w:before="40"/>
              <w:jc w:val="center"/>
            </w:pPr>
            <w:r>
              <w:rPr>
                <w:rFonts w:ascii="Calibri" w:cs="Calibri" w:eastAsia="Calibri" w:hAnsi="Calibri"/>
                <w:b/>
                <w:bCs/>
                <w:color w:val="FFFFFF"/>
                <w:sz w:val="20"/>
                <w:szCs w:val="20"/>
              </w:rPr>
              <w:t xml:space="preserve">Annee 3</w:t>
            </w:r>
          </w:p>
        </w:tc>
      </w:tr>
      <w:tr>
        <w:tc>
          <w:tcPr>
            <w:tcW w:type="pct" w:w="35%"/>
            <w:vAlign w:val="center"/>
          </w:tcPr>
          <w:p>
            <w:pPr>
              <w:spacing w:after="30" w:before="30"/>
              <w:jc w:val="left"/>
            </w:pPr>
            <w:r>
              <w:rPr>
                <w:rFonts w:ascii="Calibri" w:cs="Calibri" w:eastAsia="Calibri" w:hAnsi="Calibri"/>
                <w:color w:val="000000"/>
                <w:sz w:val="20"/>
                <w:szCs w:val="20"/>
              </w:rPr>
              <w:t xml:space="preserve">Charges fixes</w:t>
            </w:r>
          </w:p>
        </w:tc>
        <w:tc>
          <w:tcPr>
            <w:tcW w:type="pct" w:w="22%"/>
            <w:vAlign w:val="center"/>
          </w:tcPr>
          <w:p>
            <w:pPr>
              <w:spacing w:after="30" w:before="30"/>
              <w:jc w:val="left"/>
            </w:pPr>
            <w:r>
              <w:rPr>
                <w:rFonts w:ascii="Calibri" w:cs="Calibri" w:eastAsia="Calibri" w:hAnsi="Calibri"/>
                <w:color w:val="000000"/>
                <w:sz w:val="20"/>
                <w:szCs w:val="20"/>
              </w:rPr>
              <w:t xml:space="preserve">13 100 000</w:t>
            </w:r>
          </w:p>
        </w:tc>
        <w:tc>
          <w:tcPr>
            <w:tcW w:type="pct" w:w="22%"/>
            <w:vAlign w:val="center"/>
          </w:tcPr>
          <w:p>
            <w:pPr>
              <w:spacing w:after="30" w:before="30"/>
              <w:jc w:val="left"/>
            </w:pPr>
            <w:r>
              <w:rPr>
                <w:rFonts w:ascii="Calibri" w:cs="Calibri" w:eastAsia="Calibri" w:hAnsi="Calibri"/>
                <w:color w:val="000000"/>
                <w:sz w:val="20"/>
                <w:szCs w:val="20"/>
              </w:rPr>
              <w:t xml:space="preserve">24 200 000</w:t>
            </w:r>
          </w:p>
        </w:tc>
        <w:tc>
          <w:tcPr>
            <w:tcW w:type="pct" w:w="22%"/>
            <w:vAlign w:val="center"/>
          </w:tcPr>
          <w:p>
            <w:pPr>
              <w:spacing w:after="30" w:before="30"/>
              <w:jc w:val="left"/>
            </w:pPr>
            <w:r>
              <w:rPr>
                <w:rFonts w:ascii="Calibri" w:cs="Calibri" w:eastAsia="Calibri" w:hAnsi="Calibri"/>
                <w:color w:val="000000"/>
                <w:sz w:val="20"/>
                <w:szCs w:val="20"/>
              </w:rPr>
              <w:t xml:space="preserve">43 600 000</w:t>
            </w:r>
          </w:p>
        </w:tc>
      </w:tr>
      <w:tr>
        <w:tc>
          <w:tcPr>
            <w:tcW w:type="pct" w:w="35%"/>
            <w:shd w:fill="EDF5F2" w:val="clear"/>
            <w:vAlign w:val="center"/>
          </w:tcPr>
          <w:p>
            <w:pPr>
              <w:spacing w:after="30" w:before="30"/>
              <w:jc w:val="left"/>
            </w:pPr>
            <w:r>
              <w:rPr>
                <w:rFonts w:ascii="Calibri" w:cs="Calibri" w:eastAsia="Calibri" w:hAnsi="Calibri"/>
                <w:color w:val="000000"/>
                <w:sz w:val="20"/>
                <w:szCs w:val="20"/>
              </w:rPr>
              <w:t xml:space="preserve">Taux de marge sur couts variables</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65%</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72%</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79%</w:t>
            </w:r>
          </w:p>
        </w:tc>
      </w:tr>
      <w:tr>
        <w:tc>
          <w:tcPr>
            <w:tcW w:type="pct" w:w="35%"/>
            <w:vAlign w:val="center"/>
          </w:tcPr>
          <w:p>
            <w:pPr>
              <w:spacing w:after="30" w:before="30"/>
              <w:jc w:val="left"/>
            </w:pPr>
            <w:r>
              <w:rPr>
                <w:rFonts w:ascii="Calibri" w:cs="Calibri" w:eastAsia="Calibri" w:hAnsi="Calibri"/>
                <w:color w:val="000000"/>
                <w:sz w:val="20"/>
                <w:szCs w:val="20"/>
              </w:rPr>
              <w:t xml:space="preserve">Seuil de rentabilite (CA)</w:t>
            </w:r>
          </w:p>
        </w:tc>
        <w:tc>
          <w:tcPr>
            <w:tcW w:type="pct" w:w="22%"/>
            <w:vAlign w:val="center"/>
          </w:tcPr>
          <w:p>
            <w:pPr>
              <w:spacing w:after="30" w:before="30"/>
              <w:jc w:val="left"/>
            </w:pPr>
            <w:r>
              <w:rPr>
                <w:rFonts w:ascii="Calibri" w:cs="Calibri" w:eastAsia="Calibri" w:hAnsi="Calibri"/>
                <w:color w:val="000000"/>
                <w:sz w:val="20"/>
                <w:szCs w:val="20"/>
              </w:rPr>
              <w:t xml:space="preserve">20 154 000</w:t>
            </w:r>
          </w:p>
        </w:tc>
        <w:tc>
          <w:tcPr>
            <w:tcW w:type="pct" w:w="22%"/>
            <w:vAlign w:val="center"/>
          </w:tcPr>
          <w:p>
            <w:pPr>
              <w:spacing w:after="30" w:before="30"/>
              <w:jc w:val="left"/>
            </w:pPr>
            <w:r>
              <w:rPr>
                <w:rFonts w:ascii="Calibri" w:cs="Calibri" w:eastAsia="Calibri" w:hAnsi="Calibri"/>
                <w:color w:val="000000"/>
                <w:sz w:val="20"/>
                <w:szCs w:val="20"/>
              </w:rPr>
              <w:t xml:space="preserve">33 611 000</w:t>
            </w:r>
          </w:p>
        </w:tc>
        <w:tc>
          <w:tcPr>
            <w:tcW w:type="pct" w:w="22%"/>
            <w:vAlign w:val="center"/>
          </w:tcPr>
          <w:p>
            <w:pPr>
              <w:spacing w:after="30" w:before="30"/>
              <w:jc w:val="left"/>
            </w:pPr>
            <w:r>
              <w:rPr>
                <w:rFonts w:ascii="Calibri" w:cs="Calibri" w:eastAsia="Calibri" w:hAnsi="Calibri"/>
                <w:color w:val="000000"/>
                <w:sz w:val="20"/>
                <w:szCs w:val="20"/>
              </w:rPr>
              <w:t xml:space="preserve">55 190 000</w:t>
            </w:r>
          </w:p>
        </w:tc>
      </w:tr>
      <w:tr>
        <w:tc>
          <w:tcPr>
            <w:tcW w:type="pct" w:w="35%"/>
            <w:shd w:fill="EDF5F2" w:val="clear"/>
            <w:vAlign w:val="center"/>
          </w:tcPr>
          <w:p>
            <w:pPr>
              <w:spacing w:after="30" w:before="30"/>
              <w:jc w:val="left"/>
            </w:pPr>
            <w:r>
              <w:rPr>
                <w:rFonts w:ascii="Calibri" w:cs="Calibri" w:eastAsia="Calibri" w:hAnsi="Calibri"/>
                <w:color w:val="000000"/>
                <w:sz w:val="20"/>
                <w:szCs w:val="20"/>
              </w:rPr>
              <w:t xml:space="preserve">CA previsionnel</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17 400 000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64 000 000</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135 000 000</w:t>
            </w:r>
          </w:p>
        </w:tc>
      </w:tr>
      <w:tr>
        <w:tc>
          <w:tcPr>
            <w:tcW w:type="pct" w:w="35%"/>
            <w:vAlign w:val="center"/>
          </w:tcPr>
          <w:p>
            <w:pPr>
              <w:spacing w:after="30" w:before="30"/>
              <w:jc w:val="left"/>
            </w:pPr>
            <w:r>
              <w:rPr>
                <w:rFonts w:ascii="Calibri" w:cs="Calibri" w:eastAsia="Calibri" w:hAnsi="Calibri"/>
                <w:color w:val="000000"/>
                <w:sz w:val="20"/>
                <w:szCs w:val="20"/>
              </w:rPr>
              <w:t xml:space="preserve">Marge de securite</w:t>
            </w:r>
          </w:p>
        </w:tc>
        <w:tc>
          <w:tcPr>
            <w:tcW w:type="pct" w:w="22%"/>
            <w:vAlign w:val="center"/>
          </w:tcPr>
          <w:p>
            <w:pPr>
              <w:spacing w:after="30" w:before="30"/>
              <w:jc w:val="left"/>
            </w:pPr>
            <w:r>
              <w:rPr>
                <w:rFonts w:ascii="Calibri" w:cs="Calibri" w:eastAsia="Calibri" w:hAnsi="Calibri"/>
                <w:color w:val="000000"/>
                <w:sz w:val="20"/>
                <w:szCs w:val="20"/>
              </w:rPr>
              <w:t xml:space="preserve">(2 754 000)</w:t>
            </w:r>
          </w:p>
        </w:tc>
        <w:tc>
          <w:tcPr>
            <w:tcW w:type="pct" w:w="22%"/>
            <w:vAlign w:val="center"/>
          </w:tcPr>
          <w:p>
            <w:pPr>
              <w:spacing w:after="30" w:before="30"/>
              <w:jc w:val="left"/>
            </w:pPr>
            <w:r>
              <w:rPr>
                <w:rFonts w:ascii="Calibri" w:cs="Calibri" w:eastAsia="Calibri" w:hAnsi="Calibri"/>
                <w:color w:val="000000"/>
                <w:sz w:val="20"/>
                <w:szCs w:val="20"/>
              </w:rPr>
              <w:t xml:space="preserve">30 389 000</w:t>
            </w:r>
          </w:p>
        </w:tc>
        <w:tc>
          <w:tcPr>
            <w:tcW w:type="pct" w:w="22%"/>
            <w:vAlign w:val="center"/>
          </w:tcPr>
          <w:p>
            <w:pPr>
              <w:spacing w:after="30" w:before="30"/>
              <w:jc w:val="left"/>
            </w:pPr>
            <w:r>
              <w:rPr>
                <w:rFonts w:ascii="Calibri" w:cs="Calibri" w:eastAsia="Calibri" w:hAnsi="Calibri"/>
                <w:color w:val="000000"/>
                <w:sz w:val="20"/>
                <w:szCs w:val="20"/>
              </w:rPr>
              <w:t xml:space="preserve">79 810 000</w:t>
            </w:r>
          </w:p>
        </w:tc>
      </w:tr>
      <w:tr>
        <w:tc>
          <w:tcPr>
            <w:tcW w:type="pct" w:w="35%"/>
            <w:shd w:fill="EDF5F2" w:val="clear"/>
            <w:vAlign w:val="center"/>
          </w:tcPr>
          <w:p>
            <w:pPr>
              <w:spacing w:after="30" w:before="30"/>
              <w:jc w:val="left"/>
            </w:pPr>
            <w:r>
              <w:rPr>
                <w:rFonts w:ascii="Calibri" w:cs="Calibri" w:eastAsia="Calibri" w:hAnsi="Calibri"/>
                <w:color w:val="000000"/>
                <w:sz w:val="20"/>
                <w:szCs w:val="20"/>
              </w:rPr>
              <w:t xml:space="preserve">Indice de securite</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-15,8%</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47,5%</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59,1%</w:t>
            </w:r>
          </w:p>
        </w:tc>
      </w:tr>
    </w:tbl>
    <w:p>
      <w:pPr>
        <w:pStyle w:val="Heading2"/>
        <w:spacing w:after="150" w:before="300" w:line="312"/>
      </w:pPr>
      <w:bookmarkStart w:id="100051" w:name="_Toc100051"/>
      <w:r>
        <w:rPr>
          <w:rFonts w:ascii="Times New Roman" w:cs="Times New Roman" w:eastAsia="Times New Roman" w:hAnsi="Times New Roman"/>
          <w:b/>
          <w:bCs/>
          <w:color w:val="2A7A65"/>
          <w:sz w:val="30"/>
          <w:szCs w:val="30"/>
        </w:rPr>
        <w:t xml:space="preserve">10.6 Besoins de Financement</w:t>
      </w:r>
      <w:bookmarkEnd w:id="100051"/>
    </w:p>
    <w:p>
      <w:pPr>
        <w:spacing w:after="120" w:line="312"/>
        <w:ind w:firstLine="480"/>
        <w:jc w:val="both"/>
      </w:pPr>
      <w:r>
        <w:rPr>
          <w:rFonts w:ascii="Calibri" w:cs="Calibri" w:eastAsia="Calibri" w:hAnsi="Calibri"/>
          <w:color w:val="000000"/>
          <w:sz w:val="22"/>
          <w:szCs w:val="22"/>
        </w:rPr>
        <w:t xml:space="preserve">Les besoins de financement totaux pour les trois premieres annees s'elevent a 72M Fcfa, decomposes comme suit : investissement initial de 25M Fcfa (equipements de production, laboratoire, amenagements locaux, vehicules), besoin en fonds de roulement de 15M Fcfa (stocks, creances clients), budget marketing de lancement de 12M Fcfa, et besoin de tresorerie complementaire de 20M Fcfa pour couvrir les pertes d'exploitation prevues en annee 1 et le financement de la croissance en annee 2.</w:t>
      </w:r>
    </w:p>
    <w:p>
      <w:pPr>
        <w:spacing w:after="120" w:line="312"/>
        <w:ind w:firstLine="480"/>
        <w:jc w:val="both"/>
      </w:pPr>
      <w:r>
        <w:rPr>
          <w:rFonts w:ascii="Calibri" w:cs="Calibri" w:eastAsia="Calibri" w:hAnsi="Calibri"/>
          <w:color w:val="000000"/>
          <w:sz w:val="22"/>
          <w:szCs w:val="22"/>
        </w:rPr>
        <w:t xml:space="preserve">Le plan de financement prevoit un apport en capital de 25M Fcfa par les associes, un emprunt bancaire de 12M Fcfa sur 5 ans (taux estime a 8 pourcent), une subvention du FIRCA estimee a 10M Fcfa dans le cadre du soutien a l'innovation agricole, et un apport en compte courant d'associe de 25M Fcfa, rembourse a compter de l'annee 2. Le plan de financement est equilibre sur les trois annees, avec un endettement maitrise et une capacite d'autofinancement progressive.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5%"/>
            <w:shd w:fill="2A7A65" w:val="clear"/>
            <w:vAlign w:val="center"/>
          </w:tcPr>
          <w:p>
            <w:pPr>
              <w:spacing w:after="40" w:before="40"/>
              <w:jc w:val="center"/>
            </w:pPr>
            <w:r>
              <w:rPr>
                <w:rFonts w:ascii="Calibri" w:cs="Calibri" w:eastAsia="Calibri" w:hAnsi="Calibri"/>
                <w:b/>
                <w:bCs/>
                <w:color w:val="FFFFFF"/>
                <w:sz w:val="20"/>
                <w:szCs w:val="20"/>
              </w:rPr>
              <w:t xml:space="preserve">Source de financement</w:t>
            </w:r>
          </w:p>
        </w:tc>
        <w:tc>
          <w:tcPr>
            <w:tcW w:type="pct" w:w="22%"/>
            <w:shd w:fill="2A7A65" w:val="clear"/>
            <w:vAlign w:val="center"/>
          </w:tcPr>
          <w:p>
            <w:pPr>
              <w:spacing w:after="40" w:before="40"/>
              <w:jc w:val="center"/>
            </w:pPr>
            <w:r>
              <w:rPr>
                <w:rFonts w:ascii="Calibri" w:cs="Calibri" w:eastAsia="Calibri" w:hAnsi="Calibri"/>
                <w:b/>
                <w:bCs/>
                <w:color w:val="FFFFFF"/>
                <w:sz w:val="20"/>
                <w:szCs w:val="20"/>
              </w:rPr>
              <w:t xml:space="preserve">Montant (Fcfa)</w:t>
            </w:r>
          </w:p>
        </w:tc>
        <w:tc>
          <w:tcPr>
            <w:tcW w:type="pct" w:w="25%"/>
            <w:shd w:fill="2A7A65" w:val="clear"/>
            <w:vAlign w:val="center"/>
          </w:tcPr>
          <w:p>
            <w:pPr>
              <w:spacing w:after="40" w:before="40"/>
              <w:jc w:val="center"/>
            </w:pPr>
            <w:r>
              <w:rPr>
                <w:rFonts w:ascii="Calibri" w:cs="Calibri" w:eastAsia="Calibri" w:hAnsi="Calibri"/>
                <w:b/>
                <w:bCs/>
                <w:color w:val="FFFFFF"/>
                <w:sz w:val="20"/>
                <w:szCs w:val="20"/>
              </w:rPr>
              <w:t xml:space="preserve">Conditions</w:t>
            </w:r>
          </w:p>
        </w:tc>
        <w:tc>
          <w:tcPr>
            <w:tcW w:type="pct" w:w="28%"/>
            <w:shd w:fill="2A7A65" w:val="clear"/>
            <w:vAlign w:val="center"/>
          </w:tcPr>
          <w:p>
            <w:pPr>
              <w:spacing w:after="40" w:before="40"/>
              <w:jc w:val="center"/>
            </w:pPr>
            <w:r>
              <w:rPr>
                <w:rFonts w:ascii="Calibri" w:cs="Calibri" w:eastAsia="Calibri" w:hAnsi="Calibri"/>
                <w:b/>
                <w:bCs/>
                <w:color w:val="FFFFFF"/>
                <w:sz w:val="20"/>
                <w:szCs w:val="20"/>
              </w:rPr>
              <w:t xml:space="preserve">Echeance</w:t>
            </w:r>
          </w:p>
        </w:tc>
      </w:tr>
      <w:tr>
        <w:tc>
          <w:tcPr>
            <w:tcW w:type="pct" w:w="25%"/>
            <w:vAlign w:val="center"/>
          </w:tcPr>
          <w:p>
            <w:pPr>
              <w:spacing w:after="30" w:before="30"/>
              <w:jc w:val="left"/>
            </w:pPr>
            <w:r>
              <w:rPr>
                <w:rFonts w:ascii="Calibri" w:cs="Calibri" w:eastAsia="Calibri" w:hAnsi="Calibri"/>
                <w:color w:val="000000"/>
                <w:sz w:val="20"/>
                <w:szCs w:val="20"/>
              </w:rPr>
              <w:t xml:space="preserve">Apport en capital</w:t>
            </w:r>
          </w:p>
        </w:tc>
        <w:tc>
          <w:tcPr>
            <w:tcW w:type="pct" w:w="22%"/>
            <w:vAlign w:val="center"/>
          </w:tcPr>
          <w:p>
            <w:pPr>
              <w:spacing w:after="30" w:before="30"/>
              <w:jc w:val="left"/>
            </w:pPr>
            <w:r>
              <w:rPr>
                <w:rFonts w:ascii="Calibri" w:cs="Calibri" w:eastAsia="Calibri" w:hAnsi="Calibri"/>
                <w:color w:val="000000"/>
                <w:sz w:val="20"/>
                <w:szCs w:val="20"/>
              </w:rPr>
              <w:t xml:space="preserve">25 000 000</w:t>
            </w:r>
          </w:p>
        </w:tc>
        <w:tc>
          <w:tcPr>
            <w:tcW w:type="pct" w:w="25%"/>
            <w:vAlign w:val="center"/>
          </w:tcPr>
          <w:p>
            <w:pPr>
              <w:spacing w:after="30" w:before="30"/>
              <w:jc w:val="left"/>
            </w:pPr>
            <w:r>
              <w:rPr>
                <w:rFonts w:ascii="Calibri" w:cs="Calibri" w:eastAsia="Calibri" w:hAnsi="Calibri"/>
                <w:color w:val="000000"/>
                <w:sz w:val="20"/>
                <w:szCs w:val="20"/>
              </w:rPr>
              <w:t xml:space="preserve">Fonds propres</w:t>
            </w:r>
          </w:p>
        </w:tc>
        <w:tc>
          <w:tcPr>
            <w:tcW w:type="pct" w:w="28%"/>
            <w:vAlign w:val="center"/>
          </w:tcPr>
          <w:p>
            <w:pPr>
              <w:spacing w:after="30" w:before="30"/>
              <w:jc w:val="left"/>
            </w:pPr>
            <w:r>
              <w:rPr>
                <w:rFonts w:ascii="Calibri" w:cs="Calibri" w:eastAsia="Calibri" w:hAnsi="Calibri"/>
                <w:color w:val="000000"/>
                <w:sz w:val="20"/>
                <w:szCs w:val="20"/>
              </w:rPr>
              <w:t xml:space="preserve">Permanent</w:t>
            </w:r>
          </w:p>
        </w:tc>
      </w:tr>
      <w:tr>
        <w:tc>
          <w:tcPr>
            <w:tcW w:type="pct" w:w="25%"/>
            <w:shd w:fill="EDF5F2" w:val="clear"/>
            <w:vAlign w:val="center"/>
          </w:tcPr>
          <w:p>
            <w:pPr>
              <w:spacing w:after="30" w:before="30"/>
              <w:jc w:val="left"/>
            </w:pPr>
            <w:r>
              <w:rPr>
                <w:rFonts w:ascii="Calibri" w:cs="Calibri" w:eastAsia="Calibri" w:hAnsi="Calibri"/>
                <w:color w:val="000000"/>
                <w:sz w:val="20"/>
                <w:szCs w:val="20"/>
              </w:rPr>
              <w:t xml:space="preserve">Emprunt bancaire</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12 000 000</w:t>
            </w:r>
          </w:p>
        </w:tc>
        <w:tc>
          <w:tcPr>
            <w:tcW w:type="pct" w:w="25%"/>
            <w:shd w:fill="EDF5F2" w:val="clear"/>
            <w:vAlign w:val="center"/>
          </w:tcPr>
          <w:p>
            <w:pPr>
              <w:spacing w:after="30" w:before="30"/>
              <w:jc w:val="left"/>
            </w:pPr>
            <w:r>
              <w:rPr>
                <w:rFonts w:ascii="Calibri" w:cs="Calibri" w:eastAsia="Calibri" w:hAnsi="Calibri"/>
                <w:color w:val="000000"/>
                <w:sz w:val="20"/>
                <w:szCs w:val="20"/>
              </w:rPr>
              <w:t xml:space="preserve">Taux 8%, sur 5 ans</w:t>
            </w:r>
          </w:p>
        </w:tc>
        <w:tc>
          <w:tcPr>
            <w:tcW w:type="pct" w:w="28%"/>
            <w:shd w:fill="EDF5F2" w:val="clear"/>
            <w:vAlign w:val="center"/>
          </w:tcPr>
          <w:p>
            <w:pPr>
              <w:spacing w:after="30" w:before="30"/>
              <w:jc w:val="left"/>
            </w:pPr>
            <w:r>
              <w:rPr>
                <w:rFonts w:ascii="Calibri" w:cs="Calibri" w:eastAsia="Calibri" w:hAnsi="Calibri"/>
                <w:color w:val="000000"/>
                <w:sz w:val="20"/>
                <w:szCs w:val="20"/>
              </w:rPr>
              <w:t xml:space="preserve">2026-2031</w:t>
            </w:r>
          </w:p>
        </w:tc>
      </w:tr>
      <w:tr>
        <w:tc>
          <w:tcPr>
            <w:tcW w:type="pct" w:w="25%"/>
            <w:vAlign w:val="center"/>
          </w:tcPr>
          <w:p>
            <w:pPr>
              <w:spacing w:after="30" w:before="30"/>
              <w:jc w:val="left"/>
            </w:pPr>
            <w:r>
              <w:rPr>
                <w:rFonts w:ascii="Calibri" w:cs="Calibri" w:eastAsia="Calibri" w:hAnsi="Calibri"/>
                <w:color w:val="000000"/>
                <w:sz w:val="20"/>
                <w:szCs w:val="20"/>
              </w:rPr>
              <w:t xml:space="preserve">Subvention FIRCA</w:t>
            </w:r>
          </w:p>
        </w:tc>
        <w:tc>
          <w:tcPr>
            <w:tcW w:type="pct" w:w="22%"/>
            <w:vAlign w:val="center"/>
          </w:tcPr>
          <w:p>
            <w:pPr>
              <w:spacing w:after="30" w:before="30"/>
              <w:jc w:val="left"/>
            </w:pPr>
            <w:r>
              <w:rPr>
                <w:rFonts w:ascii="Calibri" w:cs="Calibri" w:eastAsia="Calibri" w:hAnsi="Calibri"/>
                <w:color w:val="000000"/>
                <w:sz w:val="20"/>
                <w:szCs w:val="20"/>
              </w:rPr>
              <w:t xml:space="preserve">10 000 000</w:t>
            </w:r>
          </w:p>
        </w:tc>
        <w:tc>
          <w:tcPr>
            <w:tcW w:type="pct" w:w="25%"/>
            <w:vAlign w:val="center"/>
          </w:tcPr>
          <w:p>
            <w:pPr>
              <w:spacing w:after="30" w:before="30"/>
              <w:jc w:val="left"/>
            </w:pPr>
            <w:r>
              <w:rPr>
                <w:rFonts w:ascii="Calibri" w:cs="Calibri" w:eastAsia="Calibri" w:hAnsi="Calibri"/>
                <w:color w:val="000000"/>
                <w:sz w:val="20"/>
                <w:szCs w:val="20"/>
              </w:rPr>
              <w:t xml:space="preserve">Non remboursable</w:t>
            </w:r>
          </w:p>
        </w:tc>
        <w:tc>
          <w:tcPr>
            <w:tcW w:type="pct" w:w="28%"/>
            <w:vAlign w:val="center"/>
          </w:tcPr>
          <w:p>
            <w:pPr>
              <w:spacing w:after="30" w:before="30"/>
              <w:jc w:val="left"/>
            </w:pPr>
            <w:r>
              <w:rPr>
                <w:rFonts w:ascii="Calibri" w:cs="Calibri" w:eastAsia="Calibri" w:hAnsi="Calibri"/>
                <w:color w:val="000000"/>
                <w:sz w:val="20"/>
                <w:szCs w:val="20"/>
              </w:rPr>
              <w:t xml:space="preserve">2026</w:t>
            </w:r>
          </w:p>
        </w:tc>
      </w:tr>
      <w:tr>
        <w:tc>
          <w:tcPr>
            <w:tcW w:type="pct" w:w="25%"/>
            <w:shd w:fill="EDF5F2" w:val="clear"/>
            <w:vAlign w:val="center"/>
          </w:tcPr>
          <w:p>
            <w:pPr>
              <w:spacing w:after="30" w:before="30"/>
              <w:jc w:val="left"/>
            </w:pPr>
            <w:r>
              <w:rPr>
                <w:rFonts w:ascii="Calibri" w:cs="Calibri" w:eastAsia="Calibri" w:hAnsi="Calibri"/>
                <w:color w:val="000000"/>
                <w:sz w:val="20"/>
                <w:szCs w:val="20"/>
              </w:rPr>
              <w:t xml:space="preserve">Compte courant associe</w:t>
            </w:r>
          </w:p>
        </w:tc>
        <w:tc>
          <w:tcPr>
            <w:tcW w:type="pct" w:w="22%"/>
            <w:shd w:fill="EDF5F2" w:val="clear"/>
            <w:vAlign w:val="center"/>
          </w:tcPr>
          <w:p>
            <w:pPr>
              <w:spacing w:after="30" w:before="30"/>
              <w:jc w:val="left"/>
            </w:pPr>
            <w:r>
              <w:rPr>
                <w:rFonts w:ascii="Calibri" w:cs="Calibri" w:eastAsia="Calibri" w:hAnsi="Calibri"/>
                <w:color w:val="000000"/>
                <w:sz w:val="20"/>
                <w:szCs w:val="20"/>
              </w:rPr>
              <w:t xml:space="preserve">25 000 000</w:t>
            </w:r>
          </w:p>
        </w:tc>
        <w:tc>
          <w:tcPr>
            <w:tcW w:type="pct" w:w="25%"/>
            <w:shd w:fill="EDF5F2" w:val="clear"/>
            <w:vAlign w:val="center"/>
          </w:tcPr>
          <w:p>
            <w:pPr>
              <w:spacing w:after="30" w:before="30"/>
              <w:jc w:val="left"/>
            </w:pPr>
            <w:r>
              <w:rPr>
                <w:rFonts w:ascii="Calibri" w:cs="Calibri" w:eastAsia="Calibri" w:hAnsi="Calibri"/>
                <w:color w:val="000000"/>
                <w:sz w:val="20"/>
                <w:szCs w:val="20"/>
              </w:rPr>
              <w:t xml:space="preserve">Taux 0%, remb. annee 2+</w:t>
            </w:r>
          </w:p>
        </w:tc>
        <w:tc>
          <w:tcPr>
            <w:tcW w:type="pct" w:w="28%"/>
            <w:shd w:fill="EDF5F2" w:val="clear"/>
            <w:vAlign w:val="center"/>
          </w:tcPr>
          <w:p>
            <w:pPr>
              <w:spacing w:after="30" w:before="30"/>
              <w:jc w:val="left"/>
            </w:pPr>
            <w:r>
              <w:rPr>
                <w:rFonts w:ascii="Calibri" w:cs="Calibri" w:eastAsia="Calibri" w:hAnsi="Calibri"/>
                <w:color w:val="000000"/>
                <w:sz w:val="20"/>
                <w:szCs w:val="20"/>
              </w:rPr>
              <w:t xml:space="preserve">2026-2028</w:t>
            </w:r>
          </w:p>
        </w:tc>
      </w:tr>
      <w:tr>
        <w:tc>
          <w:tcPr>
            <w:tcW w:type="pct" w:w="25%"/>
            <w:vAlign w:val="center"/>
          </w:tcPr>
          <w:p>
            <w:pPr>
              <w:spacing w:after="30" w:before="30"/>
              <w:jc w:val="left"/>
            </w:pPr>
            <w:r>
              <w:rPr>
                <w:rFonts w:ascii="Calibri" w:cs="Calibri" w:eastAsia="Calibri" w:hAnsi="Calibri"/>
                <w:color w:val="000000"/>
                <w:sz w:val="20"/>
                <w:szCs w:val="20"/>
              </w:rPr>
              <w:t xml:space="preserve">Total financement</w:t>
            </w:r>
          </w:p>
        </w:tc>
        <w:tc>
          <w:tcPr>
            <w:tcW w:type="pct" w:w="22%"/>
            <w:vAlign w:val="center"/>
          </w:tcPr>
          <w:p>
            <w:pPr>
              <w:spacing w:after="30" w:before="30"/>
              <w:jc w:val="left"/>
            </w:pPr>
            <w:r>
              <w:rPr>
                <w:rFonts w:ascii="Calibri" w:cs="Calibri" w:eastAsia="Calibri" w:hAnsi="Calibri"/>
                <w:color w:val="000000"/>
                <w:sz w:val="20"/>
                <w:szCs w:val="20"/>
              </w:rPr>
              <w:t xml:space="preserve">72 000 000</w:t>
            </w:r>
          </w:p>
        </w:tc>
        <w:tc>
          <w:tcPr>
            <w:tcW w:type="pct" w:w="25%"/>
            <w:vAlign w:val="center"/>
          </w:tcPr>
          <w:p>
            <w:pPr>
              <w:spacing w:after="30" w:before="30"/>
              <w:jc w:val="left"/>
            </w:pPr>
            <w:r>
              <w:rPr>
                <w:rFonts w:ascii="Calibri" w:cs="Calibri" w:eastAsia="Calibri" w:hAnsi="Calibri"/>
                <w:color w:val="000000"/>
                <w:sz w:val="20"/>
                <w:szCs w:val="20"/>
              </w:rPr>
              <w:t xml:space="preserve"/>
            </w:r>
          </w:p>
        </w:tc>
        <w:tc>
          <w:tcPr>
            <w:tcW w:type="pct" w:w="28%"/>
            <w:vAlign w:val="center"/>
          </w:tcPr>
          <w:p>
            <w:pPr>
              <w:spacing w:after="30" w:before="30"/>
              <w:jc w:val="left"/>
            </w:pPr>
            <w:r>
              <w:rPr>
                <w:rFonts w:ascii="Calibri" w:cs="Calibri" w:eastAsia="Calibri" w:hAnsi="Calibri"/>
                <w:color w:val="000000"/>
                <w:sz w:val="20"/>
                <w:szCs w:val="20"/>
              </w:rPr>
              <w:t xml:space="preserve"/>
            </w:r>
          </w:p>
        </w:tc>
      </w:tr>
    </w:tbl>
    <w:p>
      <w:pPr>
        <w:pStyle w:val="Heading1"/>
        <w:pBdr>
          <w:bottom w:val="single" w:color="2A7A65" w:sz="6"/>
        </w:pBdr>
        <w:spacing w:after="200" w:before="400" w:line="312"/>
      </w:pPr>
      <w:bookmarkStart w:id="100052" w:name="_Toc100052"/>
      <w:r>
        <w:rPr>
          <w:rFonts w:ascii="Times New Roman" w:cs="Times New Roman" w:eastAsia="Times New Roman" w:hAnsi="Times New Roman"/>
          <w:b/>
          <w:bCs/>
          <w:color w:val="2A7A65"/>
          <w:sz w:val="36"/>
          <w:szCs w:val="36"/>
        </w:rPr>
        <w:t xml:space="preserve">11. Analyse des Risques et Mesures d'Attenuation</w:t>
      </w:r>
      <w:bookmarkEnd w:id="100052"/>
    </w:p>
    <w:p>
      <w:pPr>
        <w:pStyle w:val="Heading2"/>
        <w:spacing w:after="150" w:before="300" w:line="312"/>
      </w:pPr>
      <w:bookmarkStart w:id="100053" w:name="_Toc100053"/>
      <w:r>
        <w:rPr>
          <w:rFonts w:ascii="Times New Roman" w:cs="Times New Roman" w:eastAsia="Times New Roman" w:hAnsi="Times New Roman"/>
          <w:b/>
          <w:bCs/>
          <w:color w:val="2A7A65"/>
          <w:sz w:val="30"/>
          <w:szCs w:val="30"/>
        </w:rPr>
        <w:t xml:space="preserve">11.1 Risques Techniques</w:t>
      </w:r>
      <w:bookmarkEnd w:id="100053"/>
    </w:p>
    <w:p>
      <w:pPr>
        <w:spacing w:after="120" w:line="312"/>
        <w:ind w:firstLine="480"/>
        <w:jc w:val="both"/>
      </w:pPr>
      <w:r>
        <w:rPr>
          <w:rFonts w:ascii="Calibri" w:cs="Calibri" w:eastAsia="Calibri" w:hAnsi="Calibri"/>
          <w:color w:val="000000"/>
          <w:sz w:val="22"/>
          <w:szCs w:val="22"/>
        </w:rPr>
        <w:t xml:space="preserve">Le principal risque technique concerne la maitrise du processus de production a echelle industrielle. Le passage de la production artisanale (phase R&amp;D) a la production industrielle comporte des defis de stabilite de la formulation, de reproductibilite des lots et de conservation du produit dans les conditions tropicales. Pour mitiger ce risque, un programme de qualification et de validation des procedes de production a ete mis en place, incluant des tests de stabilite acceleres et la constitution d'un stock tampon de securite.</w:t>
      </w:r>
    </w:p>
    <w:p>
      <w:pPr>
        <w:spacing w:after="120" w:line="312"/>
        <w:ind w:firstLine="480"/>
        <w:jc w:val="both"/>
      </w:pPr>
      <w:r>
        <w:rPr>
          <w:rFonts w:ascii="Calibri" w:cs="Calibri" w:eastAsia="Calibri" w:hAnsi="Calibri"/>
          <w:color w:val="000000"/>
          <w:sz w:val="22"/>
          <w:szCs w:val="22"/>
        </w:rPr>
        <w:t xml:space="preserve">Le deuxieme risque technique est lie a la variabilite des matieres premieres, en particulier les extraits vegetaux dont la composition peut varier selon les saisons et les provenances. La mesure d'attenuation principale consiste a qualifier plusieurs fournisseurs pour chaque matiere premiere et a mettre en place un controle qualite systematique des lots entrants. Un protocole d'ajustement de la formulation en fonction des analyses d'entree permet de garantir la constance de la qualite du produit final.</w:t>
      </w:r>
    </w:p>
    <w:p>
      <w:pPr>
        <w:pStyle w:val="Heading2"/>
        <w:spacing w:after="150" w:before="300" w:line="312"/>
      </w:pPr>
      <w:bookmarkStart w:id="100054" w:name="_Toc100054"/>
      <w:r>
        <w:rPr>
          <w:rFonts w:ascii="Times New Roman" w:cs="Times New Roman" w:eastAsia="Times New Roman" w:hAnsi="Times New Roman"/>
          <w:b/>
          <w:bCs/>
          <w:color w:val="2A7A65"/>
          <w:sz w:val="30"/>
          <w:szCs w:val="30"/>
        </w:rPr>
        <w:t xml:space="preserve">11.2 Risques Commerciaux</w:t>
      </w:r>
      <w:bookmarkEnd w:id="100054"/>
    </w:p>
    <w:p>
      <w:pPr>
        <w:spacing w:after="120" w:line="312"/>
        <w:ind w:firstLine="480"/>
        <w:jc w:val="both"/>
      </w:pPr>
      <w:r>
        <w:rPr>
          <w:rFonts w:ascii="Calibri" w:cs="Calibri" w:eastAsia="Calibri" w:hAnsi="Calibri"/>
          <w:color w:val="000000"/>
          <w:sz w:val="22"/>
          <w:szCs w:val="22"/>
        </w:rPr>
        <w:t xml:space="preserve">Le risque commercial principal est la non-acceptation du produit par les agriculteurs, habitues aux engrais chimiques et sceptiques face aux solutions biologiques. Ce risque est attenue par la strategie de demonstrations in situ, qui permet aux agriculteurs de constater directement l'efficacite du produit sur leurs propres parcelles. Le prix de lancement a 600 Fcfa/g (40 pourcent de reduction) facilite egalement l'essai et reduit la barriere a l'entree.</w:t>
      </w:r>
    </w:p>
    <w:p>
      <w:pPr>
        <w:spacing w:after="120" w:line="312"/>
        <w:ind w:firstLine="480"/>
        <w:jc w:val="both"/>
      </w:pPr>
      <w:r>
        <w:rPr>
          <w:rFonts w:ascii="Calibri" w:cs="Calibri" w:eastAsia="Calibri" w:hAnsi="Calibri"/>
          <w:color w:val="000000"/>
          <w:sz w:val="22"/>
          <w:szCs w:val="22"/>
        </w:rPr>
        <w:t xml:space="preserve">Le risque de concurrence agressive de la part des producteurs d'engrais chimiques est attenue par la differentiation fondamentale du produit (naturel vs chimique) et par la tendance structurelle du marche vers les solutions biologiques. La protection de la propriete intellectuelle (depot de brevet, secret de fabrication) limite egalement le risque de contrefacon.</w:t>
      </w:r>
    </w:p>
    <w:p>
      <w:pPr>
        <w:pStyle w:val="Heading2"/>
        <w:spacing w:after="150" w:before="300" w:line="312"/>
      </w:pPr>
      <w:bookmarkStart w:id="100055" w:name="_Toc100055"/>
      <w:r>
        <w:rPr>
          <w:rFonts w:ascii="Times New Roman" w:cs="Times New Roman" w:eastAsia="Times New Roman" w:hAnsi="Times New Roman"/>
          <w:b/>
          <w:bCs/>
          <w:color w:val="2A7A65"/>
          <w:sz w:val="30"/>
          <w:szCs w:val="30"/>
        </w:rPr>
        <w:t xml:space="preserve">11.3 Risques Financiers</w:t>
      </w:r>
      <w:bookmarkEnd w:id="100055"/>
    </w:p>
    <w:p>
      <w:pPr>
        <w:spacing w:after="120" w:line="312"/>
        <w:ind w:firstLine="480"/>
        <w:jc w:val="both"/>
      </w:pPr>
      <w:r>
        <w:rPr>
          <w:rFonts w:ascii="Calibri" w:cs="Calibri" w:eastAsia="Calibri" w:hAnsi="Calibri"/>
          <w:color w:val="000000"/>
          <w:sz w:val="22"/>
          <w:szCs w:val="22"/>
        </w:rPr>
        <w:t xml:space="preserve">Le risque financier majeur est le retard dans l'atteinte du seuil de rentabilite, qui pourrait compromettre la tresorerie de l'entreprise. Ce risque est attenue par la constitution d'une reserve de tresorerie (compte courant d'associe de 25M Fcfa), la diversification des sources de financement (capital, emprunt, subvention) et le pilotage rigoureux des depenses en phase de lancement. Des indicateurs d'alerte precoce ont ete definis pour detecter tout ecart par rapport aux objectifs et permettre des actions correctives rapides.</w:t>
      </w:r>
    </w:p>
    <w:p>
      <w:pPr>
        <w:pStyle w:val="Heading2"/>
        <w:spacing w:after="150" w:before="300" w:line="312"/>
      </w:pPr>
      <w:bookmarkStart w:id="100056" w:name="_Toc100056"/>
      <w:r>
        <w:rPr>
          <w:rFonts w:ascii="Times New Roman" w:cs="Times New Roman" w:eastAsia="Times New Roman" w:hAnsi="Times New Roman"/>
          <w:b/>
          <w:bCs/>
          <w:color w:val="2A7A65"/>
          <w:sz w:val="30"/>
          <w:szCs w:val="30"/>
        </w:rPr>
        <w:t xml:space="preserve">11.4 Risques Reglementaires</w:t>
      </w:r>
      <w:bookmarkEnd w:id="100056"/>
    </w:p>
    <w:p>
      <w:pPr>
        <w:spacing w:after="120" w:line="312"/>
        <w:ind w:firstLine="480"/>
        <w:jc w:val="both"/>
      </w:pPr>
      <w:r>
        <w:rPr>
          <w:rFonts w:ascii="Calibri" w:cs="Calibri" w:eastAsia="Calibri" w:hAnsi="Calibri"/>
          <w:color w:val="000000"/>
          <w:sz w:val="22"/>
          <w:szCs w:val="22"/>
        </w:rPr>
        <w:t xml:space="preserve">Le risque reglementaire principal est le retard dans l'obtention de l'homologation du produit aupres des autorites ivoiriennes (DPPVQ). Ce risque est attenue par l'anticipation du depot du dossier d'homologation (depose des juillet 2025), la constitution d'un dossier scientifique complet et solide, et le suivi regulier du processus d'instruction en relation avec les autorites competentes. A titre conservatoire, une strategie de vente en tant que « biostimulant » (cadre reglementaire plus souple) est prevue en cas de retard de l'homologation en tant que fertilisant.</w:t>
      </w:r>
    </w:p>
    <w:p>
      <w:pPr>
        <w:pStyle w:val="Heading2"/>
        <w:spacing w:after="150" w:before="300" w:line="312"/>
      </w:pPr>
      <w:bookmarkStart w:id="100057" w:name="_Toc100057"/>
      <w:r>
        <w:rPr>
          <w:rFonts w:ascii="Times New Roman" w:cs="Times New Roman" w:eastAsia="Times New Roman" w:hAnsi="Times New Roman"/>
          <w:b/>
          <w:bCs/>
          <w:color w:val="2A7A65"/>
          <w:sz w:val="30"/>
          <w:szCs w:val="30"/>
        </w:rPr>
        <w:t xml:space="preserve">11.5 Matrice des Risques</w:t>
      </w:r>
      <w:bookmarkEnd w:id="100057"/>
    </w:p>
    <w:p>
      <w:pPr>
        <w:spacing w:after="200" w:before="200"/>
        <w:jc w:val="center"/>
      </w:pPr>
      <w:r>
        <w:drawing>
          <wp:inline distT="0" distB="0" distL="0" distR="0">
            <wp:extent cx="4572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571875"/>
                    </a:xfrm>
                    <a:prstGeom prst="rect">
                      <a:avLst/>
                    </a:prstGeom>
                  </pic:spPr>
                </pic:pic>
              </a:graphicData>
            </a:graphic>
          </wp:inline>
        </w:drawing>
      </w:r>
    </w:p>
    <w:p>
      <w:pPr>
        <w:spacing w:after="120" w:line="312"/>
        <w:ind w:firstLine="480"/>
        <w:jc w:val="both"/>
      </w:pPr>
      <w:r>
        <w:rPr>
          <w:rFonts w:ascii="Calibri" w:cs="Calibri" w:eastAsia="Calibri" w:hAnsi="Calibri"/>
          <w:color w:val="000000"/>
          <w:sz w:val="22"/>
          <w:szCs w:val="22"/>
        </w:rPr>
        <w:t xml:space="preserve">La matrice des risques ci-dessus positionne chaque risque identifie en fonction de sa probabilite d'occurrence et de son impact potentiel sur le projet. Les risques situes dans la zone rouge (probabilite et impact eleves) font l'objet d'un plan d'attenuation prioritaire et d'un suivi renforce. Les risques situes dans la zone orange necessitent des mesures preventives et un suivi regulier. Les risques de la zone verte sont consideres comme acceptables avec des mesures de surveillance simples.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22%"/>
            <w:shd w:fill="2A7A65" w:val="clear"/>
            <w:vAlign w:val="center"/>
          </w:tcPr>
          <w:p>
            <w:pPr>
              <w:spacing w:after="40" w:before="40"/>
              <w:jc w:val="center"/>
            </w:pPr>
            <w:r>
              <w:rPr>
                <w:rFonts w:ascii="Calibri" w:cs="Calibri" w:eastAsia="Calibri" w:hAnsi="Calibri"/>
                <w:b/>
                <w:bCs/>
                <w:color w:val="FFFFFF"/>
                <w:sz w:val="20"/>
                <w:szCs w:val="20"/>
              </w:rPr>
              <w:t xml:space="preserve">Risque</w:t>
            </w:r>
          </w:p>
        </w:tc>
        <w:tc>
          <w:tcPr>
            <w:tcW w:type="pct" w:w="13%"/>
            <w:shd w:fill="2A7A65" w:val="clear"/>
            <w:vAlign w:val="center"/>
          </w:tcPr>
          <w:p>
            <w:pPr>
              <w:spacing w:after="40" w:before="40"/>
              <w:jc w:val="center"/>
            </w:pPr>
            <w:r>
              <w:rPr>
                <w:rFonts w:ascii="Calibri" w:cs="Calibri" w:eastAsia="Calibri" w:hAnsi="Calibri"/>
                <w:b/>
                <w:bCs/>
                <w:color w:val="FFFFFF"/>
                <w:sz w:val="20"/>
                <w:szCs w:val="20"/>
              </w:rPr>
              <w:t xml:space="preserve">Probabilite</w:t>
            </w:r>
          </w:p>
        </w:tc>
        <w:tc>
          <w:tcPr>
            <w:tcW w:type="pct" w:w="13%"/>
            <w:shd w:fill="2A7A65" w:val="clear"/>
            <w:vAlign w:val="center"/>
          </w:tcPr>
          <w:p>
            <w:pPr>
              <w:spacing w:after="40" w:before="40"/>
              <w:jc w:val="center"/>
            </w:pPr>
            <w:r>
              <w:rPr>
                <w:rFonts w:ascii="Calibri" w:cs="Calibri" w:eastAsia="Calibri" w:hAnsi="Calibri"/>
                <w:b/>
                <w:bCs/>
                <w:color w:val="FFFFFF"/>
                <w:sz w:val="20"/>
                <w:szCs w:val="20"/>
              </w:rPr>
              <w:t xml:space="preserve">Impact</w:t>
            </w:r>
          </w:p>
        </w:tc>
        <w:tc>
          <w:tcPr>
            <w:tcW w:type="pct" w:w="10%"/>
            <w:shd w:fill="2A7A65" w:val="clear"/>
            <w:vAlign w:val="center"/>
          </w:tcPr>
          <w:p>
            <w:pPr>
              <w:spacing w:after="40" w:before="40"/>
              <w:jc w:val="center"/>
            </w:pPr>
            <w:r>
              <w:rPr>
                <w:rFonts w:ascii="Calibri" w:cs="Calibri" w:eastAsia="Calibri" w:hAnsi="Calibri"/>
                <w:b/>
                <w:bCs/>
                <w:color w:val="FFFFFF"/>
                <w:sz w:val="20"/>
                <w:szCs w:val="20"/>
              </w:rPr>
              <w:t xml:space="preserve">Niveau</w:t>
            </w:r>
          </w:p>
        </w:tc>
        <w:tc>
          <w:tcPr>
            <w:tcW w:type="pct" w:w="42%"/>
            <w:shd w:fill="2A7A65" w:val="clear"/>
            <w:vAlign w:val="center"/>
          </w:tcPr>
          <w:p>
            <w:pPr>
              <w:spacing w:after="40" w:before="40"/>
              <w:jc w:val="center"/>
            </w:pPr>
            <w:r>
              <w:rPr>
                <w:rFonts w:ascii="Calibri" w:cs="Calibri" w:eastAsia="Calibri" w:hAnsi="Calibri"/>
                <w:b/>
                <w:bCs/>
                <w:color w:val="FFFFFF"/>
                <w:sz w:val="20"/>
                <w:szCs w:val="20"/>
              </w:rPr>
              <w:t xml:space="preserve">Mesure d'attenuation</w:t>
            </w:r>
          </w:p>
        </w:tc>
      </w:tr>
      <w:tr>
        <w:tc>
          <w:tcPr>
            <w:tcW w:type="pct" w:w="22%"/>
            <w:vAlign w:val="center"/>
          </w:tcPr>
          <w:p>
            <w:pPr>
              <w:spacing w:after="30" w:before="30"/>
              <w:jc w:val="left"/>
            </w:pPr>
            <w:r>
              <w:rPr>
                <w:rFonts w:ascii="Calibri" w:cs="Calibri" w:eastAsia="Calibri" w:hAnsi="Calibri"/>
                <w:color w:val="000000"/>
                <w:sz w:val="20"/>
                <w:szCs w:val="20"/>
              </w:rPr>
              <w:t xml:space="preserve">Defaut de production</w:t>
            </w:r>
          </w:p>
        </w:tc>
        <w:tc>
          <w:tcPr>
            <w:tcW w:type="pct" w:w="13%"/>
            <w:vAlign w:val="center"/>
          </w:tcPr>
          <w:p>
            <w:pPr>
              <w:spacing w:after="30" w:before="30"/>
              <w:jc w:val="left"/>
            </w:pPr>
            <w:r>
              <w:rPr>
                <w:rFonts w:ascii="Calibri" w:cs="Calibri" w:eastAsia="Calibri" w:hAnsi="Calibri"/>
                <w:color w:val="000000"/>
                <w:sz w:val="20"/>
                <w:szCs w:val="20"/>
              </w:rPr>
              <w:t xml:space="preserve">Faible</w:t>
            </w:r>
          </w:p>
        </w:tc>
        <w:tc>
          <w:tcPr>
            <w:tcW w:type="pct" w:w="13%"/>
            <w:vAlign w:val="center"/>
          </w:tcPr>
          <w:p>
            <w:pPr>
              <w:spacing w:after="30" w:before="30"/>
              <w:jc w:val="left"/>
            </w:pPr>
            <w:r>
              <w:rPr>
                <w:rFonts w:ascii="Calibri" w:cs="Calibri" w:eastAsia="Calibri" w:hAnsi="Calibri"/>
                <w:color w:val="000000"/>
                <w:sz w:val="20"/>
                <w:szCs w:val="20"/>
              </w:rPr>
              <w:t xml:space="preserve">Tres eleve</w:t>
            </w:r>
          </w:p>
        </w:tc>
        <w:tc>
          <w:tcPr>
            <w:tcW w:type="pct" w:w="10%"/>
            <w:vAlign w:val="center"/>
          </w:tcPr>
          <w:p>
            <w:pPr>
              <w:spacing w:after="30" w:before="30"/>
              <w:jc w:val="left"/>
            </w:pPr>
            <w:r>
              <w:rPr>
                <w:rFonts w:ascii="Calibri" w:cs="Calibri" w:eastAsia="Calibri" w:hAnsi="Calibri"/>
                <w:color w:val="000000"/>
                <w:sz w:val="20"/>
                <w:szCs w:val="20"/>
              </w:rPr>
              <w:t xml:space="preserve">Eleve</w:t>
            </w:r>
          </w:p>
        </w:tc>
        <w:tc>
          <w:tcPr>
            <w:tcW w:type="pct" w:w="42%"/>
            <w:vAlign w:val="center"/>
          </w:tcPr>
          <w:p>
            <w:pPr>
              <w:spacing w:after="30" w:before="30"/>
              <w:jc w:val="left"/>
            </w:pPr>
            <w:r>
              <w:rPr>
                <w:rFonts w:ascii="Calibri" w:cs="Calibri" w:eastAsia="Calibri" w:hAnsi="Calibri"/>
                <w:color w:val="000000"/>
                <w:sz w:val="20"/>
                <w:szCs w:val="20"/>
              </w:rPr>
              <w:t xml:space="preserve">Qualification processus, stock tampon</w:t>
            </w:r>
          </w:p>
        </w:tc>
      </w:tr>
      <w:tr>
        <w:tc>
          <w:tcPr>
            <w:tcW w:type="pct" w:w="22%"/>
            <w:shd w:fill="EDF5F2" w:val="clear"/>
            <w:vAlign w:val="center"/>
          </w:tcPr>
          <w:p>
            <w:pPr>
              <w:spacing w:after="30" w:before="30"/>
              <w:jc w:val="left"/>
            </w:pPr>
            <w:r>
              <w:rPr>
                <w:rFonts w:ascii="Calibri" w:cs="Calibri" w:eastAsia="Calibri" w:hAnsi="Calibri"/>
                <w:color w:val="000000"/>
                <w:sz w:val="20"/>
                <w:szCs w:val="20"/>
              </w:rPr>
              <w:t xml:space="preserve">Non-acceptation produit</w:t>
            </w:r>
          </w:p>
        </w:tc>
        <w:tc>
          <w:tcPr>
            <w:tcW w:type="pct" w:w="13%"/>
            <w:shd w:fill="EDF5F2" w:val="clear"/>
            <w:vAlign w:val="center"/>
          </w:tcPr>
          <w:p>
            <w:pPr>
              <w:spacing w:after="30" w:before="30"/>
              <w:jc w:val="left"/>
            </w:pPr>
            <w:r>
              <w:rPr>
                <w:rFonts w:ascii="Calibri" w:cs="Calibri" w:eastAsia="Calibri" w:hAnsi="Calibri"/>
                <w:color w:val="000000"/>
                <w:sz w:val="20"/>
                <w:szCs w:val="20"/>
              </w:rPr>
              <w:t xml:space="preserve">Moyenne</w:t>
            </w:r>
          </w:p>
        </w:tc>
        <w:tc>
          <w:tcPr>
            <w:tcW w:type="pct" w:w="13%"/>
            <w:shd w:fill="EDF5F2" w:val="clear"/>
            <w:vAlign w:val="center"/>
          </w:tcPr>
          <w:p>
            <w:pPr>
              <w:spacing w:after="30" w:before="30"/>
              <w:jc w:val="left"/>
            </w:pPr>
            <w:r>
              <w:rPr>
                <w:rFonts w:ascii="Calibri" w:cs="Calibri" w:eastAsia="Calibri" w:hAnsi="Calibri"/>
                <w:color w:val="000000"/>
                <w:sz w:val="20"/>
                <w:szCs w:val="20"/>
              </w:rPr>
              <w:t xml:space="preserve">Moyen</w:t>
            </w:r>
          </w:p>
        </w:tc>
        <w:tc>
          <w:tcPr>
            <w:tcW w:type="pct" w:w="10%"/>
            <w:shd w:fill="EDF5F2" w:val="clear"/>
            <w:vAlign w:val="center"/>
          </w:tcPr>
          <w:p>
            <w:pPr>
              <w:spacing w:after="30" w:before="30"/>
              <w:jc w:val="left"/>
            </w:pPr>
            <w:r>
              <w:rPr>
                <w:rFonts w:ascii="Calibri" w:cs="Calibri" w:eastAsia="Calibri" w:hAnsi="Calibri"/>
                <w:color w:val="000000"/>
                <w:sz w:val="20"/>
                <w:szCs w:val="20"/>
              </w:rPr>
              <w:t xml:space="preserve">Moyen</w:t>
            </w:r>
          </w:p>
        </w:tc>
        <w:tc>
          <w:tcPr>
            <w:tcW w:type="pct" w:w="42%"/>
            <w:shd w:fill="EDF5F2" w:val="clear"/>
            <w:vAlign w:val="center"/>
          </w:tcPr>
          <w:p>
            <w:pPr>
              <w:spacing w:after="30" w:before="30"/>
              <w:jc w:val="left"/>
            </w:pPr>
            <w:r>
              <w:rPr>
                <w:rFonts w:ascii="Calibri" w:cs="Calibri" w:eastAsia="Calibri" w:hAnsi="Calibri"/>
                <w:color w:val="000000"/>
                <w:sz w:val="20"/>
                <w:szCs w:val="20"/>
              </w:rPr>
              <w:t xml:space="preserve">Demonstrations in situ, prix lancement</w:t>
            </w:r>
          </w:p>
        </w:tc>
      </w:tr>
      <w:tr>
        <w:tc>
          <w:tcPr>
            <w:tcW w:type="pct" w:w="22%"/>
            <w:vAlign w:val="center"/>
          </w:tcPr>
          <w:p>
            <w:pPr>
              <w:spacing w:after="30" w:before="30"/>
              <w:jc w:val="left"/>
            </w:pPr>
            <w:r>
              <w:rPr>
                <w:rFonts w:ascii="Calibri" w:cs="Calibri" w:eastAsia="Calibri" w:hAnsi="Calibri"/>
                <w:color w:val="000000"/>
                <w:sz w:val="20"/>
                <w:szCs w:val="20"/>
              </w:rPr>
              <w:t xml:space="preserve">Retard lancement</w:t>
            </w:r>
          </w:p>
        </w:tc>
        <w:tc>
          <w:tcPr>
            <w:tcW w:type="pct" w:w="13%"/>
            <w:vAlign w:val="center"/>
          </w:tcPr>
          <w:p>
            <w:pPr>
              <w:spacing w:after="30" w:before="30"/>
              <w:jc w:val="left"/>
            </w:pPr>
            <w:r>
              <w:rPr>
                <w:rFonts w:ascii="Calibri" w:cs="Calibri" w:eastAsia="Calibri" w:hAnsi="Calibri"/>
                <w:color w:val="000000"/>
                <w:sz w:val="20"/>
                <w:szCs w:val="20"/>
              </w:rPr>
              <w:t xml:space="preserve">Faible</w:t>
            </w:r>
          </w:p>
        </w:tc>
        <w:tc>
          <w:tcPr>
            <w:tcW w:type="pct" w:w="13%"/>
            <w:vAlign w:val="center"/>
          </w:tcPr>
          <w:p>
            <w:pPr>
              <w:spacing w:after="30" w:before="30"/>
              <w:jc w:val="left"/>
            </w:pPr>
            <w:r>
              <w:rPr>
                <w:rFonts w:ascii="Calibri" w:cs="Calibri" w:eastAsia="Calibri" w:hAnsi="Calibri"/>
                <w:color w:val="000000"/>
                <w:sz w:val="20"/>
                <w:szCs w:val="20"/>
              </w:rPr>
              <w:t xml:space="preserve">Faible</w:t>
            </w:r>
          </w:p>
        </w:tc>
        <w:tc>
          <w:tcPr>
            <w:tcW w:type="pct" w:w="10%"/>
            <w:vAlign w:val="center"/>
          </w:tcPr>
          <w:p>
            <w:pPr>
              <w:spacing w:after="30" w:before="30"/>
              <w:jc w:val="left"/>
            </w:pPr>
            <w:r>
              <w:rPr>
                <w:rFonts w:ascii="Calibri" w:cs="Calibri" w:eastAsia="Calibri" w:hAnsi="Calibri"/>
                <w:color w:val="000000"/>
                <w:sz w:val="20"/>
                <w:szCs w:val="20"/>
              </w:rPr>
              <w:t xml:space="preserve">Faible</w:t>
            </w:r>
          </w:p>
        </w:tc>
        <w:tc>
          <w:tcPr>
            <w:tcW w:type="pct" w:w="42%"/>
            <w:vAlign w:val="center"/>
          </w:tcPr>
          <w:p>
            <w:pPr>
              <w:spacing w:after="30" w:before="30"/>
              <w:jc w:val="left"/>
            </w:pPr>
            <w:r>
              <w:rPr>
                <w:rFonts w:ascii="Calibri" w:cs="Calibri" w:eastAsia="Calibri" w:hAnsi="Calibri"/>
                <w:color w:val="000000"/>
                <w:sz w:val="20"/>
                <w:szCs w:val="20"/>
              </w:rPr>
              <w:t xml:space="preserve">Planning securise, buffers temporels</w:t>
            </w:r>
          </w:p>
        </w:tc>
      </w:tr>
      <w:tr>
        <w:tc>
          <w:tcPr>
            <w:tcW w:type="pct" w:w="22%"/>
            <w:shd w:fill="EDF5F2" w:val="clear"/>
            <w:vAlign w:val="center"/>
          </w:tcPr>
          <w:p>
            <w:pPr>
              <w:spacing w:after="30" w:before="30"/>
              <w:jc w:val="left"/>
            </w:pPr>
            <w:r>
              <w:rPr>
                <w:rFonts w:ascii="Calibri" w:cs="Calibri" w:eastAsia="Calibri" w:hAnsi="Calibri"/>
                <w:color w:val="000000"/>
                <w:sz w:val="20"/>
                <w:szCs w:val="20"/>
              </w:rPr>
              <w:t xml:space="preserve">Rupture approvisionnement</w:t>
            </w:r>
          </w:p>
        </w:tc>
        <w:tc>
          <w:tcPr>
            <w:tcW w:type="pct" w:w="13%"/>
            <w:shd w:fill="EDF5F2" w:val="clear"/>
            <w:vAlign w:val="center"/>
          </w:tcPr>
          <w:p>
            <w:pPr>
              <w:spacing w:after="30" w:before="30"/>
              <w:jc w:val="left"/>
            </w:pPr>
            <w:r>
              <w:rPr>
                <w:rFonts w:ascii="Calibri" w:cs="Calibri" w:eastAsia="Calibri" w:hAnsi="Calibri"/>
                <w:color w:val="000000"/>
                <w:sz w:val="20"/>
                <w:szCs w:val="20"/>
              </w:rPr>
              <w:t xml:space="preserve">Faible</w:t>
            </w:r>
          </w:p>
        </w:tc>
        <w:tc>
          <w:tcPr>
            <w:tcW w:type="pct" w:w="13%"/>
            <w:shd w:fill="EDF5F2" w:val="clear"/>
            <w:vAlign w:val="center"/>
          </w:tcPr>
          <w:p>
            <w:pPr>
              <w:spacing w:after="30" w:before="30"/>
              <w:jc w:val="left"/>
            </w:pPr>
            <w:r>
              <w:rPr>
                <w:rFonts w:ascii="Calibri" w:cs="Calibri" w:eastAsia="Calibri" w:hAnsi="Calibri"/>
                <w:color w:val="000000"/>
                <w:sz w:val="20"/>
                <w:szCs w:val="20"/>
              </w:rPr>
              <w:t xml:space="preserve">Moyen</w:t>
            </w:r>
          </w:p>
        </w:tc>
        <w:tc>
          <w:tcPr>
            <w:tcW w:type="pct" w:w="10%"/>
            <w:shd w:fill="EDF5F2" w:val="clear"/>
            <w:vAlign w:val="center"/>
          </w:tcPr>
          <w:p>
            <w:pPr>
              <w:spacing w:after="30" w:before="30"/>
              <w:jc w:val="left"/>
            </w:pPr>
            <w:r>
              <w:rPr>
                <w:rFonts w:ascii="Calibri" w:cs="Calibri" w:eastAsia="Calibri" w:hAnsi="Calibri"/>
                <w:color w:val="000000"/>
                <w:sz w:val="20"/>
                <w:szCs w:val="20"/>
              </w:rPr>
              <w:t xml:space="preserve">Moyen</w:t>
            </w:r>
          </w:p>
        </w:tc>
        <w:tc>
          <w:tcPr>
            <w:tcW w:type="pct" w:w="42%"/>
            <w:shd w:fill="EDF5F2" w:val="clear"/>
            <w:vAlign w:val="center"/>
          </w:tcPr>
          <w:p>
            <w:pPr>
              <w:spacing w:after="30" w:before="30"/>
              <w:jc w:val="left"/>
            </w:pPr>
            <w:r>
              <w:rPr>
                <w:rFonts w:ascii="Calibri" w:cs="Calibri" w:eastAsia="Calibri" w:hAnsi="Calibri"/>
                <w:color w:val="000000"/>
                <w:sz w:val="20"/>
                <w:szCs w:val="20"/>
              </w:rPr>
              <w:t xml:space="preserve">Multi-sourcing, stock securite 2 mois</w:t>
            </w:r>
          </w:p>
        </w:tc>
      </w:tr>
      <w:tr>
        <w:tc>
          <w:tcPr>
            <w:tcW w:type="pct" w:w="22%"/>
            <w:vAlign w:val="center"/>
          </w:tcPr>
          <w:p>
            <w:pPr>
              <w:spacing w:after="30" w:before="30"/>
              <w:jc w:val="left"/>
            </w:pPr>
            <w:r>
              <w:rPr>
                <w:rFonts w:ascii="Calibri" w:cs="Calibri" w:eastAsia="Calibri" w:hAnsi="Calibri"/>
                <w:color w:val="000000"/>
                <w:sz w:val="20"/>
                <w:szCs w:val="20"/>
              </w:rPr>
              <w:t xml:space="preserve">Concurrence agressive</w:t>
            </w:r>
          </w:p>
        </w:tc>
        <w:tc>
          <w:tcPr>
            <w:tcW w:type="pct" w:w="13%"/>
            <w:vAlign w:val="center"/>
          </w:tcPr>
          <w:p>
            <w:pPr>
              <w:spacing w:after="30" w:before="30"/>
              <w:jc w:val="left"/>
            </w:pPr>
            <w:r>
              <w:rPr>
                <w:rFonts w:ascii="Calibri" w:cs="Calibri" w:eastAsia="Calibri" w:hAnsi="Calibri"/>
                <w:color w:val="000000"/>
                <w:sz w:val="20"/>
                <w:szCs w:val="20"/>
              </w:rPr>
              <w:t xml:space="preserve">Moyenne</w:t>
            </w:r>
          </w:p>
        </w:tc>
        <w:tc>
          <w:tcPr>
            <w:tcW w:type="pct" w:w="13%"/>
            <w:vAlign w:val="center"/>
          </w:tcPr>
          <w:p>
            <w:pPr>
              <w:spacing w:after="30" w:before="30"/>
              <w:jc w:val="left"/>
            </w:pPr>
            <w:r>
              <w:rPr>
                <w:rFonts w:ascii="Calibri" w:cs="Calibri" w:eastAsia="Calibri" w:hAnsi="Calibri"/>
                <w:color w:val="000000"/>
                <w:sz w:val="20"/>
                <w:szCs w:val="20"/>
              </w:rPr>
              <w:t xml:space="preserve">Faible</w:t>
            </w:r>
          </w:p>
        </w:tc>
        <w:tc>
          <w:tcPr>
            <w:tcW w:type="pct" w:w="10%"/>
            <w:vAlign w:val="center"/>
          </w:tcPr>
          <w:p>
            <w:pPr>
              <w:spacing w:after="30" w:before="30"/>
              <w:jc w:val="left"/>
            </w:pPr>
            <w:r>
              <w:rPr>
                <w:rFonts w:ascii="Calibri" w:cs="Calibri" w:eastAsia="Calibri" w:hAnsi="Calibri"/>
                <w:color w:val="000000"/>
                <w:sz w:val="20"/>
                <w:szCs w:val="20"/>
              </w:rPr>
              <w:t xml:space="preserve">Moyen</w:t>
            </w:r>
          </w:p>
        </w:tc>
        <w:tc>
          <w:tcPr>
            <w:tcW w:type="pct" w:w="42%"/>
            <w:vAlign w:val="center"/>
          </w:tcPr>
          <w:p>
            <w:pPr>
              <w:spacing w:after="30" w:before="30"/>
              <w:jc w:val="left"/>
            </w:pPr>
            <w:r>
              <w:rPr>
                <w:rFonts w:ascii="Calibri" w:cs="Calibri" w:eastAsia="Calibri" w:hAnsi="Calibri"/>
                <w:color w:val="000000"/>
                <w:sz w:val="20"/>
                <w:szCs w:val="20"/>
              </w:rPr>
              <w:t xml:space="preserve">Differentiation, propriete intellectuelle</w:t>
            </w:r>
          </w:p>
        </w:tc>
      </w:tr>
      <w:tr>
        <w:tc>
          <w:tcPr>
            <w:tcW w:type="pct" w:w="22%"/>
            <w:shd w:fill="EDF5F2" w:val="clear"/>
            <w:vAlign w:val="center"/>
          </w:tcPr>
          <w:p>
            <w:pPr>
              <w:spacing w:after="30" w:before="30"/>
              <w:jc w:val="left"/>
            </w:pPr>
            <w:r>
              <w:rPr>
                <w:rFonts w:ascii="Calibri" w:cs="Calibri" w:eastAsia="Calibri" w:hAnsi="Calibri"/>
                <w:color w:val="000000"/>
                <w:sz w:val="20"/>
                <w:szCs w:val="20"/>
              </w:rPr>
              <w:t xml:space="preserve">Instabilite reglementaire</w:t>
            </w:r>
          </w:p>
        </w:tc>
        <w:tc>
          <w:tcPr>
            <w:tcW w:type="pct" w:w="13%"/>
            <w:shd w:fill="EDF5F2" w:val="clear"/>
            <w:vAlign w:val="center"/>
          </w:tcPr>
          <w:p>
            <w:pPr>
              <w:spacing w:after="30" w:before="30"/>
              <w:jc w:val="left"/>
            </w:pPr>
            <w:r>
              <w:rPr>
                <w:rFonts w:ascii="Calibri" w:cs="Calibri" w:eastAsia="Calibri" w:hAnsi="Calibri"/>
                <w:color w:val="000000"/>
                <w:sz w:val="20"/>
                <w:szCs w:val="20"/>
              </w:rPr>
              <w:t xml:space="preserve">Tres faible</w:t>
            </w:r>
          </w:p>
        </w:tc>
        <w:tc>
          <w:tcPr>
            <w:tcW w:type="pct" w:w="13%"/>
            <w:shd w:fill="EDF5F2" w:val="clear"/>
            <w:vAlign w:val="center"/>
          </w:tcPr>
          <w:p>
            <w:pPr>
              <w:spacing w:after="30" w:before="30"/>
              <w:jc w:val="left"/>
            </w:pPr>
            <w:r>
              <w:rPr>
                <w:rFonts w:ascii="Calibri" w:cs="Calibri" w:eastAsia="Calibri" w:hAnsi="Calibri"/>
                <w:color w:val="000000"/>
                <w:sz w:val="20"/>
                <w:szCs w:val="20"/>
              </w:rPr>
              <w:t xml:space="preserve">Moyen</w:t>
            </w:r>
          </w:p>
        </w:tc>
        <w:tc>
          <w:tcPr>
            <w:tcW w:type="pct" w:w="10%"/>
            <w:shd w:fill="EDF5F2" w:val="clear"/>
            <w:vAlign w:val="center"/>
          </w:tcPr>
          <w:p>
            <w:pPr>
              <w:spacing w:after="30" w:before="30"/>
              <w:jc w:val="left"/>
            </w:pPr>
            <w:r>
              <w:rPr>
                <w:rFonts w:ascii="Calibri" w:cs="Calibri" w:eastAsia="Calibri" w:hAnsi="Calibri"/>
                <w:color w:val="000000"/>
                <w:sz w:val="20"/>
                <w:szCs w:val="20"/>
              </w:rPr>
              <w:t xml:space="preserve">Faible</w:t>
            </w:r>
          </w:p>
        </w:tc>
        <w:tc>
          <w:tcPr>
            <w:tcW w:type="pct" w:w="42%"/>
            <w:shd w:fill="EDF5F2" w:val="clear"/>
            <w:vAlign w:val="center"/>
          </w:tcPr>
          <w:p>
            <w:pPr>
              <w:spacing w:after="30" w:before="30"/>
              <w:jc w:val="left"/>
            </w:pPr>
            <w:r>
              <w:rPr>
                <w:rFonts w:ascii="Calibri" w:cs="Calibri" w:eastAsia="Calibri" w:hAnsi="Calibri"/>
                <w:color w:val="000000"/>
                <w:sz w:val="20"/>
                <w:szCs w:val="20"/>
              </w:rPr>
              <w:t xml:space="preserve">Veille reglementaire, plan B biostimulant</w:t>
            </w:r>
          </w:p>
        </w:tc>
      </w:tr>
      <w:tr>
        <w:tc>
          <w:tcPr>
            <w:tcW w:type="pct" w:w="22%"/>
            <w:vAlign w:val="center"/>
          </w:tcPr>
          <w:p>
            <w:pPr>
              <w:spacing w:after="30" w:before="30"/>
              <w:jc w:val="left"/>
            </w:pPr>
            <w:r>
              <w:rPr>
                <w:rFonts w:ascii="Calibri" w:cs="Calibri" w:eastAsia="Calibri" w:hAnsi="Calibri"/>
                <w:color w:val="000000"/>
                <w:sz w:val="20"/>
                <w:szCs w:val="20"/>
              </w:rPr>
              <w:t xml:space="preserve">Problemes de tresorerie</w:t>
            </w:r>
          </w:p>
        </w:tc>
        <w:tc>
          <w:tcPr>
            <w:tcW w:type="pct" w:w="13%"/>
            <w:vAlign w:val="center"/>
          </w:tcPr>
          <w:p>
            <w:pPr>
              <w:spacing w:after="30" w:before="30"/>
              <w:jc w:val="left"/>
            </w:pPr>
            <w:r>
              <w:rPr>
                <w:rFonts w:ascii="Calibri" w:cs="Calibri" w:eastAsia="Calibri" w:hAnsi="Calibri"/>
                <w:color w:val="000000"/>
                <w:sz w:val="20"/>
                <w:szCs w:val="20"/>
              </w:rPr>
              <w:t xml:space="preserve">Faible</w:t>
            </w:r>
          </w:p>
        </w:tc>
        <w:tc>
          <w:tcPr>
            <w:tcW w:type="pct" w:w="13%"/>
            <w:vAlign w:val="center"/>
          </w:tcPr>
          <w:p>
            <w:pPr>
              <w:spacing w:after="30" w:before="30"/>
              <w:jc w:val="left"/>
            </w:pPr>
            <w:r>
              <w:rPr>
                <w:rFonts w:ascii="Calibri" w:cs="Calibri" w:eastAsia="Calibri" w:hAnsi="Calibri"/>
                <w:color w:val="000000"/>
                <w:sz w:val="20"/>
                <w:szCs w:val="20"/>
              </w:rPr>
              <w:t xml:space="preserve">Tres eleve</w:t>
            </w:r>
          </w:p>
        </w:tc>
        <w:tc>
          <w:tcPr>
            <w:tcW w:type="pct" w:w="10%"/>
            <w:vAlign w:val="center"/>
          </w:tcPr>
          <w:p>
            <w:pPr>
              <w:spacing w:after="30" w:before="30"/>
              <w:jc w:val="left"/>
            </w:pPr>
            <w:r>
              <w:rPr>
                <w:rFonts w:ascii="Calibri" w:cs="Calibri" w:eastAsia="Calibri" w:hAnsi="Calibri"/>
                <w:color w:val="000000"/>
                <w:sz w:val="20"/>
                <w:szCs w:val="20"/>
              </w:rPr>
              <w:t xml:space="preserve">Eleve</w:t>
            </w:r>
          </w:p>
        </w:tc>
        <w:tc>
          <w:tcPr>
            <w:tcW w:type="pct" w:w="42%"/>
            <w:vAlign w:val="center"/>
          </w:tcPr>
          <w:p>
            <w:pPr>
              <w:spacing w:after="30" w:before="30"/>
              <w:jc w:val="left"/>
            </w:pPr>
            <w:r>
              <w:rPr>
                <w:rFonts w:ascii="Calibri" w:cs="Calibri" w:eastAsia="Calibri" w:hAnsi="Calibri"/>
                <w:color w:val="000000"/>
                <w:sz w:val="20"/>
                <w:szCs w:val="20"/>
              </w:rPr>
              <w:t xml:space="preserve">Reserve tresorerie, pilotage rigoureux</w:t>
            </w:r>
          </w:p>
        </w:tc>
      </w:tr>
      <w:tr>
        <w:tc>
          <w:tcPr>
            <w:tcW w:type="pct" w:w="22%"/>
            <w:shd w:fill="EDF5F2" w:val="clear"/>
            <w:vAlign w:val="center"/>
          </w:tcPr>
          <w:p>
            <w:pPr>
              <w:spacing w:after="30" w:before="30"/>
              <w:jc w:val="left"/>
            </w:pPr>
            <w:r>
              <w:rPr>
                <w:rFonts w:ascii="Calibri" w:cs="Calibri" w:eastAsia="Calibri" w:hAnsi="Calibri"/>
                <w:color w:val="000000"/>
                <w:sz w:val="20"/>
                <w:szCs w:val="20"/>
              </w:rPr>
              <w:t xml:space="preserve">Aleas climatiques</w:t>
            </w:r>
          </w:p>
        </w:tc>
        <w:tc>
          <w:tcPr>
            <w:tcW w:type="pct" w:w="13%"/>
            <w:shd w:fill="EDF5F2" w:val="clear"/>
            <w:vAlign w:val="center"/>
          </w:tcPr>
          <w:p>
            <w:pPr>
              <w:spacing w:after="30" w:before="30"/>
              <w:jc w:val="left"/>
            </w:pPr>
            <w:r>
              <w:rPr>
                <w:rFonts w:ascii="Calibri" w:cs="Calibri" w:eastAsia="Calibri" w:hAnsi="Calibri"/>
                <w:color w:val="000000"/>
                <w:sz w:val="20"/>
                <w:szCs w:val="20"/>
              </w:rPr>
              <w:t xml:space="preserve">Faible</w:t>
            </w:r>
          </w:p>
        </w:tc>
        <w:tc>
          <w:tcPr>
            <w:tcW w:type="pct" w:w="13%"/>
            <w:shd w:fill="EDF5F2" w:val="clear"/>
            <w:vAlign w:val="center"/>
          </w:tcPr>
          <w:p>
            <w:pPr>
              <w:spacing w:after="30" w:before="30"/>
              <w:jc w:val="left"/>
            </w:pPr>
            <w:r>
              <w:rPr>
                <w:rFonts w:ascii="Calibri" w:cs="Calibri" w:eastAsia="Calibri" w:hAnsi="Calibri"/>
                <w:color w:val="000000"/>
                <w:sz w:val="20"/>
                <w:szCs w:val="20"/>
              </w:rPr>
              <w:t xml:space="preserve">Moyen</w:t>
            </w:r>
          </w:p>
        </w:tc>
        <w:tc>
          <w:tcPr>
            <w:tcW w:type="pct" w:w="10%"/>
            <w:shd w:fill="EDF5F2" w:val="clear"/>
            <w:vAlign w:val="center"/>
          </w:tcPr>
          <w:p>
            <w:pPr>
              <w:spacing w:after="30" w:before="30"/>
              <w:jc w:val="left"/>
            </w:pPr>
            <w:r>
              <w:rPr>
                <w:rFonts w:ascii="Calibri" w:cs="Calibri" w:eastAsia="Calibri" w:hAnsi="Calibri"/>
                <w:color w:val="000000"/>
                <w:sz w:val="20"/>
                <w:szCs w:val="20"/>
              </w:rPr>
              <w:t xml:space="preserve">Moyen</w:t>
            </w:r>
          </w:p>
        </w:tc>
        <w:tc>
          <w:tcPr>
            <w:tcW w:type="pct" w:w="42%"/>
            <w:shd w:fill="EDF5F2" w:val="clear"/>
            <w:vAlign w:val="center"/>
          </w:tcPr>
          <w:p>
            <w:pPr>
              <w:spacing w:after="30" w:before="30"/>
              <w:jc w:val="left"/>
            </w:pPr>
            <w:r>
              <w:rPr>
                <w:rFonts w:ascii="Calibri" w:cs="Calibri" w:eastAsia="Calibri" w:hAnsi="Calibri"/>
                <w:color w:val="000000"/>
                <w:sz w:val="20"/>
                <w:szCs w:val="20"/>
              </w:rPr>
              <w:t xml:space="preserve">Assurance, diversification geographique</w:t>
            </w:r>
          </w:p>
        </w:tc>
      </w:tr>
      <w:tr>
        <w:tc>
          <w:tcPr>
            <w:tcW w:type="pct" w:w="22%"/>
            <w:vAlign w:val="center"/>
          </w:tcPr>
          <w:p>
            <w:pPr>
              <w:spacing w:after="30" w:before="30"/>
              <w:jc w:val="left"/>
            </w:pPr>
            <w:r>
              <w:rPr>
                <w:rFonts w:ascii="Calibri" w:cs="Calibri" w:eastAsia="Calibri" w:hAnsi="Calibri"/>
                <w:color w:val="000000"/>
                <w:sz w:val="20"/>
                <w:szCs w:val="20"/>
              </w:rPr>
              <w:t xml:space="preserve">Piratage/contrefacon</w:t>
            </w:r>
          </w:p>
        </w:tc>
        <w:tc>
          <w:tcPr>
            <w:tcW w:type="pct" w:w="13%"/>
            <w:vAlign w:val="center"/>
          </w:tcPr>
          <w:p>
            <w:pPr>
              <w:spacing w:after="30" w:before="30"/>
              <w:jc w:val="left"/>
            </w:pPr>
            <w:r>
              <w:rPr>
                <w:rFonts w:ascii="Calibri" w:cs="Calibri" w:eastAsia="Calibri" w:hAnsi="Calibri"/>
                <w:color w:val="000000"/>
                <w:sz w:val="20"/>
                <w:szCs w:val="20"/>
              </w:rPr>
              <w:t xml:space="preserve">Tres faible</w:t>
            </w:r>
          </w:p>
        </w:tc>
        <w:tc>
          <w:tcPr>
            <w:tcW w:type="pct" w:w="13%"/>
            <w:vAlign w:val="center"/>
          </w:tcPr>
          <w:p>
            <w:pPr>
              <w:spacing w:after="30" w:before="30"/>
              <w:jc w:val="left"/>
            </w:pPr>
            <w:r>
              <w:rPr>
                <w:rFonts w:ascii="Calibri" w:cs="Calibri" w:eastAsia="Calibri" w:hAnsi="Calibri"/>
                <w:color w:val="000000"/>
                <w:sz w:val="20"/>
                <w:szCs w:val="20"/>
              </w:rPr>
              <w:t xml:space="preserve">Faible</w:t>
            </w:r>
          </w:p>
        </w:tc>
        <w:tc>
          <w:tcPr>
            <w:tcW w:type="pct" w:w="10%"/>
            <w:vAlign w:val="center"/>
          </w:tcPr>
          <w:p>
            <w:pPr>
              <w:spacing w:after="30" w:before="30"/>
              <w:jc w:val="left"/>
            </w:pPr>
            <w:r>
              <w:rPr>
                <w:rFonts w:ascii="Calibri" w:cs="Calibri" w:eastAsia="Calibri" w:hAnsi="Calibri"/>
                <w:color w:val="000000"/>
                <w:sz w:val="20"/>
                <w:szCs w:val="20"/>
              </w:rPr>
              <w:t xml:space="preserve">Faible</w:t>
            </w:r>
          </w:p>
        </w:tc>
        <w:tc>
          <w:tcPr>
            <w:tcW w:type="pct" w:w="42%"/>
            <w:vAlign w:val="center"/>
          </w:tcPr>
          <w:p>
            <w:pPr>
              <w:spacing w:after="30" w:before="30"/>
              <w:jc w:val="left"/>
            </w:pPr>
            <w:r>
              <w:rPr>
                <w:rFonts w:ascii="Calibri" w:cs="Calibri" w:eastAsia="Calibri" w:hAnsi="Calibri"/>
                <w:color w:val="000000"/>
                <w:sz w:val="20"/>
                <w:szCs w:val="20"/>
              </w:rPr>
              <w:t xml:space="preserve">Brevet, secret fabrication</w:t>
            </w:r>
          </w:p>
        </w:tc>
      </w:tr>
      <w:tr>
        <w:tc>
          <w:tcPr>
            <w:tcW w:type="pct" w:w="22%"/>
            <w:shd w:fill="EDF5F2" w:val="clear"/>
            <w:vAlign w:val="center"/>
          </w:tcPr>
          <w:p>
            <w:pPr>
              <w:spacing w:after="30" w:before="30"/>
              <w:jc w:val="left"/>
            </w:pPr>
            <w:r>
              <w:rPr>
                <w:rFonts w:ascii="Calibri" w:cs="Calibri" w:eastAsia="Calibri" w:hAnsi="Calibri"/>
                <w:color w:val="000000"/>
                <w:sz w:val="20"/>
                <w:szCs w:val="20"/>
              </w:rPr>
              <w:t xml:space="preserve">Perte partenaire cle</w:t>
            </w:r>
          </w:p>
        </w:tc>
        <w:tc>
          <w:tcPr>
            <w:tcW w:type="pct" w:w="13%"/>
            <w:shd w:fill="EDF5F2" w:val="clear"/>
            <w:vAlign w:val="center"/>
          </w:tcPr>
          <w:p>
            <w:pPr>
              <w:spacing w:after="30" w:before="30"/>
              <w:jc w:val="left"/>
            </w:pPr>
            <w:r>
              <w:rPr>
                <w:rFonts w:ascii="Calibri" w:cs="Calibri" w:eastAsia="Calibri" w:hAnsi="Calibri"/>
                <w:color w:val="000000"/>
                <w:sz w:val="20"/>
                <w:szCs w:val="20"/>
              </w:rPr>
              <w:t xml:space="preserve">Tres faible</w:t>
            </w:r>
          </w:p>
        </w:tc>
        <w:tc>
          <w:tcPr>
            <w:tcW w:type="pct" w:w="13%"/>
            <w:shd w:fill="EDF5F2" w:val="clear"/>
            <w:vAlign w:val="center"/>
          </w:tcPr>
          <w:p>
            <w:pPr>
              <w:spacing w:after="30" w:before="30"/>
              <w:jc w:val="left"/>
            </w:pPr>
            <w:r>
              <w:rPr>
                <w:rFonts w:ascii="Calibri" w:cs="Calibri" w:eastAsia="Calibri" w:hAnsi="Calibri"/>
                <w:color w:val="000000"/>
                <w:sz w:val="20"/>
                <w:szCs w:val="20"/>
              </w:rPr>
              <w:t xml:space="preserve">Tres eleve</w:t>
            </w:r>
          </w:p>
        </w:tc>
        <w:tc>
          <w:tcPr>
            <w:tcW w:type="pct" w:w="10%"/>
            <w:shd w:fill="EDF5F2" w:val="clear"/>
            <w:vAlign w:val="center"/>
          </w:tcPr>
          <w:p>
            <w:pPr>
              <w:spacing w:after="30" w:before="30"/>
              <w:jc w:val="left"/>
            </w:pPr>
            <w:r>
              <w:rPr>
                <w:rFonts w:ascii="Calibri" w:cs="Calibri" w:eastAsia="Calibri" w:hAnsi="Calibri"/>
                <w:color w:val="000000"/>
                <w:sz w:val="20"/>
                <w:szCs w:val="20"/>
              </w:rPr>
              <w:t xml:space="preserve">Eleve</w:t>
            </w:r>
          </w:p>
        </w:tc>
        <w:tc>
          <w:tcPr>
            <w:tcW w:type="pct" w:w="42%"/>
            <w:shd w:fill="EDF5F2" w:val="clear"/>
            <w:vAlign w:val="center"/>
          </w:tcPr>
          <w:p>
            <w:pPr>
              <w:spacing w:after="30" w:before="30"/>
              <w:jc w:val="left"/>
            </w:pPr>
            <w:r>
              <w:rPr>
                <w:rFonts w:ascii="Calibri" w:cs="Calibri" w:eastAsia="Calibri" w:hAnsi="Calibri"/>
                <w:color w:val="000000"/>
                <w:sz w:val="20"/>
                <w:szCs w:val="20"/>
              </w:rPr>
              <w:t xml:space="preserve">Contrats exclusifs, diversification</w:t>
            </w:r>
          </w:p>
        </w:tc>
      </w:tr>
    </w:tbl>
    <w:p>
      <w:pPr>
        <w:pStyle w:val="Heading1"/>
        <w:pBdr>
          <w:bottom w:val="single" w:color="2A7A65" w:sz="6"/>
        </w:pBdr>
        <w:spacing w:after="200" w:before="400" w:line="312"/>
      </w:pPr>
      <w:bookmarkStart w:id="100058" w:name="_Toc100058"/>
      <w:r>
        <w:rPr>
          <w:rFonts w:ascii="Times New Roman" w:cs="Times New Roman" w:eastAsia="Times New Roman" w:hAnsi="Times New Roman"/>
          <w:b/>
          <w:bCs/>
          <w:color w:val="2A7A65"/>
          <w:sz w:val="36"/>
          <w:szCs w:val="36"/>
        </w:rPr>
        <w:t xml:space="preserve">12. Plan de Developpement a Moyen et Long Terme</w:t>
      </w:r>
      <w:bookmarkEnd w:id="100058"/>
    </w:p>
    <w:p>
      <w:pPr>
        <w:pStyle w:val="Heading2"/>
        <w:spacing w:after="150" w:before="300" w:line="312"/>
      </w:pPr>
      <w:bookmarkStart w:id="100059" w:name="_Toc100059"/>
      <w:r>
        <w:rPr>
          <w:rFonts w:ascii="Times New Roman" w:cs="Times New Roman" w:eastAsia="Times New Roman" w:hAnsi="Times New Roman"/>
          <w:b/>
          <w:bCs/>
          <w:color w:val="2A7A65"/>
          <w:sz w:val="30"/>
          <w:szCs w:val="30"/>
        </w:rPr>
        <w:t xml:space="preserve">12.1 Vision a 5 Ans</w:t>
      </w:r>
      <w:bookmarkEnd w:id="100059"/>
    </w:p>
    <w:p>
      <w:pPr>
        <w:spacing w:after="120" w:line="312"/>
        <w:ind w:firstLine="480"/>
        <w:jc w:val="both"/>
      </w:pPr>
      <w:r>
        <w:rPr>
          <w:rFonts w:ascii="Calibri" w:cs="Calibri" w:eastAsia="Calibri" w:hAnsi="Calibri"/>
          <w:color w:val="000000"/>
          <w:sz w:val="22"/>
          <w:szCs w:val="22"/>
        </w:rPr>
        <w:t xml:space="preserve">A horizon 2030, LIG Biodynamie vise a devenir le leader africain des biofertilisants tropicaux, avec une presence dans au moins cinq pays d'Afrique de l'Ouest et centrale, un chiffre d'affaires depassant 500M Fcfa, et une gamme elargie a cinq produits complementaires. Cette ambition repose sur la conviction que l'agriculture biologique tropicale est un marche en emergence massive, porte par les tendances mondiales de durabilite et les politiques nationales de transition ecologique.</w:t>
      </w:r>
    </w:p>
    <w:p>
      <w:pPr>
        <w:spacing w:after="120" w:line="312"/>
        <w:ind w:firstLine="480"/>
        <w:jc w:val="both"/>
      </w:pPr>
      <w:r>
        <w:rPr>
          <w:rFonts w:ascii="Calibri" w:cs="Calibri" w:eastAsia="Calibri" w:hAnsi="Calibri"/>
          <w:color w:val="000000"/>
          <w:sz w:val="22"/>
          <w:szCs w:val="22"/>
        </w:rPr>
        <w:t xml:space="preserve">La vision a 5 ans s'articule autour de quatre piliers strategiques : le leadership marche en Cote d'Ivoire (objectif de 30 pourcent de part de marche des biofertilisants), l'expansion sous-regionale (Burkina Faso, Mali, Ghana, Cameroun), la diversification des produits (gamme complete de solutions biologiques pour l'agriculture tropicale) et l'excellence operationnelle (certification ISO, production a plus grande echelle). Chaque pilier est decline en objectifs quantifies et en plans d'action detailles.</w:t>
      </w:r>
    </w:p>
    <w:p>
      <w:pPr>
        <w:pStyle w:val="Heading2"/>
        <w:spacing w:after="150" w:before="300" w:line="312"/>
      </w:pPr>
      <w:bookmarkStart w:id="100060" w:name="_Toc100060"/>
      <w:r>
        <w:rPr>
          <w:rFonts w:ascii="Times New Roman" w:cs="Times New Roman" w:eastAsia="Times New Roman" w:hAnsi="Times New Roman"/>
          <w:b/>
          <w:bCs/>
          <w:color w:val="2A7A65"/>
          <w:sz w:val="30"/>
          <w:szCs w:val="30"/>
        </w:rPr>
        <w:t xml:space="preserve">12.2 Axes de Developpement</w:t>
      </w:r>
      <w:bookmarkEnd w:id="100060"/>
    </w:p>
    <w:p>
      <w:pPr>
        <w:pStyle w:val="Heading3"/>
        <w:spacing w:after="100" w:before="200" w:line="312"/>
      </w:pPr>
      <w:bookmarkStart w:id="100061" w:name="_Toc100061"/>
      <w:r>
        <w:rPr>
          <w:rFonts w:ascii="Times New Roman" w:cs="Times New Roman" w:eastAsia="Times New Roman" w:hAnsi="Times New Roman"/>
          <w:b/>
          <w:bCs/>
          <w:color w:val="2A7A65"/>
          <w:sz w:val="26"/>
          <w:szCs w:val="26"/>
        </w:rPr>
        <w:t xml:space="preserve">Axe 1 : Expansion geographique</w:t>
      </w:r>
      <w:bookmarkEnd w:id="100061"/>
    </w:p>
    <w:p>
      <w:pPr>
        <w:spacing w:after="120" w:line="312"/>
        <w:ind w:firstLine="480"/>
        <w:jc w:val="both"/>
      </w:pPr>
      <w:r>
        <w:rPr>
          <w:rFonts w:ascii="Calibri" w:cs="Calibri" w:eastAsia="Calibri" w:hAnsi="Calibri"/>
          <w:color w:val="000000"/>
          <w:sz w:val="22"/>
          <w:szCs w:val="22"/>
        </w:rPr>
        <w:t xml:space="preserve">L'expansion geographique est planifiee en trois vagues. La premiere vague (2027) cible les marches limitrophes : Burkina Faso et Ghana, qui partagent des similarites agricoles avec la Cote d'Ivoire et disposent de marches importants pour les cultures de rente. La deuxieme vague (2028) vise le Mali et le Senegal, deux marches a fort potentiel pour les cultures cotonnieres et arachidiennes. La troisieme vague (2029-2030) concerne le Cameroun, le Nigeria et la RDC, des marches a tres fort potentiel mais plus complexes a penetrer.</w:t>
      </w:r>
    </w:p>
    <w:p>
      <w:pPr>
        <w:pStyle w:val="Heading3"/>
        <w:spacing w:after="100" w:before="200" w:line="312"/>
      </w:pPr>
      <w:bookmarkStart w:id="100062" w:name="_Toc100062"/>
      <w:r>
        <w:rPr>
          <w:rFonts w:ascii="Times New Roman" w:cs="Times New Roman" w:eastAsia="Times New Roman" w:hAnsi="Times New Roman"/>
          <w:b/>
          <w:bCs/>
          <w:color w:val="2A7A65"/>
          <w:sz w:val="26"/>
          <w:szCs w:val="26"/>
        </w:rPr>
        <w:t xml:space="preserve">Axe 2 : Diversification produit</w:t>
      </w:r>
      <w:bookmarkEnd w:id="100062"/>
    </w:p>
    <w:p>
      <w:pPr>
        <w:spacing w:after="120" w:line="312"/>
        <w:ind w:firstLine="480"/>
        <w:jc w:val="both"/>
      </w:pPr>
      <w:r>
        <w:rPr>
          <w:rFonts w:ascii="Calibri" w:cs="Calibri" w:eastAsia="Calibri" w:hAnsi="Calibri"/>
          <w:color w:val="000000"/>
          <w:sz w:val="22"/>
          <w:szCs w:val="22"/>
        </w:rPr>
        <w:t xml:space="preserve">La diversification de la gamme est prevue a partir de 2027, avec le lancement de produits complementaires a Biodynamie : un biopesticide naturel (Biodynamie Protect), un bio-stimulant de croissance (Biodynamie Boost), un amendement organique du sol (Biodynamie Sol), et un conditionneur de semences (Biodynamie Seed). Ces produits partageront la meme philosophie (100% naturel, tropical) et la meme plateforme technologique, maximisant les synergies de R&amp;D et de distribution.</w:t>
      </w:r>
    </w:p>
    <w:p>
      <w:pPr>
        <w:pStyle w:val="Heading3"/>
        <w:spacing w:after="100" w:before="200" w:line="312"/>
      </w:pPr>
      <w:bookmarkStart w:id="100063" w:name="_Toc100063"/>
      <w:r>
        <w:rPr>
          <w:rFonts w:ascii="Times New Roman" w:cs="Times New Roman" w:eastAsia="Times New Roman" w:hAnsi="Times New Roman"/>
          <w:b/>
          <w:bCs/>
          <w:color w:val="2A7A65"/>
          <w:sz w:val="26"/>
          <w:szCs w:val="26"/>
        </w:rPr>
        <w:t xml:space="preserve">Axe 3 : Excellence operationnelle et certification</w:t>
      </w:r>
      <w:bookmarkEnd w:id="100063"/>
    </w:p>
    <w:p>
      <w:pPr>
        <w:spacing w:after="120" w:line="312"/>
        <w:ind w:firstLine="480"/>
        <w:jc w:val="both"/>
      </w:pPr>
      <w:r>
        <w:rPr>
          <w:rFonts w:ascii="Calibri" w:cs="Calibri" w:eastAsia="Calibri" w:hAnsi="Calibri"/>
          <w:color w:val="000000"/>
          <w:sz w:val="22"/>
          <w:szCs w:val="22"/>
        </w:rPr>
        <w:t xml:space="preserve">L'obtention de la certification ISO 9001 (management qualite) est visee pour 2027, suivie de la certification ISO 14001 (management environnemental) en 2028. Ces certifications renforceront la credibilite du produit aupres des clients industriels et institutionnels, et faciliteront l'acces aux marches d'exportation. L'investissement dans un nouveau site de production a plus grande capacite est prevu pour 2029, en fonction de la croissance du marche.</w:t>
      </w:r>
    </w:p>
    <w:p>
      <w:pPr>
        <w:pStyle w:val="Heading2"/>
        <w:spacing w:after="150" w:before="300" w:line="312"/>
      </w:pPr>
      <w:bookmarkStart w:id="100064" w:name="_Toc100064"/>
      <w:r>
        <w:rPr>
          <w:rFonts w:ascii="Times New Roman" w:cs="Times New Roman" w:eastAsia="Times New Roman" w:hAnsi="Times New Roman"/>
          <w:b/>
          <w:bCs/>
          <w:color w:val="2A7A65"/>
          <w:sz w:val="30"/>
          <w:szCs w:val="30"/>
        </w:rPr>
        <w:t xml:space="preserve">12.3 Indicateurs de Performance (KPI)</w:t>
      </w:r>
      <w:bookmarkEnd w:id="10006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30%"/>
            <w:shd w:fill="2A7A65" w:val="clear"/>
            <w:vAlign w:val="center"/>
          </w:tcPr>
          <w:p>
            <w:pPr>
              <w:spacing w:after="40" w:before="40"/>
              <w:jc w:val="center"/>
            </w:pPr>
            <w:r>
              <w:rPr>
                <w:rFonts w:ascii="Calibri" w:cs="Calibri" w:eastAsia="Calibri" w:hAnsi="Calibri"/>
                <w:b/>
                <w:bCs/>
                <w:color w:val="FFFFFF"/>
                <w:sz w:val="20"/>
                <w:szCs w:val="20"/>
              </w:rPr>
              <w:t xml:space="preserve">KPI</w:t>
            </w:r>
          </w:p>
        </w:tc>
        <w:tc>
          <w:tcPr>
            <w:tcW w:type="pct" w:w="18%"/>
            <w:shd w:fill="2A7A65" w:val="clear"/>
            <w:vAlign w:val="center"/>
          </w:tcPr>
          <w:p>
            <w:pPr>
              <w:spacing w:after="40" w:before="40"/>
              <w:jc w:val="center"/>
            </w:pPr>
            <w:r>
              <w:rPr>
                <w:rFonts w:ascii="Calibri" w:cs="Calibri" w:eastAsia="Calibri" w:hAnsi="Calibri"/>
                <w:b/>
                <w:bCs/>
                <w:color w:val="FFFFFF"/>
                <w:sz w:val="20"/>
                <w:szCs w:val="20"/>
              </w:rPr>
              <w:t xml:space="preserve">Cible Annee 1</w:t>
            </w:r>
          </w:p>
        </w:tc>
        <w:tc>
          <w:tcPr>
            <w:tcW w:type="pct" w:w="18%"/>
            <w:shd w:fill="2A7A65" w:val="clear"/>
            <w:vAlign w:val="center"/>
          </w:tcPr>
          <w:p>
            <w:pPr>
              <w:spacing w:after="40" w:before="40"/>
              <w:jc w:val="center"/>
            </w:pPr>
            <w:r>
              <w:rPr>
                <w:rFonts w:ascii="Calibri" w:cs="Calibri" w:eastAsia="Calibri" w:hAnsi="Calibri"/>
                <w:b/>
                <w:bCs/>
                <w:color w:val="FFFFFF"/>
                <w:sz w:val="20"/>
                <w:szCs w:val="20"/>
              </w:rPr>
              <w:t xml:space="preserve">Cible Annee 2</w:t>
            </w:r>
          </w:p>
        </w:tc>
        <w:tc>
          <w:tcPr>
            <w:tcW w:type="pct" w:w="18%"/>
            <w:shd w:fill="2A7A65" w:val="clear"/>
            <w:vAlign w:val="center"/>
          </w:tcPr>
          <w:p>
            <w:pPr>
              <w:spacing w:after="40" w:before="40"/>
              <w:jc w:val="center"/>
            </w:pPr>
            <w:r>
              <w:rPr>
                <w:rFonts w:ascii="Calibri" w:cs="Calibri" w:eastAsia="Calibri" w:hAnsi="Calibri"/>
                <w:b/>
                <w:bCs/>
                <w:color w:val="FFFFFF"/>
                <w:sz w:val="20"/>
                <w:szCs w:val="20"/>
              </w:rPr>
              <w:t xml:space="preserve">Cible Annee 3</w:t>
            </w:r>
          </w:p>
        </w:tc>
        <w:tc>
          <w:tcPr>
            <w:tcW w:type="pct" w:w="18%"/>
            <w:shd w:fill="2A7A65" w:val="clear"/>
            <w:vAlign w:val="center"/>
          </w:tcPr>
          <w:p>
            <w:pPr>
              <w:spacing w:after="40" w:before="40"/>
              <w:jc w:val="center"/>
            </w:pPr>
            <w:r>
              <w:rPr>
                <w:rFonts w:ascii="Calibri" w:cs="Calibri" w:eastAsia="Calibri" w:hAnsi="Calibri"/>
                <w:b/>
                <w:bCs/>
                <w:color w:val="FFFFFF"/>
                <w:sz w:val="20"/>
                <w:szCs w:val="20"/>
              </w:rPr>
              <w:t xml:space="preserve">Cible Annee 5</w:t>
            </w:r>
          </w:p>
        </w:tc>
      </w:tr>
      <w:tr>
        <w:tc>
          <w:tcPr>
            <w:tcW w:type="pct" w:w="30%"/>
            <w:vAlign w:val="center"/>
          </w:tcPr>
          <w:p>
            <w:pPr>
              <w:spacing w:after="30" w:before="30"/>
              <w:jc w:val="left"/>
            </w:pPr>
            <w:r>
              <w:rPr>
                <w:rFonts w:ascii="Calibri" w:cs="Calibri" w:eastAsia="Calibri" w:hAnsi="Calibri"/>
                <w:color w:val="000000"/>
                <w:sz w:val="20"/>
                <w:szCs w:val="20"/>
              </w:rPr>
              <w:t xml:space="preserve">Volume vendu (tonnes)</w:t>
            </w:r>
          </w:p>
        </w:tc>
        <w:tc>
          <w:tcPr>
            <w:tcW w:type="pct" w:w="18%"/>
            <w:vAlign w:val="center"/>
          </w:tcPr>
          <w:p>
            <w:pPr>
              <w:spacing w:after="30" w:before="30"/>
              <w:jc w:val="left"/>
            </w:pPr>
            <w:r>
              <w:rPr>
                <w:rFonts w:ascii="Calibri" w:cs="Calibri" w:eastAsia="Calibri" w:hAnsi="Calibri"/>
                <w:color w:val="000000"/>
                <w:sz w:val="20"/>
                <w:szCs w:val="20"/>
              </w:rPr>
              <w:t xml:space="preserve">29</w:t>
            </w:r>
          </w:p>
        </w:tc>
        <w:tc>
          <w:tcPr>
            <w:tcW w:type="pct" w:w="18%"/>
            <w:vAlign w:val="center"/>
          </w:tcPr>
          <w:p>
            <w:pPr>
              <w:spacing w:after="30" w:before="30"/>
              <w:jc w:val="left"/>
            </w:pPr>
            <w:r>
              <w:rPr>
                <w:rFonts w:ascii="Calibri" w:cs="Calibri" w:eastAsia="Calibri" w:hAnsi="Calibri"/>
                <w:color w:val="000000"/>
                <w:sz w:val="20"/>
                <w:szCs w:val="20"/>
              </w:rPr>
              <w:t xml:space="preserve">80</w:t>
            </w:r>
          </w:p>
        </w:tc>
        <w:tc>
          <w:tcPr>
            <w:tcW w:type="pct" w:w="18%"/>
            <w:vAlign w:val="center"/>
          </w:tcPr>
          <w:p>
            <w:pPr>
              <w:spacing w:after="30" w:before="30"/>
              <w:jc w:val="left"/>
            </w:pPr>
            <w:r>
              <w:rPr>
                <w:rFonts w:ascii="Calibri" w:cs="Calibri" w:eastAsia="Calibri" w:hAnsi="Calibri"/>
                <w:color w:val="000000"/>
                <w:sz w:val="20"/>
                <w:szCs w:val="20"/>
              </w:rPr>
              <w:t xml:space="preserve">150</w:t>
            </w:r>
          </w:p>
        </w:tc>
        <w:tc>
          <w:tcPr>
            <w:tcW w:type="pct" w:w="18%"/>
            <w:vAlign w:val="center"/>
          </w:tcPr>
          <w:p>
            <w:pPr>
              <w:spacing w:after="30" w:before="30"/>
              <w:jc w:val="left"/>
            </w:pPr>
            <w:r>
              <w:rPr>
                <w:rFonts w:ascii="Calibri" w:cs="Calibri" w:eastAsia="Calibri" w:hAnsi="Calibri"/>
                <w:color w:val="000000"/>
                <w:sz w:val="20"/>
                <w:szCs w:val="20"/>
              </w:rPr>
              <w:t xml:space="preserve">400</w:t>
            </w:r>
          </w:p>
        </w:tc>
      </w:tr>
      <w:tr>
        <w:tc>
          <w:tcPr>
            <w:tcW w:type="pct" w:w="30%"/>
            <w:shd w:fill="EDF5F2" w:val="clear"/>
            <w:vAlign w:val="center"/>
          </w:tcPr>
          <w:p>
            <w:pPr>
              <w:spacing w:after="30" w:before="30"/>
              <w:jc w:val="left"/>
            </w:pPr>
            <w:r>
              <w:rPr>
                <w:rFonts w:ascii="Calibri" w:cs="Calibri" w:eastAsia="Calibri" w:hAnsi="Calibri"/>
                <w:color w:val="000000"/>
                <w:sz w:val="20"/>
                <w:szCs w:val="20"/>
              </w:rPr>
              <w:t xml:space="preserve">Chiffre d'affaires (M Fcfa)</w:t>
            </w:r>
          </w:p>
        </w:tc>
        <w:tc>
          <w:tcPr>
            <w:tcW w:type="pct" w:w="18%"/>
            <w:shd w:fill="EDF5F2" w:val="clear"/>
            <w:vAlign w:val="center"/>
          </w:tcPr>
          <w:p>
            <w:pPr>
              <w:spacing w:after="30" w:before="30"/>
              <w:jc w:val="left"/>
            </w:pPr>
            <w:r>
              <w:rPr>
                <w:rFonts w:ascii="Calibri" w:cs="Calibri" w:eastAsia="Calibri" w:hAnsi="Calibri"/>
                <w:color w:val="000000"/>
                <w:sz w:val="20"/>
                <w:szCs w:val="20"/>
              </w:rPr>
              <w:t xml:space="preserve">17,4</w:t>
            </w:r>
          </w:p>
        </w:tc>
        <w:tc>
          <w:tcPr>
            <w:tcW w:type="pct" w:w="18%"/>
            <w:shd w:fill="EDF5F2" w:val="clear"/>
            <w:vAlign w:val="center"/>
          </w:tcPr>
          <w:p>
            <w:pPr>
              <w:spacing w:after="30" w:before="30"/>
              <w:jc w:val="left"/>
            </w:pPr>
            <w:r>
              <w:rPr>
                <w:rFonts w:ascii="Calibri" w:cs="Calibri" w:eastAsia="Calibri" w:hAnsi="Calibri"/>
                <w:color w:val="000000"/>
                <w:sz w:val="20"/>
                <w:szCs w:val="20"/>
              </w:rPr>
              <w:t xml:space="preserve">64</w:t>
            </w:r>
          </w:p>
        </w:tc>
        <w:tc>
          <w:tcPr>
            <w:tcW w:type="pct" w:w="18%"/>
            <w:shd w:fill="EDF5F2" w:val="clear"/>
            <w:vAlign w:val="center"/>
          </w:tcPr>
          <w:p>
            <w:pPr>
              <w:spacing w:after="30" w:before="30"/>
              <w:jc w:val="left"/>
            </w:pPr>
            <w:r>
              <w:rPr>
                <w:rFonts w:ascii="Calibri" w:cs="Calibri" w:eastAsia="Calibri" w:hAnsi="Calibri"/>
                <w:color w:val="000000"/>
                <w:sz w:val="20"/>
                <w:szCs w:val="20"/>
              </w:rPr>
              <w:t xml:space="preserve">135</w:t>
            </w:r>
          </w:p>
        </w:tc>
        <w:tc>
          <w:tcPr>
            <w:tcW w:type="pct" w:w="18%"/>
            <w:shd w:fill="EDF5F2" w:val="clear"/>
            <w:vAlign w:val="center"/>
          </w:tcPr>
          <w:p>
            <w:pPr>
              <w:spacing w:after="30" w:before="30"/>
              <w:jc w:val="left"/>
            </w:pPr>
            <w:r>
              <w:rPr>
                <w:rFonts w:ascii="Calibri" w:cs="Calibri" w:eastAsia="Calibri" w:hAnsi="Calibri"/>
                <w:color w:val="000000"/>
                <w:sz w:val="20"/>
                <w:szCs w:val="20"/>
              </w:rPr>
              <w:t xml:space="preserve">500</w:t>
            </w:r>
          </w:p>
        </w:tc>
      </w:tr>
      <w:tr>
        <w:tc>
          <w:tcPr>
            <w:tcW w:type="pct" w:w="30%"/>
            <w:vAlign w:val="center"/>
          </w:tcPr>
          <w:p>
            <w:pPr>
              <w:spacing w:after="30" w:before="30"/>
              <w:jc w:val="left"/>
            </w:pPr>
            <w:r>
              <w:rPr>
                <w:rFonts w:ascii="Calibri" w:cs="Calibri" w:eastAsia="Calibri" w:hAnsi="Calibri"/>
                <w:color w:val="000000"/>
                <w:sz w:val="20"/>
                <w:szCs w:val="20"/>
              </w:rPr>
              <w:t xml:space="preserve">Nombre d'agriculteurs formes</w:t>
            </w:r>
          </w:p>
        </w:tc>
        <w:tc>
          <w:tcPr>
            <w:tcW w:type="pct" w:w="18%"/>
            <w:vAlign w:val="center"/>
          </w:tcPr>
          <w:p>
            <w:pPr>
              <w:spacing w:after="30" w:before="30"/>
              <w:jc w:val="left"/>
            </w:pPr>
            <w:r>
              <w:rPr>
                <w:rFonts w:ascii="Calibri" w:cs="Calibri" w:eastAsia="Calibri" w:hAnsi="Calibri"/>
                <w:color w:val="000000"/>
                <w:sz w:val="20"/>
                <w:szCs w:val="20"/>
              </w:rPr>
              <w:t xml:space="preserve">500</w:t>
            </w:r>
          </w:p>
        </w:tc>
        <w:tc>
          <w:tcPr>
            <w:tcW w:type="pct" w:w="18%"/>
            <w:vAlign w:val="center"/>
          </w:tcPr>
          <w:p>
            <w:pPr>
              <w:spacing w:after="30" w:before="30"/>
              <w:jc w:val="left"/>
            </w:pPr>
            <w:r>
              <w:rPr>
                <w:rFonts w:ascii="Calibri" w:cs="Calibri" w:eastAsia="Calibri" w:hAnsi="Calibri"/>
                <w:color w:val="000000"/>
                <w:sz w:val="20"/>
                <w:szCs w:val="20"/>
              </w:rPr>
              <w:t xml:space="preserve">1 500</w:t>
            </w:r>
          </w:p>
        </w:tc>
        <w:tc>
          <w:tcPr>
            <w:tcW w:type="pct" w:w="18%"/>
            <w:vAlign w:val="center"/>
          </w:tcPr>
          <w:p>
            <w:pPr>
              <w:spacing w:after="30" w:before="30"/>
              <w:jc w:val="left"/>
            </w:pPr>
            <w:r>
              <w:rPr>
                <w:rFonts w:ascii="Calibri" w:cs="Calibri" w:eastAsia="Calibri" w:hAnsi="Calibri"/>
                <w:color w:val="000000"/>
                <w:sz w:val="20"/>
                <w:szCs w:val="20"/>
              </w:rPr>
              <w:t xml:space="preserve">3 000</w:t>
            </w:r>
          </w:p>
        </w:tc>
        <w:tc>
          <w:tcPr>
            <w:tcW w:type="pct" w:w="18%"/>
            <w:vAlign w:val="center"/>
          </w:tcPr>
          <w:p>
            <w:pPr>
              <w:spacing w:after="30" w:before="30"/>
              <w:jc w:val="left"/>
            </w:pPr>
            <w:r>
              <w:rPr>
                <w:rFonts w:ascii="Calibri" w:cs="Calibri" w:eastAsia="Calibri" w:hAnsi="Calibri"/>
                <w:color w:val="000000"/>
                <w:sz w:val="20"/>
                <w:szCs w:val="20"/>
              </w:rPr>
              <w:t xml:space="preserve">10 000</w:t>
            </w:r>
          </w:p>
        </w:tc>
      </w:tr>
      <w:tr>
        <w:tc>
          <w:tcPr>
            <w:tcW w:type="pct" w:w="30%"/>
            <w:shd w:fill="EDF5F2" w:val="clear"/>
            <w:vAlign w:val="center"/>
          </w:tcPr>
          <w:p>
            <w:pPr>
              <w:spacing w:after="30" w:before="30"/>
              <w:jc w:val="left"/>
            </w:pPr>
            <w:r>
              <w:rPr>
                <w:rFonts w:ascii="Calibri" w:cs="Calibri" w:eastAsia="Calibri" w:hAnsi="Calibri"/>
                <w:color w:val="000000"/>
                <w:sz w:val="20"/>
                <w:szCs w:val="20"/>
              </w:rPr>
              <w:t xml:space="preserve">Nombre de partenariats majeurs</w:t>
            </w:r>
          </w:p>
        </w:tc>
        <w:tc>
          <w:tcPr>
            <w:tcW w:type="pct" w:w="18%"/>
            <w:shd w:fill="EDF5F2" w:val="clear"/>
            <w:vAlign w:val="center"/>
          </w:tcPr>
          <w:p>
            <w:pPr>
              <w:spacing w:after="30" w:before="30"/>
              <w:jc w:val="left"/>
            </w:pPr>
            <w:r>
              <w:rPr>
                <w:rFonts w:ascii="Calibri" w:cs="Calibri" w:eastAsia="Calibri" w:hAnsi="Calibri"/>
                <w:color w:val="000000"/>
                <w:sz w:val="20"/>
                <w:szCs w:val="20"/>
              </w:rPr>
              <w:t xml:space="preserve">3</w:t>
            </w:r>
          </w:p>
        </w:tc>
        <w:tc>
          <w:tcPr>
            <w:tcW w:type="pct" w:w="18%"/>
            <w:shd w:fill="EDF5F2" w:val="clear"/>
            <w:vAlign w:val="center"/>
          </w:tcPr>
          <w:p>
            <w:pPr>
              <w:spacing w:after="30" w:before="30"/>
              <w:jc w:val="left"/>
            </w:pPr>
            <w:r>
              <w:rPr>
                <w:rFonts w:ascii="Calibri" w:cs="Calibri" w:eastAsia="Calibri" w:hAnsi="Calibri"/>
                <w:color w:val="000000"/>
                <w:sz w:val="20"/>
                <w:szCs w:val="20"/>
              </w:rPr>
              <w:t xml:space="preserve">6</w:t>
            </w:r>
          </w:p>
        </w:tc>
        <w:tc>
          <w:tcPr>
            <w:tcW w:type="pct" w:w="18%"/>
            <w:shd w:fill="EDF5F2" w:val="clear"/>
            <w:vAlign w:val="center"/>
          </w:tcPr>
          <w:p>
            <w:pPr>
              <w:spacing w:after="30" w:before="30"/>
              <w:jc w:val="left"/>
            </w:pPr>
            <w:r>
              <w:rPr>
                <w:rFonts w:ascii="Calibri" w:cs="Calibri" w:eastAsia="Calibri" w:hAnsi="Calibri"/>
                <w:color w:val="000000"/>
                <w:sz w:val="20"/>
                <w:szCs w:val="20"/>
              </w:rPr>
              <w:t xml:space="preserve">10</w:t>
            </w:r>
          </w:p>
        </w:tc>
        <w:tc>
          <w:tcPr>
            <w:tcW w:type="pct" w:w="18%"/>
            <w:shd w:fill="EDF5F2" w:val="clear"/>
            <w:vAlign w:val="center"/>
          </w:tcPr>
          <w:p>
            <w:pPr>
              <w:spacing w:after="30" w:before="30"/>
              <w:jc w:val="left"/>
            </w:pPr>
            <w:r>
              <w:rPr>
                <w:rFonts w:ascii="Calibri" w:cs="Calibri" w:eastAsia="Calibri" w:hAnsi="Calibri"/>
                <w:color w:val="000000"/>
                <w:sz w:val="20"/>
                <w:szCs w:val="20"/>
              </w:rPr>
              <w:t xml:space="preserve">20</w:t>
            </w:r>
          </w:p>
        </w:tc>
      </w:tr>
      <w:tr>
        <w:tc>
          <w:tcPr>
            <w:tcW w:type="pct" w:w="30%"/>
            <w:vAlign w:val="center"/>
          </w:tcPr>
          <w:p>
            <w:pPr>
              <w:spacing w:after="30" w:before="30"/>
              <w:jc w:val="left"/>
            </w:pPr>
            <w:r>
              <w:rPr>
                <w:rFonts w:ascii="Calibri" w:cs="Calibri" w:eastAsia="Calibri" w:hAnsi="Calibri"/>
                <w:color w:val="000000"/>
                <w:sz w:val="20"/>
                <w:szCs w:val="20"/>
              </w:rPr>
              <w:t xml:space="preserve">Part de marche biofertilisants CI</w:t>
            </w:r>
          </w:p>
        </w:tc>
        <w:tc>
          <w:tcPr>
            <w:tcW w:type="pct" w:w="18%"/>
            <w:vAlign w:val="center"/>
          </w:tcPr>
          <w:p>
            <w:pPr>
              <w:spacing w:after="30" w:before="30"/>
              <w:jc w:val="left"/>
            </w:pPr>
            <w:r>
              <w:rPr>
                <w:rFonts w:ascii="Calibri" w:cs="Calibri" w:eastAsia="Calibri" w:hAnsi="Calibri"/>
                <w:color w:val="000000"/>
                <w:sz w:val="20"/>
                <w:szCs w:val="20"/>
              </w:rPr>
              <w:t xml:space="preserve">5%</w:t>
            </w:r>
          </w:p>
        </w:tc>
        <w:tc>
          <w:tcPr>
            <w:tcW w:type="pct" w:w="18%"/>
            <w:vAlign w:val="center"/>
          </w:tcPr>
          <w:p>
            <w:pPr>
              <w:spacing w:after="30" w:before="30"/>
              <w:jc w:val="left"/>
            </w:pPr>
            <w:r>
              <w:rPr>
                <w:rFonts w:ascii="Calibri" w:cs="Calibri" w:eastAsia="Calibri" w:hAnsi="Calibri"/>
                <w:color w:val="000000"/>
                <w:sz w:val="20"/>
                <w:szCs w:val="20"/>
              </w:rPr>
              <w:t xml:space="preserve">15%</w:t>
            </w:r>
          </w:p>
        </w:tc>
        <w:tc>
          <w:tcPr>
            <w:tcW w:type="pct" w:w="18%"/>
            <w:vAlign w:val="center"/>
          </w:tcPr>
          <w:p>
            <w:pPr>
              <w:spacing w:after="30" w:before="30"/>
              <w:jc w:val="left"/>
            </w:pPr>
            <w:r>
              <w:rPr>
                <w:rFonts w:ascii="Calibri" w:cs="Calibri" w:eastAsia="Calibri" w:hAnsi="Calibri"/>
                <w:color w:val="000000"/>
                <w:sz w:val="20"/>
                <w:szCs w:val="20"/>
              </w:rPr>
              <w:t xml:space="preserve">25%</w:t>
            </w:r>
          </w:p>
        </w:tc>
        <w:tc>
          <w:tcPr>
            <w:tcW w:type="pct" w:w="18%"/>
            <w:vAlign w:val="center"/>
          </w:tcPr>
          <w:p>
            <w:pPr>
              <w:spacing w:after="30" w:before="30"/>
              <w:jc w:val="left"/>
            </w:pPr>
            <w:r>
              <w:rPr>
                <w:rFonts w:ascii="Calibri" w:cs="Calibri" w:eastAsia="Calibri" w:hAnsi="Calibri"/>
                <w:color w:val="000000"/>
                <w:sz w:val="20"/>
                <w:szCs w:val="20"/>
              </w:rPr>
              <w:t xml:space="preserve">30%</w:t>
            </w:r>
          </w:p>
        </w:tc>
      </w:tr>
      <w:tr>
        <w:tc>
          <w:tcPr>
            <w:tcW w:type="pct" w:w="30%"/>
            <w:shd w:fill="EDF5F2" w:val="clear"/>
            <w:vAlign w:val="center"/>
          </w:tcPr>
          <w:p>
            <w:pPr>
              <w:spacing w:after="30" w:before="30"/>
              <w:jc w:val="left"/>
            </w:pPr>
            <w:r>
              <w:rPr>
                <w:rFonts w:ascii="Calibri" w:cs="Calibri" w:eastAsia="Calibri" w:hAnsi="Calibri"/>
                <w:color w:val="000000"/>
                <w:sz w:val="20"/>
                <w:szCs w:val="20"/>
              </w:rPr>
              <w:t xml:space="preserve">Nombre de pays couverts</w:t>
            </w:r>
          </w:p>
        </w:tc>
        <w:tc>
          <w:tcPr>
            <w:tcW w:type="pct" w:w="18%"/>
            <w:shd w:fill="EDF5F2" w:val="clear"/>
            <w:vAlign w:val="center"/>
          </w:tcPr>
          <w:p>
            <w:pPr>
              <w:spacing w:after="30" w:before="30"/>
              <w:jc w:val="left"/>
            </w:pPr>
            <w:r>
              <w:rPr>
                <w:rFonts w:ascii="Calibri" w:cs="Calibri" w:eastAsia="Calibri" w:hAnsi="Calibri"/>
                <w:color w:val="000000"/>
                <w:sz w:val="20"/>
                <w:szCs w:val="20"/>
              </w:rPr>
              <w:t xml:space="preserve">1</w:t>
            </w:r>
          </w:p>
        </w:tc>
        <w:tc>
          <w:tcPr>
            <w:tcW w:type="pct" w:w="18%"/>
            <w:shd w:fill="EDF5F2" w:val="clear"/>
            <w:vAlign w:val="center"/>
          </w:tcPr>
          <w:p>
            <w:pPr>
              <w:spacing w:after="30" w:before="30"/>
              <w:jc w:val="left"/>
            </w:pPr>
            <w:r>
              <w:rPr>
                <w:rFonts w:ascii="Calibri" w:cs="Calibri" w:eastAsia="Calibri" w:hAnsi="Calibri"/>
                <w:color w:val="000000"/>
                <w:sz w:val="20"/>
                <w:szCs w:val="20"/>
              </w:rPr>
              <w:t xml:space="preserve">1</w:t>
            </w:r>
          </w:p>
        </w:tc>
        <w:tc>
          <w:tcPr>
            <w:tcW w:type="pct" w:w="18%"/>
            <w:shd w:fill="EDF5F2" w:val="clear"/>
            <w:vAlign w:val="center"/>
          </w:tcPr>
          <w:p>
            <w:pPr>
              <w:spacing w:after="30" w:before="30"/>
              <w:jc w:val="left"/>
            </w:pPr>
            <w:r>
              <w:rPr>
                <w:rFonts w:ascii="Calibri" w:cs="Calibri" w:eastAsia="Calibri" w:hAnsi="Calibri"/>
                <w:color w:val="000000"/>
                <w:sz w:val="20"/>
                <w:szCs w:val="20"/>
              </w:rPr>
              <w:t xml:space="preserve">2</w:t>
            </w:r>
          </w:p>
        </w:tc>
        <w:tc>
          <w:tcPr>
            <w:tcW w:type="pct" w:w="18%"/>
            <w:shd w:fill="EDF5F2" w:val="clear"/>
            <w:vAlign w:val="center"/>
          </w:tcPr>
          <w:p>
            <w:pPr>
              <w:spacing w:after="30" w:before="30"/>
              <w:jc w:val="left"/>
            </w:pPr>
            <w:r>
              <w:rPr>
                <w:rFonts w:ascii="Calibri" w:cs="Calibri" w:eastAsia="Calibri" w:hAnsi="Calibri"/>
                <w:color w:val="000000"/>
                <w:sz w:val="20"/>
                <w:szCs w:val="20"/>
              </w:rPr>
              <w:t xml:space="preserve">5</w:t>
            </w:r>
          </w:p>
        </w:tc>
      </w:tr>
      <w:tr>
        <w:tc>
          <w:tcPr>
            <w:tcW w:type="pct" w:w="30%"/>
            <w:vAlign w:val="center"/>
          </w:tcPr>
          <w:p>
            <w:pPr>
              <w:spacing w:after="30" w:before="30"/>
              <w:jc w:val="left"/>
            </w:pPr>
            <w:r>
              <w:rPr>
                <w:rFonts w:ascii="Calibri" w:cs="Calibri" w:eastAsia="Calibri" w:hAnsi="Calibri"/>
                <w:color w:val="000000"/>
                <w:sz w:val="20"/>
                <w:szCs w:val="20"/>
              </w:rPr>
              <w:t xml:space="preserve">Nombre de produits dans la gamme</w:t>
            </w:r>
          </w:p>
        </w:tc>
        <w:tc>
          <w:tcPr>
            <w:tcW w:type="pct" w:w="18%"/>
            <w:vAlign w:val="center"/>
          </w:tcPr>
          <w:p>
            <w:pPr>
              <w:spacing w:after="30" w:before="30"/>
              <w:jc w:val="left"/>
            </w:pPr>
            <w:r>
              <w:rPr>
                <w:rFonts w:ascii="Calibri" w:cs="Calibri" w:eastAsia="Calibri" w:hAnsi="Calibri"/>
                <w:color w:val="000000"/>
                <w:sz w:val="20"/>
                <w:szCs w:val="20"/>
              </w:rPr>
              <w:t xml:space="preserve">1</w:t>
            </w:r>
          </w:p>
        </w:tc>
        <w:tc>
          <w:tcPr>
            <w:tcW w:type="pct" w:w="18%"/>
            <w:vAlign w:val="center"/>
          </w:tcPr>
          <w:p>
            <w:pPr>
              <w:spacing w:after="30" w:before="30"/>
              <w:jc w:val="left"/>
            </w:pPr>
            <w:r>
              <w:rPr>
                <w:rFonts w:ascii="Calibri" w:cs="Calibri" w:eastAsia="Calibri" w:hAnsi="Calibri"/>
                <w:color w:val="000000"/>
                <w:sz w:val="20"/>
                <w:szCs w:val="20"/>
              </w:rPr>
              <w:t xml:space="preserve">1</w:t>
            </w:r>
          </w:p>
        </w:tc>
        <w:tc>
          <w:tcPr>
            <w:tcW w:type="pct" w:w="18%"/>
            <w:vAlign w:val="center"/>
          </w:tcPr>
          <w:p>
            <w:pPr>
              <w:spacing w:after="30" w:before="30"/>
              <w:jc w:val="left"/>
            </w:pPr>
            <w:r>
              <w:rPr>
                <w:rFonts w:ascii="Calibri" w:cs="Calibri" w:eastAsia="Calibri" w:hAnsi="Calibri"/>
                <w:color w:val="000000"/>
                <w:sz w:val="20"/>
                <w:szCs w:val="20"/>
              </w:rPr>
              <w:t xml:space="preserve">2</w:t>
            </w:r>
          </w:p>
        </w:tc>
        <w:tc>
          <w:tcPr>
            <w:tcW w:type="pct" w:w="18%"/>
            <w:vAlign w:val="center"/>
          </w:tcPr>
          <w:p>
            <w:pPr>
              <w:spacing w:after="30" w:before="30"/>
              <w:jc w:val="left"/>
            </w:pPr>
            <w:r>
              <w:rPr>
                <w:rFonts w:ascii="Calibri" w:cs="Calibri" w:eastAsia="Calibri" w:hAnsi="Calibri"/>
                <w:color w:val="000000"/>
                <w:sz w:val="20"/>
                <w:szCs w:val="20"/>
              </w:rPr>
              <w:t xml:space="preserve">5</w:t>
            </w:r>
          </w:p>
        </w:tc>
      </w:tr>
      <w:tr>
        <w:tc>
          <w:tcPr>
            <w:tcW w:type="pct" w:w="30%"/>
            <w:shd w:fill="EDF5F2" w:val="clear"/>
            <w:vAlign w:val="center"/>
          </w:tcPr>
          <w:p>
            <w:pPr>
              <w:spacing w:after="30" w:before="30"/>
              <w:jc w:val="left"/>
            </w:pPr>
            <w:r>
              <w:rPr>
                <w:rFonts w:ascii="Calibri" w:cs="Calibri" w:eastAsia="Calibri" w:hAnsi="Calibri"/>
                <w:color w:val="000000"/>
                <w:sz w:val="20"/>
                <w:szCs w:val="20"/>
              </w:rPr>
              <w:t xml:space="preserve">Taux de satisfaction clients</w:t>
            </w:r>
          </w:p>
        </w:tc>
        <w:tc>
          <w:tcPr>
            <w:tcW w:type="pct" w:w="18%"/>
            <w:shd w:fill="EDF5F2" w:val="clear"/>
            <w:vAlign w:val="center"/>
          </w:tcPr>
          <w:p>
            <w:pPr>
              <w:spacing w:after="30" w:before="30"/>
              <w:jc w:val="left"/>
            </w:pPr>
            <w:r>
              <w:rPr>
                <w:rFonts w:ascii="Calibri" w:cs="Calibri" w:eastAsia="Calibri" w:hAnsi="Calibri"/>
                <w:color w:val="000000"/>
                <w:sz w:val="20"/>
                <w:szCs w:val="20"/>
              </w:rPr>
              <w:t xml:space="preserve">80%</w:t>
            </w:r>
          </w:p>
        </w:tc>
        <w:tc>
          <w:tcPr>
            <w:tcW w:type="pct" w:w="18%"/>
            <w:shd w:fill="EDF5F2" w:val="clear"/>
            <w:vAlign w:val="center"/>
          </w:tcPr>
          <w:p>
            <w:pPr>
              <w:spacing w:after="30" w:before="30"/>
              <w:jc w:val="left"/>
            </w:pPr>
            <w:r>
              <w:rPr>
                <w:rFonts w:ascii="Calibri" w:cs="Calibri" w:eastAsia="Calibri" w:hAnsi="Calibri"/>
                <w:color w:val="000000"/>
                <w:sz w:val="20"/>
                <w:szCs w:val="20"/>
              </w:rPr>
              <w:t xml:space="preserve">85%</w:t>
            </w:r>
          </w:p>
        </w:tc>
        <w:tc>
          <w:tcPr>
            <w:tcW w:type="pct" w:w="18%"/>
            <w:shd w:fill="EDF5F2" w:val="clear"/>
            <w:vAlign w:val="center"/>
          </w:tcPr>
          <w:p>
            <w:pPr>
              <w:spacing w:after="30" w:before="30"/>
              <w:jc w:val="left"/>
            </w:pPr>
            <w:r>
              <w:rPr>
                <w:rFonts w:ascii="Calibri" w:cs="Calibri" w:eastAsia="Calibri" w:hAnsi="Calibri"/>
                <w:color w:val="000000"/>
                <w:sz w:val="20"/>
                <w:szCs w:val="20"/>
              </w:rPr>
              <w:t xml:space="preserve">90%</w:t>
            </w:r>
          </w:p>
        </w:tc>
        <w:tc>
          <w:tcPr>
            <w:tcW w:type="pct" w:w="18%"/>
            <w:shd w:fill="EDF5F2" w:val="clear"/>
            <w:vAlign w:val="center"/>
          </w:tcPr>
          <w:p>
            <w:pPr>
              <w:spacing w:after="30" w:before="30"/>
              <w:jc w:val="left"/>
            </w:pPr>
            <w:r>
              <w:rPr>
                <w:rFonts w:ascii="Calibri" w:cs="Calibri" w:eastAsia="Calibri" w:hAnsi="Calibri"/>
                <w:color w:val="000000"/>
                <w:sz w:val="20"/>
                <w:szCs w:val="20"/>
              </w:rPr>
              <w:t xml:space="preserve">95%</w:t>
            </w:r>
          </w:p>
        </w:tc>
      </w:tr>
      <w:tr>
        <w:tc>
          <w:tcPr>
            <w:tcW w:type="pct" w:w="30%"/>
            <w:vAlign w:val="center"/>
          </w:tcPr>
          <w:p>
            <w:pPr>
              <w:spacing w:after="30" w:before="30"/>
              <w:jc w:val="left"/>
            </w:pPr>
            <w:r>
              <w:rPr>
                <w:rFonts w:ascii="Calibri" w:cs="Calibri" w:eastAsia="Calibri" w:hAnsi="Calibri"/>
                <w:color w:val="000000"/>
                <w:sz w:val="20"/>
                <w:szCs w:val="20"/>
              </w:rPr>
              <w:t xml:space="preserve">Nombre d'abonnes reseaux sociaux</w:t>
            </w:r>
          </w:p>
        </w:tc>
        <w:tc>
          <w:tcPr>
            <w:tcW w:type="pct" w:w="18%"/>
            <w:vAlign w:val="center"/>
          </w:tcPr>
          <w:p>
            <w:pPr>
              <w:spacing w:after="30" w:before="30"/>
              <w:jc w:val="left"/>
            </w:pPr>
            <w:r>
              <w:rPr>
                <w:rFonts w:ascii="Calibri" w:cs="Calibri" w:eastAsia="Calibri" w:hAnsi="Calibri"/>
                <w:color w:val="000000"/>
                <w:sz w:val="20"/>
                <w:szCs w:val="20"/>
              </w:rPr>
              <w:t xml:space="preserve">10 000</w:t>
            </w:r>
          </w:p>
        </w:tc>
        <w:tc>
          <w:tcPr>
            <w:tcW w:type="pct" w:w="18%"/>
            <w:vAlign w:val="center"/>
          </w:tcPr>
          <w:p>
            <w:pPr>
              <w:spacing w:after="30" w:before="30"/>
              <w:jc w:val="left"/>
            </w:pPr>
            <w:r>
              <w:rPr>
                <w:rFonts w:ascii="Calibri" w:cs="Calibri" w:eastAsia="Calibri" w:hAnsi="Calibri"/>
                <w:color w:val="000000"/>
                <w:sz w:val="20"/>
                <w:szCs w:val="20"/>
              </w:rPr>
              <w:t xml:space="preserve">30 000</w:t>
            </w:r>
          </w:p>
        </w:tc>
        <w:tc>
          <w:tcPr>
            <w:tcW w:type="pct" w:w="18%"/>
            <w:vAlign w:val="center"/>
          </w:tcPr>
          <w:p>
            <w:pPr>
              <w:spacing w:after="30" w:before="30"/>
              <w:jc w:val="left"/>
            </w:pPr>
            <w:r>
              <w:rPr>
                <w:rFonts w:ascii="Calibri" w:cs="Calibri" w:eastAsia="Calibri" w:hAnsi="Calibri"/>
                <w:color w:val="000000"/>
                <w:sz w:val="20"/>
                <w:szCs w:val="20"/>
              </w:rPr>
              <w:t xml:space="preserve">60 000</w:t>
            </w:r>
          </w:p>
        </w:tc>
        <w:tc>
          <w:tcPr>
            <w:tcW w:type="pct" w:w="18%"/>
            <w:vAlign w:val="center"/>
          </w:tcPr>
          <w:p>
            <w:pPr>
              <w:spacing w:after="30" w:before="30"/>
              <w:jc w:val="left"/>
            </w:pPr>
            <w:r>
              <w:rPr>
                <w:rFonts w:ascii="Calibri" w:cs="Calibri" w:eastAsia="Calibri" w:hAnsi="Calibri"/>
                <w:color w:val="000000"/>
                <w:sz w:val="20"/>
                <w:szCs w:val="20"/>
              </w:rPr>
              <w:t xml:space="preserve">150 000</w:t>
            </w:r>
          </w:p>
        </w:tc>
      </w:tr>
      <w:tr>
        <w:tc>
          <w:tcPr>
            <w:tcW w:type="pct" w:w="30%"/>
            <w:shd w:fill="EDF5F2" w:val="clear"/>
            <w:vAlign w:val="center"/>
          </w:tcPr>
          <w:p>
            <w:pPr>
              <w:spacing w:after="30" w:before="30"/>
              <w:jc w:val="left"/>
            </w:pPr>
            <w:r>
              <w:rPr>
                <w:rFonts w:ascii="Calibri" w:cs="Calibri" w:eastAsia="Calibri" w:hAnsi="Calibri"/>
                <w:color w:val="000000"/>
                <w:sz w:val="20"/>
                <w:szCs w:val="20"/>
              </w:rPr>
              <w:t xml:space="preserve">Resultat net (M Fcfa)</w:t>
            </w:r>
          </w:p>
        </w:tc>
        <w:tc>
          <w:tcPr>
            <w:tcW w:type="pct" w:w="18%"/>
            <w:shd w:fill="EDF5F2" w:val="clear"/>
            <w:vAlign w:val="center"/>
          </w:tcPr>
          <w:p>
            <w:pPr>
              <w:spacing w:after="30" w:before="30"/>
              <w:jc w:val="left"/>
            </w:pPr>
            <w:r>
              <w:rPr>
                <w:rFonts w:ascii="Calibri" w:cs="Calibri" w:eastAsia="Calibri" w:hAnsi="Calibri"/>
                <w:color w:val="000000"/>
                <w:sz w:val="20"/>
                <w:szCs w:val="20"/>
              </w:rPr>
              <w:t xml:space="preserve">N/A</w:t>
            </w:r>
          </w:p>
        </w:tc>
        <w:tc>
          <w:tcPr>
            <w:tcW w:type="pct" w:w="18%"/>
            <w:shd w:fill="EDF5F2" w:val="clear"/>
            <w:vAlign w:val="center"/>
          </w:tcPr>
          <w:p>
            <w:pPr>
              <w:spacing w:after="30" w:before="30"/>
              <w:jc w:val="left"/>
            </w:pPr>
            <w:r>
              <w:rPr>
                <w:rFonts w:ascii="Calibri" w:cs="Calibri" w:eastAsia="Calibri" w:hAnsi="Calibri"/>
                <w:color w:val="000000"/>
                <w:sz w:val="20"/>
                <w:szCs w:val="20"/>
              </w:rPr>
              <w:t xml:space="preserve">9</w:t>
            </w:r>
          </w:p>
        </w:tc>
        <w:tc>
          <w:tcPr>
            <w:tcW w:type="pct" w:w="18%"/>
            <w:shd w:fill="EDF5F2" w:val="clear"/>
            <w:vAlign w:val="center"/>
          </w:tcPr>
          <w:p>
            <w:pPr>
              <w:spacing w:after="30" w:before="30"/>
              <w:jc w:val="left"/>
            </w:pPr>
            <w:r>
              <w:rPr>
                <w:rFonts w:ascii="Calibri" w:cs="Calibri" w:eastAsia="Calibri" w:hAnsi="Calibri"/>
                <w:color w:val="000000"/>
                <w:sz w:val="20"/>
                <w:szCs w:val="20"/>
              </w:rPr>
              <w:t xml:space="preserve">39,8</w:t>
            </w:r>
          </w:p>
        </w:tc>
        <w:tc>
          <w:tcPr>
            <w:tcW w:type="pct" w:w="18%"/>
            <w:shd w:fill="EDF5F2" w:val="clear"/>
            <w:vAlign w:val="center"/>
          </w:tcPr>
          <w:p>
            <w:pPr>
              <w:spacing w:after="30" w:before="30"/>
              <w:jc w:val="left"/>
            </w:pPr>
            <w:r>
              <w:rPr>
                <w:rFonts w:ascii="Calibri" w:cs="Calibri" w:eastAsia="Calibri" w:hAnsi="Calibri"/>
                <w:color w:val="000000"/>
                <w:sz w:val="20"/>
                <w:szCs w:val="20"/>
              </w:rPr>
              <w:t xml:space="preserve">150</w:t>
            </w:r>
          </w:p>
        </w:tc>
      </w:tr>
    </w:tbl>
    <w:p>
      <w:pPr>
        <w:spacing w:after="120" w:line="312"/>
        <w:ind w:firstLine="480"/>
        <w:jc w:val="both"/>
      </w:pPr>
      <w:r>
        <w:rPr>
          <w:rFonts w:ascii="Calibri" w:cs="Calibri" w:eastAsia="Calibri" w:hAnsi="Calibri"/>
          <w:color w:val="000000"/>
          <w:sz w:val="22"/>
          <w:szCs w:val="22"/>
        </w:rPr>
        <w:t xml:space="preserve">Ces indicateurs de performance seront suivis mensuellement et font l'objet d'un tableau de bord de direction. Tout ecart significatif par rapport aux objectifs declenche une analyse des causes et la mise en place d'actions correctives. Les KPI sont partages avec l'ensemble des equipes pour assurer l'alignement strategique et la mobilisation collective autour des objectifs communs.</w:t>
      </w:r>
    </w:p>
    <w:p>
      <w:pPr>
        <w:pStyle w:val="Heading1"/>
        <w:pBdr>
          <w:bottom w:val="single" w:color="2A7A65" w:sz="6"/>
        </w:pBdr>
        <w:spacing w:after="200" w:before="400" w:line="312"/>
      </w:pPr>
      <w:bookmarkStart w:id="100065" w:name="_Toc100065"/>
      <w:r>
        <w:rPr>
          <w:rFonts w:ascii="Times New Roman" w:cs="Times New Roman" w:eastAsia="Times New Roman" w:hAnsi="Times New Roman"/>
          <w:b/>
          <w:bCs/>
          <w:color w:val="2A7A65"/>
          <w:sz w:val="36"/>
          <w:szCs w:val="36"/>
        </w:rPr>
        <w:t xml:space="preserve">13. Conclusion</w:t>
      </w:r>
      <w:bookmarkEnd w:id="100065"/>
    </w:p>
    <w:p>
      <w:pPr>
        <w:spacing w:after="120" w:line="312"/>
        <w:ind w:firstLine="480"/>
        <w:jc w:val="both"/>
      </w:pPr>
      <w:r>
        <w:rPr>
          <w:rFonts w:ascii="Calibri" w:cs="Calibri" w:eastAsia="Calibri" w:hAnsi="Calibri"/>
          <w:color w:val="000000"/>
          <w:sz w:val="22"/>
          <w:szCs w:val="22"/>
        </w:rPr>
        <w:t xml:space="preserve">Le projet LIG Biodynamie en Cote d'Ivoire represente une opportunite strategique majeure a la croisee de plusieurs tendances structurelles : la demande mondiale croissante pour des produits agricoles sains et durables, la transition ecologique du secteur agricole africain, et le cadre politique favorable en Cote d'Ivoire (Strategie Bio 2030, PNIA II, Loi n02015-537). Le biofertilisant Biodynamie, fort de plus de vingt ans de recherche et developpement, est parfaitement positionne pour repondre a ces enjeux.</w:t>
      </w:r>
    </w:p>
    <w:p>
      <w:pPr>
        <w:spacing w:after="120" w:line="312"/>
        <w:ind w:firstLine="480"/>
        <w:jc w:val="both"/>
      </w:pPr>
      <w:r>
        <w:rPr>
          <w:rFonts w:ascii="Calibri" w:cs="Calibri" w:eastAsia="Calibri" w:hAnsi="Calibri"/>
          <w:color w:val="000000"/>
          <w:sz w:val="22"/>
          <w:szCs w:val="22"/>
        </w:rPr>
        <w:t xml:space="preserve">Le marche ivoirien offre un potentiel considerable : l'agriculture represente 25 pourcent du PIB, le pays est le premier producteur mondial de cacao, et le marche des biofertilisants connait une croissance annuelle de plus de 15 pourcent. Les objectifs de lancement (29 tonnes vendues, 500 agriculteurs formes, 3 partenariats majeurs d'ici mars 2026) sont ambitieux mais realistes, s'appuyant sur le partenariat exclusif avec le Comptoir Agropastoral CI et un budget marketing de 46M Fcfa.</w:t>
      </w:r>
    </w:p>
    <w:p>
      <w:pPr>
        <w:spacing w:after="120" w:line="312"/>
        <w:ind w:firstLine="480"/>
        <w:jc w:val="both"/>
      </w:pPr>
      <w:r>
        <w:rPr>
          <w:rFonts w:ascii="Calibri" w:cs="Calibri" w:eastAsia="Calibri" w:hAnsi="Calibri"/>
          <w:color w:val="000000"/>
          <w:sz w:val="22"/>
          <w:szCs w:val="22"/>
        </w:rPr>
        <w:t xml:space="preserve">Les projections financieres demontrent la viabilite economique du projet, avec un seuil de rentabilite atteint au cours de la deuxieme annee et un benefice net de pres de 40M Fcfa en annee 3. Le plan de financement est equilibre, combinant fonds propres, emprunt bancaire et subventions institutionnelles. L'analyse des risques, bien que identifiant des points de vigilance, montre que les mesures d'attenuation mises en place sont adequates pour maitriser les exposition.</w:t>
      </w:r>
    </w:p>
    <w:p>
      <w:pPr>
        <w:spacing w:after="120" w:line="312"/>
        <w:ind w:firstLine="480"/>
        <w:jc w:val="both"/>
      </w:pPr>
      <w:r>
        <w:rPr>
          <w:rFonts w:ascii="Calibri" w:cs="Calibri" w:eastAsia="Calibri" w:hAnsi="Calibri"/>
          <w:color w:val="000000"/>
          <w:sz w:val="22"/>
          <w:szCs w:val="22"/>
        </w:rPr>
        <w:t xml:space="preserve">Au-dela de la performance economique, le projet LIG Biodynamie porte une ambition societale forte : contribuer a la securite alimentaire, regenerer les sols degrades, reduire la dependance aux intrants chimiques importes et ameliorer les revenus des agriculteurs ivoiriens. Ce plan d'affaires constitue la feuille de route pour les trois premieres annees du projet, avec une vision claire a cinq ans pour faire de Biodynamie la reference africaine des biofertilisants tropicaux.</w:t>
      </w:r>
    </w:p>
    <w:p>
      <w:pPr>
        <w:pStyle w:val="Heading1"/>
        <w:pBdr>
          <w:bottom w:val="single" w:color="2A7A65" w:sz="6"/>
        </w:pBdr>
        <w:spacing w:after="200" w:before="400" w:line="312"/>
      </w:pPr>
      <w:bookmarkStart w:id="100066" w:name="_Toc100066"/>
      <w:r>
        <w:rPr>
          <w:rFonts w:ascii="Times New Roman" w:cs="Times New Roman" w:eastAsia="Times New Roman" w:hAnsi="Times New Roman"/>
          <w:b/>
          <w:bCs/>
          <w:color w:val="2A7A65"/>
          <w:sz w:val="36"/>
          <w:szCs w:val="36"/>
        </w:rPr>
        <w:t xml:space="preserve">14. Annexes</w:t>
      </w:r>
      <w:bookmarkEnd w:id="100066"/>
    </w:p>
    <w:p>
      <w:pPr>
        <w:pStyle w:val="Heading2"/>
        <w:spacing w:after="150" w:before="300" w:line="312"/>
      </w:pPr>
      <w:bookmarkStart w:id="100067" w:name="_Toc100067"/>
      <w:r>
        <w:rPr>
          <w:rFonts w:ascii="Times New Roman" w:cs="Times New Roman" w:eastAsia="Times New Roman" w:hAnsi="Times New Roman"/>
          <w:b/>
          <w:bCs/>
          <w:color w:val="2A7A65"/>
          <w:sz w:val="30"/>
          <w:szCs w:val="30"/>
        </w:rPr>
        <w:t xml:space="preserve">Annexe A : Fiche Technique Produit</w:t>
      </w:r>
      <w:bookmarkEnd w:id="10006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5%"/>
            <w:shd w:fill="2A7A65" w:val="clear"/>
            <w:vAlign w:val="center"/>
          </w:tcPr>
          <w:p>
            <w:pPr>
              <w:spacing w:after="40" w:before="40"/>
              <w:jc w:val="center"/>
            </w:pPr>
            <w:r>
              <w:rPr>
                <w:rFonts w:ascii="Calibri" w:cs="Calibri" w:eastAsia="Calibri" w:hAnsi="Calibri"/>
                <w:b/>
                <w:bCs/>
                <w:color w:val="FFFFFF"/>
                <w:sz w:val="20"/>
                <w:szCs w:val="20"/>
              </w:rPr>
              <w:t xml:space="preserve">Parametre</w:t>
            </w:r>
          </w:p>
        </w:tc>
        <w:tc>
          <w:tcPr>
            <w:tcW w:type="pct" w:w="65%"/>
            <w:shd w:fill="2A7A65" w:val="clear"/>
            <w:vAlign w:val="center"/>
          </w:tcPr>
          <w:p>
            <w:pPr>
              <w:spacing w:after="40" w:before="40"/>
              <w:jc w:val="center"/>
            </w:pPr>
            <w:r>
              <w:rPr>
                <w:rFonts w:ascii="Calibri" w:cs="Calibri" w:eastAsia="Calibri" w:hAnsi="Calibri"/>
                <w:b/>
                <w:bCs/>
                <w:color w:val="FFFFFF"/>
                <w:sz w:val="20"/>
                <w:szCs w:val="20"/>
              </w:rPr>
              <w:t xml:space="preserve">Valeur / Specification</w:t>
            </w:r>
          </w:p>
        </w:tc>
      </w:tr>
      <w:tr>
        <w:tc>
          <w:tcPr>
            <w:tcW w:type="pct" w:w="35%"/>
            <w:vAlign w:val="center"/>
          </w:tcPr>
          <w:p>
            <w:pPr>
              <w:spacing w:after="30" w:before="30"/>
              <w:jc w:val="left"/>
            </w:pPr>
            <w:r>
              <w:rPr>
                <w:rFonts w:ascii="Calibri" w:cs="Calibri" w:eastAsia="Calibri" w:hAnsi="Calibri"/>
                <w:color w:val="000000"/>
                <w:sz w:val="20"/>
                <w:szCs w:val="20"/>
              </w:rPr>
              <w:t xml:space="preserve">Designation commerciale</w:t>
            </w:r>
          </w:p>
        </w:tc>
        <w:tc>
          <w:tcPr>
            <w:tcW w:type="pct" w:w="65%"/>
            <w:vAlign w:val="center"/>
          </w:tcPr>
          <w:p>
            <w:pPr>
              <w:spacing w:after="30" w:before="30"/>
              <w:jc w:val="left"/>
            </w:pPr>
            <w:r>
              <w:rPr>
                <w:rFonts w:ascii="Calibri" w:cs="Calibri" w:eastAsia="Calibri" w:hAnsi="Calibri"/>
                <w:color w:val="000000"/>
                <w:sz w:val="20"/>
                <w:szCs w:val="20"/>
              </w:rPr>
              <w:t xml:space="preserve">Biodynamie</w:t>
            </w:r>
          </w:p>
        </w:tc>
      </w:tr>
      <w:tr>
        <w:tc>
          <w:tcPr>
            <w:tcW w:type="pct" w:w="35%"/>
            <w:shd w:fill="EDF5F2" w:val="clear"/>
            <w:vAlign w:val="center"/>
          </w:tcPr>
          <w:p>
            <w:pPr>
              <w:spacing w:after="30" w:before="30"/>
              <w:jc w:val="left"/>
            </w:pPr>
            <w:r>
              <w:rPr>
                <w:rFonts w:ascii="Calibri" w:cs="Calibri" w:eastAsia="Calibri" w:hAnsi="Calibri"/>
                <w:color w:val="000000"/>
                <w:sz w:val="20"/>
                <w:szCs w:val="20"/>
              </w:rPr>
              <w:t xml:space="preserve">Type de produit</w:t>
            </w:r>
          </w:p>
        </w:tc>
        <w:tc>
          <w:tcPr>
            <w:tcW w:type="pct" w:w="65%"/>
            <w:shd w:fill="EDF5F2" w:val="clear"/>
            <w:vAlign w:val="center"/>
          </w:tcPr>
          <w:p>
            <w:pPr>
              <w:spacing w:after="30" w:before="30"/>
              <w:jc w:val="left"/>
            </w:pPr>
            <w:r>
              <w:rPr>
                <w:rFonts w:ascii="Calibri" w:cs="Calibri" w:eastAsia="Calibri" w:hAnsi="Calibri"/>
                <w:color w:val="000000"/>
                <w:sz w:val="20"/>
                <w:szCs w:val="20"/>
              </w:rPr>
              <w:t xml:space="preserve">Biofertilisant liquide</w:t>
            </w:r>
          </w:p>
        </w:tc>
      </w:tr>
      <w:tr>
        <w:tc>
          <w:tcPr>
            <w:tcW w:type="pct" w:w="35%"/>
            <w:vAlign w:val="center"/>
          </w:tcPr>
          <w:p>
            <w:pPr>
              <w:spacing w:after="30" w:before="30"/>
              <w:jc w:val="left"/>
            </w:pPr>
            <w:r>
              <w:rPr>
                <w:rFonts w:ascii="Calibri" w:cs="Calibri" w:eastAsia="Calibri" w:hAnsi="Calibri"/>
                <w:color w:val="000000"/>
                <w:sz w:val="20"/>
                <w:szCs w:val="20"/>
              </w:rPr>
              <w:t xml:space="preserve">Composition</w:t>
            </w:r>
          </w:p>
        </w:tc>
        <w:tc>
          <w:tcPr>
            <w:tcW w:type="pct" w:w="65%"/>
            <w:vAlign w:val="center"/>
          </w:tcPr>
          <w:p>
            <w:pPr>
              <w:spacing w:after="30" w:before="30"/>
              <w:jc w:val="left"/>
            </w:pPr>
            <w:r>
              <w:rPr>
                <w:rFonts w:ascii="Calibri" w:cs="Calibri" w:eastAsia="Calibri" w:hAnsi="Calibri"/>
                <w:color w:val="000000"/>
                <w:sz w:val="20"/>
                <w:szCs w:val="20"/>
              </w:rPr>
              <w:t xml:space="preserve">Micro-organismes benefiques + extraits vegetaux (formule brevetee)</w:t>
            </w:r>
          </w:p>
        </w:tc>
      </w:tr>
      <w:tr>
        <w:tc>
          <w:tcPr>
            <w:tcW w:type="pct" w:w="35%"/>
            <w:shd w:fill="EDF5F2" w:val="clear"/>
            <w:vAlign w:val="center"/>
          </w:tcPr>
          <w:p>
            <w:pPr>
              <w:spacing w:after="30" w:before="30"/>
              <w:jc w:val="left"/>
            </w:pPr>
            <w:r>
              <w:rPr>
                <w:rFonts w:ascii="Calibri" w:cs="Calibri" w:eastAsia="Calibri" w:hAnsi="Calibri"/>
                <w:color w:val="000000"/>
                <w:sz w:val="20"/>
                <w:szCs w:val="20"/>
              </w:rPr>
              <w:t xml:space="preserve">pH</w:t>
            </w:r>
          </w:p>
        </w:tc>
        <w:tc>
          <w:tcPr>
            <w:tcW w:type="pct" w:w="65%"/>
            <w:shd w:fill="EDF5F2" w:val="clear"/>
            <w:vAlign w:val="center"/>
          </w:tcPr>
          <w:p>
            <w:pPr>
              <w:spacing w:after="30" w:before="30"/>
              <w:jc w:val="left"/>
            </w:pPr>
            <w:r>
              <w:rPr>
                <w:rFonts w:ascii="Calibri" w:cs="Calibri" w:eastAsia="Calibri" w:hAnsi="Calibri"/>
                <w:color w:val="000000"/>
                <w:sz w:val="20"/>
                <w:szCs w:val="20"/>
              </w:rPr>
              <w:t xml:space="preserve">7,5 (+/- 0,3)</w:t>
            </w:r>
          </w:p>
        </w:tc>
      </w:tr>
      <w:tr>
        <w:tc>
          <w:tcPr>
            <w:tcW w:type="pct" w:w="35%"/>
            <w:vAlign w:val="center"/>
          </w:tcPr>
          <w:p>
            <w:pPr>
              <w:spacing w:after="30" w:before="30"/>
              <w:jc w:val="left"/>
            </w:pPr>
            <w:r>
              <w:rPr>
                <w:rFonts w:ascii="Calibri" w:cs="Calibri" w:eastAsia="Calibri" w:hAnsi="Calibri"/>
                <w:color w:val="000000"/>
                <w:sz w:val="20"/>
                <w:szCs w:val="20"/>
              </w:rPr>
              <w:t xml:space="preserve">Biodegradabilite</w:t>
            </w:r>
          </w:p>
        </w:tc>
        <w:tc>
          <w:tcPr>
            <w:tcW w:type="pct" w:w="65%"/>
            <w:vAlign w:val="center"/>
          </w:tcPr>
          <w:p>
            <w:pPr>
              <w:spacing w:after="30" w:before="30"/>
              <w:jc w:val="left"/>
            </w:pPr>
            <w:r>
              <w:rPr>
                <w:rFonts w:ascii="Calibri" w:cs="Calibri" w:eastAsia="Calibri" w:hAnsi="Calibri"/>
                <w:color w:val="000000"/>
                <w:sz w:val="20"/>
                <w:szCs w:val="20"/>
              </w:rPr>
              <w:t xml:space="preserve">100%</w:t>
            </w:r>
          </w:p>
        </w:tc>
      </w:tr>
      <w:tr>
        <w:tc>
          <w:tcPr>
            <w:tcW w:type="pct" w:w="35%"/>
            <w:shd w:fill="EDF5F2" w:val="clear"/>
            <w:vAlign w:val="center"/>
          </w:tcPr>
          <w:p>
            <w:pPr>
              <w:spacing w:after="30" w:before="30"/>
              <w:jc w:val="left"/>
            </w:pPr>
            <w:r>
              <w:rPr>
                <w:rFonts w:ascii="Calibri" w:cs="Calibri" w:eastAsia="Calibri" w:hAnsi="Calibri"/>
                <w:color w:val="000000"/>
                <w:sz w:val="20"/>
                <w:szCs w:val="20"/>
              </w:rPr>
              <w:t xml:space="preserve">Duree de conservation</w:t>
            </w:r>
          </w:p>
        </w:tc>
        <w:tc>
          <w:tcPr>
            <w:tcW w:type="pct" w:w="65%"/>
            <w:shd w:fill="EDF5F2" w:val="clear"/>
            <w:vAlign w:val="center"/>
          </w:tcPr>
          <w:p>
            <w:pPr>
              <w:spacing w:after="30" w:before="30"/>
              <w:jc w:val="left"/>
            </w:pPr>
            <w:r>
              <w:rPr>
                <w:rFonts w:ascii="Calibri" w:cs="Calibri" w:eastAsia="Calibri" w:hAnsi="Calibri"/>
                <w:color w:val="000000"/>
                <w:sz w:val="20"/>
                <w:szCs w:val="20"/>
              </w:rPr>
              <w:t xml:space="preserve">24 mois (emballage ferme, temperature ambiante)</w:t>
            </w:r>
          </w:p>
        </w:tc>
      </w:tr>
      <w:tr>
        <w:tc>
          <w:tcPr>
            <w:tcW w:type="pct" w:w="35%"/>
            <w:vAlign w:val="center"/>
          </w:tcPr>
          <w:p>
            <w:pPr>
              <w:spacing w:after="30" w:before="30"/>
              <w:jc w:val="left"/>
            </w:pPr>
            <w:r>
              <w:rPr>
                <w:rFonts w:ascii="Calibri" w:cs="Calibri" w:eastAsia="Calibri" w:hAnsi="Calibri"/>
                <w:color w:val="000000"/>
                <w:sz w:val="20"/>
                <w:szCs w:val="20"/>
              </w:rPr>
              <w:t xml:space="preserve">Conditions de stockage</w:t>
            </w:r>
          </w:p>
        </w:tc>
        <w:tc>
          <w:tcPr>
            <w:tcW w:type="pct" w:w="65%"/>
            <w:vAlign w:val="center"/>
          </w:tcPr>
          <w:p>
            <w:pPr>
              <w:spacing w:after="30" w:before="30"/>
              <w:jc w:val="left"/>
            </w:pPr>
            <w:r>
              <w:rPr>
                <w:rFonts w:ascii="Calibri" w:cs="Calibri" w:eastAsia="Calibri" w:hAnsi="Calibri"/>
                <w:color w:val="000000"/>
                <w:sz w:val="20"/>
                <w:szCs w:val="20"/>
              </w:rPr>
              <w:t xml:space="preserve">A l'abri de la lumiere directe, temperature &lt; 35C</w:t>
            </w:r>
          </w:p>
        </w:tc>
      </w:tr>
      <w:tr>
        <w:tc>
          <w:tcPr>
            <w:tcW w:type="pct" w:w="35%"/>
            <w:shd w:fill="EDF5F2" w:val="clear"/>
            <w:vAlign w:val="center"/>
          </w:tcPr>
          <w:p>
            <w:pPr>
              <w:spacing w:after="30" w:before="30"/>
              <w:jc w:val="left"/>
            </w:pPr>
            <w:r>
              <w:rPr>
                <w:rFonts w:ascii="Calibri" w:cs="Calibri" w:eastAsia="Calibri" w:hAnsi="Calibri"/>
                <w:color w:val="000000"/>
                <w:sz w:val="20"/>
                <w:szCs w:val="20"/>
              </w:rPr>
              <w:t xml:space="preserve">Mode d'application</w:t>
            </w:r>
          </w:p>
        </w:tc>
        <w:tc>
          <w:tcPr>
            <w:tcW w:type="pct" w:w="65%"/>
            <w:shd w:fill="EDF5F2" w:val="clear"/>
            <w:vAlign w:val="center"/>
          </w:tcPr>
          <w:p>
            <w:pPr>
              <w:spacing w:after="30" w:before="30"/>
              <w:jc w:val="left"/>
            </w:pPr>
            <w:r>
              <w:rPr>
                <w:rFonts w:ascii="Calibri" w:cs="Calibri" w:eastAsia="Calibri" w:hAnsi="Calibri"/>
                <w:color w:val="000000"/>
                <w:sz w:val="20"/>
                <w:szCs w:val="20"/>
              </w:rPr>
              <w:t xml:space="preserve">Dilution dans l'eau d'irrigation ou pulverisation foliaire</w:t>
            </w:r>
          </w:p>
        </w:tc>
      </w:tr>
      <w:tr>
        <w:tc>
          <w:tcPr>
            <w:tcW w:type="pct" w:w="35%"/>
            <w:vAlign w:val="center"/>
          </w:tcPr>
          <w:p>
            <w:pPr>
              <w:spacing w:after="30" w:before="30"/>
              <w:jc w:val="left"/>
            </w:pPr>
            <w:r>
              <w:rPr>
                <w:rFonts w:ascii="Calibri" w:cs="Calibri" w:eastAsia="Calibri" w:hAnsi="Calibri"/>
                <w:color w:val="000000"/>
                <w:sz w:val="20"/>
                <w:szCs w:val="20"/>
              </w:rPr>
              <w:t xml:space="preserve">Dose recommandee</w:t>
            </w:r>
          </w:p>
        </w:tc>
        <w:tc>
          <w:tcPr>
            <w:tcW w:type="pct" w:w="65%"/>
            <w:vAlign w:val="center"/>
          </w:tcPr>
          <w:p>
            <w:pPr>
              <w:spacing w:after="30" w:before="30"/>
              <w:jc w:val="left"/>
            </w:pPr>
            <w:r>
              <w:rPr>
                <w:rFonts w:ascii="Calibri" w:cs="Calibri" w:eastAsia="Calibri" w:hAnsi="Calibri"/>
                <w:color w:val="000000"/>
                <w:sz w:val="20"/>
                <w:szCs w:val="20"/>
              </w:rPr>
              <w:t xml:space="preserve">Selon culture et stade vegetatif (voir guide d'utilisation)</w:t>
            </w:r>
          </w:p>
        </w:tc>
      </w:tr>
      <w:tr>
        <w:tc>
          <w:tcPr>
            <w:tcW w:type="pct" w:w="35%"/>
            <w:shd w:fill="EDF5F2" w:val="clear"/>
            <w:vAlign w:val="center"/>
          </w:tcPr>
          <w:p>
            <w:pPr>
              <w:spacing w:after="30" w:before="30"/>
              <w:jc w:val="left"/>
            </w:pPr>
            <w:r>
              <w:rPr>
                <w:rFonts w:ascii="Calibri" w:cs="Calibri" w:eastAsia="Calibri" w:hAnsi="Calibri"/>
                <w:color w:val="000000"/>
                <w:sz w:val="20"/>
                <w:szCs w:val="20"/>
              </w:rPr>
              <w:t xml:space="preserve">Delai avant recolte</w:t>
            </w:r>
          </w:p>
        </w:tc>
        <w:tc>
          <w:tcPr>
            <w:tcW w:type="pct" w:w="65%"/>
            <w:shd w:fill="EDF5F2" w:val="clear"/>
            <w:vAlign w:val="center"/>
          </w:tcPr>
          <w:p>
            <w:pPr>
              <w:spacing w:after="30" w:before="30"/>
              <w:jc w:val="left"/>
            </w:pPr>
            <w:r>
              <w:rPr>
                <w:rFonts w:ascii="Calibri" w:cs="Calibri" w:eastAsia="Calibri" w:hAnsi="Calibri"/>
                <w:color w:val="000000"/>
                <w:sz w:val="20"/>
                <w:szCs w:val="20"/>
              </w:rPr>
              <w:t xml:space="preserve">Aucun (zero residus)</w:t>
            </w:r>
          </w:p>
        </w:tc>
      </w:tr>
      <w:tr>
        <w:tc>
          <w:tcPr>
            <w:tcW w:type="pct" w:w="35%"/>
            <w:vAlign w:val="center"/>
          </w:tcPr>
          <w:p>
            <w:pPr>
              <w:spacing w:after="30" w:before="30"/>
              <w:jc w:val="left"/>
            </w:pPr>
            <w:r>
              <w:rPr>
                <w:rFonts w:ascii="Calibri" w:cs="Calibri" w:eastAsia="Calibri" w:hAnsi="Calibri"/>
                <w:color w:val="000000"/>
                <w:sz w:val="20"/>
                <w:szCs w:val="20"/>
              </w:rPr>
              <w:t xml:space="preserve">Compatibilite</w:t>
            </w:r>
          </w:p>
        </w:tc>
        <w:tc>
          <w:tcPr>
            <w:tcW w:type="pct" w:w="65%"/>
            <w:vAlign w:val="center"/>
          </w:tcPr>
          <w:p>
            <w:pPr>
              <w:spacing w:after="30" w:before="30"/>
              <w:jc w:val="left"/>
            </w:pPr>
            <w:r>
              <w:rPr>
                <w:rFonts w:ascii="Calibri" w:cs="Calibri" w:eastAsia="Calibri" w:hAnsi="Calibri"/>
                <w:color w:val="000000"/>
                <w:sz w:val="20"/>
                <w:szCs w:val="20"/>
              </w:rPr>
              <w:t xml:space="preserve">Toutes cultures tropicales</w:t>
            </w:r>
          </w:p>
        </w:tc>
      </w:tr>
      <w:tr>
        <w:tc>
          <w:tcPr>
            <w:tcW w:type="pct" w:w="35%"/>
            <w:shd w:fill="EDF5F2" w:val="clear"/>
            <w:vAlign w:val="center"/>
          </w:tcPr>
          <w:p>
            <w:pPr>
              <w:spacing w:after="30" w:before="30"/>
              <w:jc w:val="left"/>
            </w:pPr>
            <w:r>
              <w:rPr>
                <w:rFonts w:ascii="Calibri" w:cs="Calibri" w:eastAsia="Calibri" w:hAnsi="Calibri"/>
                <w:color w:val="000000"/>
                <w:sz w:val="20"/>
                <w:szCs w:val="20"/>
              </w:rPr>
              <w:t xml:space="preserve">Homologation</w:t>
            </w:r>
          </w:p>
        </w:tc>
        <w:tc>
          <w:tcPr>
            <w:tcW w:type="pct" w:w="65%"/>
            <w:shd w:fill="EDF5F2" w:val="clear"/>
            <w:vAlign w:val="center"/>
          </w:tcPr>
          <w:p>
            <w:pPr>
              <w:spacing w:after="30" w:before="30"/>
              <w:jc w:val="left"/>
            </w:pPr>
            <w:r>
              <w:rPr>
                <w:rFonts w:ascii="Calibri" w:cs="Calibri" w:eastAsia="Calibri" w:hAnsi="Calibri"/>
                <w:color w:val="000000"/>
                <w:sz w:val="20"/>
                <w:szCs w:val="20"/>
              </w:rPr>
              <w:t xml:space="preserve">En cours (DPPVQ, Cote d'Ivoire)</w:t>
            </w:r>
          </w:p>
        </w:tc>
      </w:tr>
    </w:tbl>
    <w:p>
      <w:pPr>
        <w:pStyle w:val="Heading2"/>
        <w:spacing w:after="150" w:before="300" w:line="312"/>
      </w:pPr>
      <w:bookmarkStart w:id="100068" w:name="_Toc100068"/>
      <w:r>
        <w:rPr>
          <w:rFonts w:ascii="Times New Roman" w:cs="Times New Roman" w:eastAsia="Times New Roman" w:hAnsi="Times New Roman"/>
          <w:b/>
          <w:bCs/>
          <w:color w:val="2A7A65"/>
          <w:sz w:val="30"/>
          <w:szCs w:val="30"/>
        </w:rPr>
        <w:t xml:space="preserve">Annexe B : Calendrier Detaille du Lancement</w:t>
      </w:r>
      <w:bookmarkEnd w:id="10006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8%"/>
            <w:shd w:fill="2A7A65" w:val="clear"/>
            <w:vAlign w:val="center"/>
          </w:tcPr>
          <w:p>
            <w:pPr>
              <w:spacing w:after="40" w:before="40"/>
              <w:jc w:val="center"/>
            </w:pPr>
            <w:r>
              <w:rPr>
                <w:rFonts w:ascii="Calibri" w:cs="Calibri" w:eastAsia="Calibri" w:hAnsi="Calibri"/>
                <w:b/>
                <w:bCs/>
                <w:color w:val="FFFFFF"/>
                <w:sz w:val="20"/>
                <w:szCs w:val="20"/>
              </w:rPr>
              <w:t xml:space="preserve">Semaine</w:t>
            </w:r>
          </w:p>
        </w:tc>
        <w:tc>
          <w:tcPr>
            <w:tcW w:type="pct" w:w="18%"/>
            <w:shd w:fill="2A7A65" w:val="clear"/>
            <w:vAlign w:val="center"/>
          </w:tcPr>
          <w:p>
            <w:pPr>
              <w:spacing w:after="40" w:before="40"/>
              <w:jc w:val="center"/>
            </w:pPr>
            <w:r>
              <w:rPr>
                <w:rFonts w:ascii="Calibri" w:cs="Calibri" w:eastAsia="Calibri" w:hAnsi="Calibri"/>
                <w:b/>
                <w:bCs/>
                <w:color w:val="FFFFFF"/>
                <w:sz w:val="20"/>
                <w:szCs w:val="20"/>
              </w:rPr>
              <w:t xml:space="preserve">Periode</w:t>
            </w:r>
          </w:p>
        </w:tc>
        <w:tc>
          <w:tcPr>
            <w:tcW w:type="pct" w:w="45%"/>
            <w:shd w:fill="2A7A65" w:val="clear"/>
            <w:vAlign w:val="center"/>
          </w:tcPr>
          <w:p>
            <w:pPr>
              <w:spacing w:after="40" w:before="40"/>
              <w:jc w:val="center"/>
            </w:pPr>
            <w:r>
              <w:rPr>
                <w:rFonts w:ascii="Calibri" w:cs="Calibri" w:eastAsia="Calibri" w:hAnsi="Calibri"/>
                <w:b/>
                <w:bCs/>
                <w:color w:val="FFFFFF"/>
                <w:sz w:val="20"/>
                <w:szCs w:val="20"/>
              </w:rPr>
              <w:t xml:space="preserve">Activites</w:t>
            </w:r>
          </w:p>
        </w:tc>
        <w:tc>
          <w:tcPr>
            <w:tcW w:type="pct" w:w="29%"/>
            <w:shd w:fill="2A7A65" w:val="clear"/>
            <w:vAlign w:val="center"/>
          </w:tcPr>
          <w:p>
            <w:pPr>
              <w:spacing w:after="40" w:before="40"/>
              <w:jc w:val="center"/>
            </w:pPr>
            <w:r>
              <w:rPr>
                <w:rFonts w:ascii="Calibri" w:cs="Calibri" w:eastAsia="Calibri" w:hAnsi="Calibri"/>
                <w:b/>
                <w:bCs/>
                <w:color w:val="FFFFFF"/>
                <w:sz w:val="20"/>
                <w:szCs w:val="20"/>
              </w:rPr>
              <w:t xml:space="preserve">Responsable</w:t>
            </w:r>
          </w:p>
        </w:tc>
      </w:tr>
      <w:tr>
        <w:tc>
          <w:tcPr>
            <w:tcW w:type="pct" w:w="8%"/>
            <w:vAlign w:val="center"/>
          </w:tcPr>
          <w:p>
            <w:pPr>
              <w:spacing w:after="30" w:before="30"/>
              <w:jc w:val="left"/>
            </w:pPr>
            <w:r>
              <w:rPr>
                <w:rFonts w:ascii="Calibri" w:cs="Calibri" w:eastAsia="Calibri" w:hAnsi="Calibri"/>
                <w:color w:val="000000"/>
                <w:sz w:val="20"/>
                <w:szCs w:val="20"/>
              </w:rPr>
              <w:t xml:space="preserve">S1-S2</w:t>
            </w:r>
          </w:p>
        </w:tc>
        <w:tc>
          <w:tcPr>
            <w:tcW w:type="pct" w:w="18%"/>
            <w:vAlign w:val="center"/>
          </w:tcPr>
          <w:p>
            <w:pPr>
              <w:spacing w:after="30" w:before="30"/>
              <w:jc w:val="left"/>
            </w:pPr>
            <w:r>
              <w:rPr>
                <w:rFonts w:ascii="Calibri" w:cs="Calibri" w:eastAsia="Calibri" w:hAnsi="Calibri"/>
                <w:color w:val="000000"/>
                <w:sz w:val="20"/>
                <w:szCs w:val="20"/>
              </w:rPr>
              <w:t xml:space="preserve">1er - 14 oct. 2025</w:t>
            </w:r>
          </w:p>
        </w:tc>
        <w:tc>
          <w:tcPr>
            <w:tcW w:type="pct" w:w="45%"/>
            <w:vAlign w:val="center"/>
          </w:tcPr>
          <w:p>
            <w:pPr>
              <w:spacing w:after="30" w:before="30"/>
              <w:jc w:val="left"/>
            </w:pPr>
            <w:r>
              <w:rPr>
                <w:rFonts w:ascii="Calibri" w:cs="Calibri" w:eastAsia="Calibri" w:hAnsi="Calibri"/>
                <w:color w:val="000000"/>
                <w:sz w:val="20"/>
                <w:szCs w:val="20"/>
              </w:rPr>
              <w:t xml:space="preserve">Production stock initial (10T), formation equipes commerciales</w:t>
            </w:r>
          </w:p>
        </w:tc>
        <w:tc>
          <w:tcPr>
            <w:tcW w:type="pct" w:w="29%"/>
            <w:vAlign w:val="center"/>
          </w:tcPr>
          <w:p>
            <w:pPr>
              <w:spacing w:after="30" w:before="30"/>
              <w:jc w:val="left"/>
            </w:pPr>
            <w:r>
              <w:rPr>
                <w:rFonts w:ascii="Calibri" w:cs="Calibri" w:eastAsia="Calibri" w:hAnsi="Calibri"/>
                <w:color w:val="000000"/>
                <w:sz w:val="20"/>
                <w:szCs w:val="20"/>
              </w:rPr>
              <w:t xml:space="preserve">Directeur Production</w:t>
            </w:r>
          </w:p>
        </w:tc>
      </w:tr>
      <w:tr>
        <w:tc>
          <w:tcPr>
            <w:tcW w:type="pct" w:w="8%"/>
            <w:shd w:fill="EDF5F2" w:val="clear"/>
            <w:vAlign w:val="center"/>
          </w:tcPr>
          <w:p>
            <w:pPr>
              <w:spacing w:after="30" w:before="30"/>
              <w:jc w:val="left"/>
            </w:pPr>
            <w:r>
              <w:rPr>
                <w:rFonts w:ascii="Calibri" w:cs="Calibri" w:eastAsia="Calibri" w:hAnsi="Calibri"/>
                <w:color w:val="000000"/>
                <w:sz w:val="20"/>
                <w:szCs w:val="20"/>
              </w:rPr>
              <w:t xml:space="preserve">S3-S4</w:t>
            </w:r>
          </w:p>
        </w:tc>
        <w:tc>
          <w:tcPr>
            <w:tcW w:type="pct" w:w="18%"/>
            <w:shd w:fill="EDF5F2" w:val="clear"/>
            <w:vAlign w:val="center"/>
          </w:tcPr>
          <w:p>
            <w:pPr>
              <w:spacing w:after="30" w:before="30"/>
              <w:jc w:val="left"/>
            </w:pPr>
            <w:r>
              <w:rPr>
                <w:rFonts w:ascii="Calibri" w:cs="Calibri" w:eastAsia="Calibri" w:hAnsi="Calibri"/>
                <w:color w:val="000000"/>
                <w:sz w:val="20"/>
                <w:szCs w:val="20"/>
              </w:rPr>
              <w:t xml:space="preserve">15 - 31 oct. 2025</w:t>
            </w:r>
          </w:p>
        </w:tc>
        <w:tc>
          <w:tcPr>
            <w:tcW w:type="pct" w:w="45%"/>
            <w:shd w:fill="EDF5F2" w:val="clear"/>
            <w:vAlign w:val="center"/>
          </w:tcPr>
          <w:p>
            <w:pPr>
              <w:spacing w:after="30" w:before="30"/>
              <w:jc w:val="left"/>
            </w:pPr>
            <w:r>
              <w:rPr>
                <w:rFonts w:ascii="Calibri" w:cs="Calibri" w:eastAsia="Calibri" w:hAnsi="Calibri"/>
                <w:color w:val="000000"/>
                <w:sz w:val="20"/>
                <w:szCs w:val="20"/>
              </w:rPr>
              <w:t xml:space="preserve">Campagne teasing reseaux sociaux, contacts medias</w:t>
            </w:r>
          </w:p>
        </w:tc>
        <w:tc>
          <w:tcPr>
            <w:tcW w:type="pct" w:w="29%"/>
            <w:shd w:fill="EDF5F2" w:val="clear"/>
            <w:vAlign w:val="center"/>
          </w:tcPr>
          <w:p>
            <w:pPr>
              <w:spacing w:after="30" w:before="30"/>
              <w:jc w:val="left"/>
            </w:pPr>
            <w:r>
              <w:rPr>
                <w:rFonts w:ascii="Calibri" w:cs="Calibri" w:eastAsia="Calibri" w:hAnsi="Calibri"/>
                <w:color w:val="000000"/>
                <w:sz w:val="20"/>
                <w:szCs w:val="20"/>
              </w:rPr>
              <w:t xml:space="preserve">Directeur Marketing</w:t>
            </w:r>
          </w:p>
        </w:tc>
      </w:tr>
      <w:tr>
        <w:tc>
          <w:tcPr>
            <w:tcW w:type="pct" w:w="8%"/>
            <w:vAlign w:val="center"/>
          </w:tcPr>
          <w:p>
            <w:pPr>
              <w:spacing w:after="30" w:before="30"/>
              <w:jc w:val="left"/>
            </w:pPr>
            <w:r>
              <w:rPr>
                <w:rFonts w:ascii="Calibri" w:cs="Calibri" w:eastAsia="Calibri" w:hAnsi="Calibri"/>
                <w:color w:val="000000"/>
                <w:sz w:val="20"/>
                <w:szCs w:val="20"/>
              </w:rPr>
              <w:t xml:space="preserve">S5-S6</w:t>
            </w:r>
          </w:p>
        </w:tc>
        <w:tc>
          <w:tcPr>
            <w:tcW w:type="pct" w:w="18%"/>
            <w:vAlign w:val="center"/>
          </w:tcPr>
          <w:p>
            <w:pPr>
              <w:spacing w:after="30" w:before="30"/>
              <w:jc w:val="left"/>
            </w:pPr>
            <w:r>
              <w:rPr>
                <w:rFonts w:ascii="Calibri" w:cs="Calibri" w:eastAsia="Calibri" w:hAnsi="Calibri"/>
                <w:color w:val="000000"/>
                <w:sz w:val="20"/>
                <w:szCs w:val="20"/>
              </w:rPr>
              <w:t xml:space="preserve">1er - 14 nov. 2025</w:t>
            </w:r>
          </w:p>
        </w:tc>
        <w:tc>
          <w:tcPr>
            <w:tcW w:type="pct" w:w="45%"/>
            <w:vAlign w:val="center"/>
          </w:tcPr>
          <w:p>
            <w:pPr>
              <w:spacing w:after="30" w:before="30"/>
              <w:jc w:val="left"/>
            </w:pPr>
            <w:r>
              <w:rPr>
                <w:rFonts w:ascii="Calibri" w:cs="Calibri" w:eastAsia="Calibri" w:hAnsi="Calibri"/>
                <w:color w:val="000000"/>
                <w:sz w:val="20"/>
                <w:szCs w:val="20"/>
              </w:rPr>
              <w:t xml:space="preserve">Demonstrations pilotes, preparation evenement lancement</w:t>
            </w:r>
          </w:p>
        </w:tc>
        <w:tc>
          <w:tcPr>
            <w:tcW w:type="pct" w:w="29%"/>
            <w:vAlign w:val="center"/>
          </w:tcPr>
          <w:p>
            <w:pPr>
              <w:spacing w:after="30" w:before="30"/>
              <w:jc w:val="left"/>
            </w:pPr>
            <w:r>
              <w:rPr>
                <w:rFonts w:ascii="Calibri" w:cs="Calibri" w:eastAsia="Calibri" w:hAnsi="Calibri"/>
                <w:color w:val="000000"/>
                <w:sz w:val="20"/>
                <w:szCs w:val="20"/>
              </w:rPr>
              <w:t xml:space="preserve">Equipe terrain</w:t>
            </w:r>
          </w:p>
        </w:tc>
      </w:tr>
      <w:tr>
        <w:tc>
          <w:tcPr>
            <w:tcW w:type="pct" w:w="8%"/>
            <w:shd w:fill="EDF5F2" w:val="clear"/>
            <w:vAlign w:val="center"/>
          </w:tcPr>
          <w:p>
            <w:pPr>
              <w:spacing w:after="30" w:before="30"/>
              <w:jc w:val="left"/>
            </w:pPr>
            <w:r>
              <w:rPr>
                <w:rFonts w:ascii="Calibri" w:cs="Calibri" w:eastAsia="Calibri" w:hAnsi="Calibri"/>
                <w:color w:val="000000"/>
                <w:sz w:val="20"/>
                <w:szCs w:val="20"/>
              </w:rPr>
              <w:t xml:space="preserve">S7-S8</w:t>
            </w:r>
          </w:p>
        </w:tc>
        <w:tc>
          <w:tcPr>
            <w:tcW w:type="pct" w:w="18%"/>
            <w:shd w:fill="EDF5F2" w:val="clear"/>
            <w:vAlign w:val="center"/>
          </w:tcPr>
          <w:p>
            <w:pPr>
              <w:spacing w:after="30" w:before="30"/>
              <w:jc w:val="left"/>
            </w:pPr>
            <w:r>
              <w:rPr>
                <w:rFonts w:ascii="Calibri" w:cs="Calibri" w:eastAsia="Calibri" w:hAnsi="Calibri"/>
                <w:color w:val="000000"/>
                <w:sz w:val="20"/>
                <w:szCs w:val="20"/>
              </w:rPr>
              <w:t xml:space="preserve">15 - 30 nov. 2025</w:t>
            </w:r>
          </w:p>
        </w:tc>
        <w:tc>
          <w:tcPr>
            <w:tcW w:type="pct" w:w="45%"/>
            <w:shd w:fill="EDF5F2" w:val="clear"/>
            <w:vAlign w:val="center"/>
          </w:tcPr>
          <w:p>
            <w:pPr>
              <w:spacing w:after="30" w:before="30"/>
              <w:jc w:val="left"/>
            </w:pPr>
            <w:r>
              <w:rPr>
                <w:rFonts w:ascii="Calibri" w:cs="Calibri" w:eastAsia="Calibri" w:hAnsi="Calibri"/>
                <w:color w:val="000000"/>
                <w:sz w:val="20"/>
                <w:szCs w:val="20"/>
              </w:rPr>
              <w:t xml:space="preserve">Finalisation partenariats, essais gratuits, RP</w:t>
            </w:r>
          </w:p>
        </w:tc>
        <w:tc>
          <w:tcPr>
            <w:tcW w:type="pct" w:w="29%"/>
            <w:shd w:fill="EDF5F2" w:val="clear"/>
            <w:vAlign w:val="center"/>
          </w:tcPr>
          <w:p>
            <w:pPr>
              <w:spacing w:after="30" w:before="30"/>
              <w:jc w:val="left"/>
            </w:pPr>
            <w:r>
              <w:rPr>
                <w:rFonts w:ascii="Calibri" w:cs="Calibri" w:eastAsia="Calibri" w:hAnsi="Calibri"/>
                <w:color w:val="000000"/>
                <w:sz w:val="20"/>
                <w:szCs w:val="20"/>
              </w:rPr>
              <w:t xml:space="preserve">Direction Generale</w:t>
            </w:r>
          </w:p>
        </w:tc>
      </w:tr>
      <w:tr>
        <w:tc>
          <w:tcPr>
            <w:tcW w:type="pct" w:w="8%"/>
            <w:vAlign w:val="center"/>
          </w:tcPr>
          <w:p>
            <w:pPr>
              <w:spacing w:after="30" w:before="30"/>
              <w:jc w:val="left"/>
            </w:pPr>
            <w:r>
              <w:rPr>
                <w:rFonts w:ascii="Calibri" w:cs="Calibri" w:eastAsia="Calibri" w:hAnsi="Calibri"/>
                <w:color w:val="000000"/>
                <w:sz w:val="20"/>
                <w:szCs w:val="20"/>
              </w:rPr>
              <w:t xml:space="preserve">S9</w:t>
            </w:r>
          </w:p>
        </w:tc>
        <w:tc>
          <w:tcPr>
            <w:tcW w:type="pct" w:w="18%"/>
            <w:vAlign w:val="center"/>
          </w:tcPr>
          <w:p>
            <w:pPr>
              <w:spacing w:after="30" w:before="30"/>
              <w:jc w:val="left"/>
            </w:pPr>
            <w:r>
              <w:rPr>
                <w:rFonts w:ascii="Calibri" w:cs="Calibri" w:eastAsia="Calibri" w:hAnsi="Calibri"/>
                <w:color w:val="000000"/>
                <w:sz w:val="20"/>
                <w:szCs w:val="20"/>
              </w:rPr>
              <w:t xml:space="preserve">1er - 7 dec. 2025</w:t>
            </w:r>
          </w:p>
        </w:tc>
        <w:tc>
          <w:tcPr>
            <w:tcW w:type="pct" w:w="45%"/>
            <w:vAlign w:val="center"/>
          </w:tcPr>
          <w:p>
            <w:pPr>
              <w:spacing w:after="30" w:before="30"/>
              <w:jc w:val="left"/>
            </w:pPr>
            <w:r>
              <w:rPr>
                <w:rFonts w:ascii="Calibri" w:cs="Calibri" w:eastAsia="Calibri" w:hAnsi="Calibri"/>
                <w:color w:val="000000"/>
                <w:sz w:val="20"/>
                <w:szCs w:val="20"/>
              </w:rPr>
              <w:t xml:space="preserve">Repetitions evenement, logistique lancement</w:t>
            </w:r>
          </w:p>
        </w:tc>
        <w:tc>
          <w:tcPr>
            <w:tcW w:type="pct" w:w="29%"/>
            <w:vAlign w:val="center"/>
          </w:tcPr>
          <w:p>
            <w:pPr>
              <w:spacing w:after="30" w:before="30"/>
              <w:jc w:val="left"/>
            </w:pPr>
            <w:r>
              <w:rPr>
                <w:rFonts w:ascii="Calibri" w:cs="Calibri" w:eastAsia="Calibri" w:hAnsi="Calibri"/>
                <w:color w:val="000000"/>
                <w:sz w:val="20"/>
                <w:szCs w:val="20"/>
              </w:rPr>
              <w:t xml:space="preserve">Comite lancement</w:t>
            </w:r>
          </w:p>
        </w:tc>
      </w:tr>
      <w:tr>
        <w:tc>
          <w:tcPr>
            <w:tcW w:type="pct" w:w="8%"/>
            <w:shd w:fill="EDF5F2" w:val="clear"/>
            <w:vAlign w:val="center"/>
          </w:tcPr>
          <w:p>
            <w:pPr>
              <w:spacing w:after="30" w:before="30"/>
              <w:jc w:val="left"/>
            </w:pPr>
            <w:r>
              <w:rPr>
                <w:rFonts w:ascii="Calibri" w:cs="Calibri" w:eastAsia="Calibri" w:hAnsi="Calibri"/>
                <w:color w:val="000000"/>
                <w:sz w:val="20"/>
                <w:szCs w:val="20"/>
              </w:rPr>
              <w:t xml:space="preserve">S10</w:t>
            </w:r>
          </w:p>
        </w:tc>
        <w:tc>
          <w:tcPr>
            <w:tcW w:type="pct" w:w="18%"/>
            <w:shd w:fill="EDF5F2" w:val="clear"/>
            <w:vAlign w:val="center"/>
          </w:tcPr>
          <w:p>
            <w:pPr>
              <w:spacing w:after="30" w:before="30"/>
              <w:jc w:val="left"/>
            </w:pPr>
            <w:r>
              <w:rPr>
                <w:rFonts w:ascii="Calibri" w:cs="Calibri" w:eastAsia="Calibri" w:hAnsi="Calibri"/>
                <w:color w:val="000000"/>
                <w:sz w:val="20"/>
                <w:szCs w:val="20"/>
              </w:rPr>
              <w:t xml:space="preserve">10 dec. 2025</w:t>
            </w:r>
          </w:p>
        </w:tc>
        <w:tc>
          <w:tcPr>
            <w:tcW w:type="pct" w:w="45%"/>
            <w:shd w:fill="EDF5F2" w:val="clear"/>
            <w:vAlign w:val="center"/>
          </w:tcPr>
          <w:p>
            <w:pPr>
              <w:spacing w:after="30" w:before="30"/>
              <w:jc w:val="left"/>
            </w:pPr>
            <w:r>
              <w:rPr>
                <w:rFonts w:ascii="Calibri" w:cs="Calibri" w:eastAsia="Calibri" w:hAnsi="Calibri"/>
                <w:color w:val="000000"/>
                <w:sz w:val="20"/>
                <w:szCs w:val="20"/>
              </w:rPr>
              <w:t xml:space="preserve">CEREMONIE DE LANCEMENT - Abidjan</w:t>
            </w:r>
          </w:p>
        </w:tc>
        <w:tc>
          <w:tcPr>
            <w:tcW w:type="pct" w:w="29%"/>
            <w:shd w:fill="EDF5F2" w:val="clear"/>
            <w:vAlign w:val="center"/>
          </w:tcPr>
          <w:p>
            <w:pPr>
              <w:spacing w:after="30" w:before="30"/>
              <w:jc w:val="left"/>
            </w:pPr>
            <w:r>
              <w:rPr>
                <w:rFonts w:ascii="Calibri" w:cs="Calibri" w:eastAsia="Calibri" w:hAnsi="Calibri"/>
                <w:color w:val="000000"/>
                <w:sz w:val="20"/>
                <w:szCs w:val="20"/>
              </w:rPr>
              <w:t xml:space="preserve">Direction Generale</w:t>
            </w:r>
          </w:p>
        </w:tc>
      </w:tr>
      <w:tr>
        <w:tc>
          <w:tcPr>
            <w:tcW w:type="pct" w:w="8%"/>
            <w:vAlign w:val="center"/>
          </w:tcPr>
          <w:p>
            <w:pPr>
              <w:spacing w:after="30" w:before="30"/>
              <w:jc w:val="left"/>
            </w:pPr>
            <w:r>
              <w:rPr>
                <w:rFonts w:ascii="Calibri" w:cs="Calibri" w:eastAsia="Calibri" w:hAnsi="Calibri"/>
                <w:color w:val="000000"/>
                <w:sz w:val="20"/>
                <w:szCs w:val="20"/>
              </w:rPr>
              <w:t xml:space="preserve">S11-S14</w:t>
            </w:r>
          </w:p>
        </w:tc>
        <w:tc>
          <w:tcPr>
            <w:tcW w:type="pct" w:w="18%"/>
            <w:vAlign w:val="center"/>
          </w:tcPr>
          <w:p>
            <w:pPr>
              <w:spacing w:after="30" w:before="30"/>
              <w:jc w:val="left"/>
            </w:pPr>
            <w:r>
              <w:rPr>
                <w:rFonts w:ascii="Calibri" w:cs="Calibri" w:eastAsia="Calibri" w:hAnsi="Calibri"/>
                <w:color w:val="000000"/>
                <w:sz w:val="20"/>
                <w:szCs w:val="20"/>
              </w:rPr>
              <w:t xml:space="preserve">11 dec. - 31 dec.</w:t>
            </w:r>
          </w:p>
        </w:tc>
        <w:tc>
          <w:tcPr>
            <w:tcW w:type="pct" w:w="45%"/>
            <w:vAlign w:val="center"/>
          </w:tcPr>
          <w:p>
            <w:pPr>
              <w:spacing w:after="30" w:before="30"/>
              <w:jc w:val="left"/>
            </w:pPr>
            <w:r>
              <w:rPr>
                <w:rFonts w:ascii="Calibri" w:cs="Calibri" w:eastAsia="Calibri" w:hAnsi="Calibri"/>
                <w:color w:val="000000"/>
                <w:sz w:val="20"/>
                <w:szCs w:val="20"/>
              </w:rPr>
              <w:t xml:space="preserve">Ventes intensives, demonstrations terrain, suivi medias</w:t>
            </w:r>
          </w:p>
        </w:tc>
        <w:tc>
          <w:tcPr>
            <w:tcW w:type="pct" w:w="29%"/>
            <w:vAlign w:val="center"/>
          </w:tcPr>
          <w:p>
            <w:pPr>
              <w:spacing w:after="30" w:before="30"/>
              <w:jc w:val="left"/>
            </w:pPr>
            <w:r>
              <w:rPr>
                <w:rFonts w:ascii="Calibri" w:cs="Calibri" w:eastAsia="Calibri" w:hAnsi="Calibri"/>
                <w:color w:val="000000"/>
                <w:sz w:val="20"/>
                <w:szCs w:val="20"/>
              </w:rPr>
              <w:t xml:space="preserve">Equipe commerciale</w:t>
            </w:r>
          </w:p>
        </w:tc>
      </w:tr>
      <w:tr>
        <w:tc>
          <w:tcPr>
            <w:tcW w:type="pct" w:w="8%"/>
            <w:shd w:fill="EDF5F2" w:val="clear"/>
            <w:vAlign w:val="center"/>
          </w:tcPr>
          <w:p>
            <w:pPr>
              <w:spacing w:after="30" w:before="30"/>
              <w:jc w:val="left"/>
            </w:pPr>
            <w:r>
              <w:rPr>
                <w:rFonts w:ascii="Calibri" w:cs="Calibri" w:eastAsia="Calibri" w:hAnsi="Calibri"/>
                <w:color w:val="000000"/>
                <w:sz w:val="20"/>
                <w:szCs w:val="20"/>
              </w:rPr>
              <w:t xml:space="preserve">S15-S22</w:t>
            </w:r>
          </w:p>
        </w:tc>
        <w:tc>
          <w:tcPr>
            <w:tcW w:type="pct" w:w="18%"/>
            <w:shd w:fill="EDF5F2" w:val="clear"/>
            <w:vAlign w:val="center"/>
          </w:tcPr>
          <w:p>
            <w:pPr>
              <w:spacing w:after="30" w:before="30"/>
              <w:jc w:val="left"/>
            </w:pPr>
            <w:r>
              <w:rPr>
                <w:rFonts w:ascii="Calibri" w:cs="Calibri" w:eastAsia="Calibri" w:hAnsi="Calibri"/>
                <w:color w:val="000000"/>
                <w:sz w:val="20"/>
                <w:szCs w:val="20"/>
              </w:rPr>
              <w:t xml:space="preserve">Jan. - Mar. 2026</w:t>
            </w:r>
          </w:p>
        </w:tc>
        <w:tc>
          <w:tcPr>
            <w:tcW w:type="pct" w:w="45%"/>
            <w:shd w:fill="EDF5F2" w:val="clear"/>
            <w:vAlign w:val="center"/>
          </w:tcPr>
          <w:p>
            <w:pPr>
              <w:spacing w:after="30" w:before="30"/>
              <w:jc w:val="left"/>
            </w:pPr>
            <w:r>
              <w:rPr>
                <w:rFonts w:ascii="Calibri" w:cs="Calibri" w:eastAsia="Calibri" w:hAnsi="Calibri"/>
                <w:color w:val="000000"/>
                <w:sz w:val="20"/>
                <w:szCs w:val="20"/>
              </w:rPr>
              <w:t xml:space="preserve">Phase deploiement, formations, consolidation partenariats</w:t>
            </w:r>
          </w:p>
        </w:tc>
        <w:tc>
          <w:tcPr>
            <w:tcW w:type="pct" w:w="29%"/>
            <w:shd w:fill="EDF5F2" w:val="clear"/>
            <w:vAlign w:val="center"/>
          </w:tcPr>
          <w:p>
            <w:pPr>
              <w:spacing w:after="30" w:before="30"/>
              <w:jc w:val="left"/>
            </w:pPr>
            <w:r>
              <w:rPr>
                <w:rFonts w:ascii="Calibri" w:cs="Calibri" w:eastAsia="Calibri" w:hAnsi="Calibri"/>
                <w:color w:val="000000"/>
                <w:sz w:val="20"/>
                <w:szCs w:val="20"/>
              </w:rPr>
              <w:t xml:space="preserve">Equipe terrain</w:t>
            </w:r>
          </w:p>
        </w:tc>
      </w:tr>
    </w:tbl>
    <w:p>
      <w:pPr>
        <w:pStyle w:val="Heading2"/>
        <w:spacing w:after="150" w:before="300" w:line="312"/>
      </w:pPr>
      <w:bookmarkStart w:id="100069" w:name="_Toc100069"/>
      <w:r>
        <w:rPr>
          <w:rFonts w:ascii="Times New Roman" w:cs="Times New Roman" w:eastAsia="Times New Roman" w:hAnsi="Times New Roman"/>
          <w:b/>
          <w:bCs/>
          <w:color w:val="2A7A65"/>
          <w:sz w:val="30"/>
          <w:szCs w:val="30"/>
        </w:rPr>
        <w:t xml:space="preserve">Annexe C : Contacts</w:t>
      </w:r>
      <w:bookmarkEnd w:id="10006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shd w:fill="2A7A65" w:val="clear"/>
            <w:vAlign w:val="center"/>
          </w:tcPr>
          <w:p>
            <w:pPr>
              <w:spacing w:after="40" w:before="40"/>
              <w:jc w:val="center"/>
            </w:pPr>
            <w:r>
              <w:rPr>
                <w:rFonts w:ascii="Calibri" w:cs="Calibri" w:eastAsia="Calibri" w:hAnsi="Calibri"/>
                <w:b/>
                <w:bCs/>
                <w:color w:val="FFFFFF"/>
                <w:sz w:val="20"/>
                <w:szCs w:val="20"/>
              </w:rPr>
              <w:t xml:space="preserve">Canal</w:t>
            </w:r>
          </w:p>
        </w:tc>
        <w:tc>
          <w:tcPr>
            <w:tcW w:type="pct" w:w="70%"/>
            <w:shd w:fill="2A7A65" w:val="clear"/>
            <w:vAlign w:val="center"/>
          </w:tcPr>
          <w:p>
            <w:pPr>
              <w:spacing w:after="40" w:before="40"/>
              <w:jc w:val="center"/>
            </w:pPr>
            <w:r>
              <w:rPr>
                <w:rFonts w:ascii="Calibri" w:cs="Calibri" w:eastAsia="Calibri" w:hAnsi="Calibri"/>
                <w:b/>
                <w:bCs/>
                <w:color w:val="FFFFFF"/>
                <w:sz w:val="20"/>
                <w:szCs w:val="20"/>
              </w:rPr>
              <w:t xml:space="preserve">Coordonnees</w:t>
            </w:r>
          </w:p>
        </w:tc>
      </w:tr>
      <w:tr>
        <w:tc>
          <w:tcPr>
            <w:tcW w:type="pct" w:w="30%"/>
            <w:vAlign w:val="center"/>
          </w:tcPr>
          <w:p>
            <w:pPr>
              <w:spacing w:after="30" w:before="30"/>
              <w:jc w:val="left"/>
            </w:pPr>
            <w:r>
              <w:rPr>
                <w:rFonts w:ascii="Calibri" w:cs="Calibri" w:eastAsia="Calibri" w:hAnsi="Calibri"/>
                <w:color w:val="000000"/>
                <w:sz w:val="20"/>
                <w:szCs w:val="20"/>
              </w:rPr>
              <w:t xml:space="preserve">Telephone</w:t>
            </w:r>
          </w:p>
        </w:tc>
        <w:tc>
          <w:tcPr>
            <w:tcW w:type="pct" w:w="70%"/>
            <w:vAlign w:val="center"/>
          </w:tcPr>
          <w:p>
            <w:pPr>
              <w:spacing w:after="30" w:before="30"/>
              <w:jc w:val="left"/>
            </w:pPr>
            <w:r>
              <w:rPr>
                <w:rFonts w:ascii="Calibri" w:cs="Calibri" w:eastAsia="Calibri" w:hAnsi="Calibri"/>
                <w:color w:val="000000"/>
                <w:sz w:val="20"/>
                <w:szCs w:val="20"/>
              </w:rPr>
              <w:t xml:space="preserve">+225 21270000 / 21271010</w:t>
            </w:r>
          </w:p>
        </w:tc>
      </w:tr>
      <w:tr>
        <w:tc>
          <w:tcPr>
            <w:tcW w:type="pct" w:w="30%"/>
            <w:shd w:fill="EDF5F2" w:val="clear"/>
            <w:vAlign w:val="center"/>
          </w:tcPr>
          <w:p>
            <w:pPr>
              <w:spacing w:after="30" w:before="30"/>
              <w:jc w:val="left"/>
            </w:pPr>
            <w:r>
              <w:rPr>
                <w:rFonts w:ascii="Calibri" w:cs="Calibri" w:eastAsia="Calibri" w:hAnsi="Calibri"/>
                <w:color w:val="000000"/>
                <w:sz w:val="20"/>
                <w:szCs w:val="20"/>
              </w:rPr>
              <w:t xml:space="preserve">WhatsApp</w:t>
            </w:r>
          </w:p>
        </w:tc>
        <w:tc>
          <w:tcPr>
            <w:tcW w:type="pct" w:w="70%"/>
            <w:shd w:fill="EDF5F2" w:val="clear"/>
            <w:vAlign w:val="center"/>
          </w:tcPr>
          <w:p>
            <w:pPr>
              <w:spacing w:after="30" w:before="30"/>
              <w:jc w:val="left"/>
            </w:pPr>
            <w:r>
              <w:rPr>
                <w:rFonts w:ascii="Calibri" w:cs="Calibri" w:eastAsia="Calibri" w:hAnsi="Calibri"/>
                <w:color w:val="000000"/>
                <w:sz w:val="20"/>
                <w:szCs w:val="20"/>
              </w:rPr>
              <w:t xml:space="preserve">+225 07070707 / 05050505</w:t>
            </w:r>
          </w:p>
        </w:tc>
      </w:tr>
      <w:tr>
        <w:tc>
          <w:tcPr>
            <w:tcW w:type="pct" w:w="30%"/>
            <w:vAlign w:val="center"/>
          </w:tcPr>
          <w:p>
            <w:pPr>
              <w:spacing w:after="30" w:before="30"/>
              <w:jc w:val="left"/>
            </w:pPr>
            <w:r>
              <w:rPr>
                <w:rFonts w:ascii="Calibri" w:cs="Calibri" w:eastAsia="Calibri" w:hAnsi="Calibri"/>
                <w:color w:val="000000"/>
                <w:sz w:val="20"/>
                <w:szCs w:val="20"/>
              </w:rPr>
              <w:t xml:space="preserve">Email</w:t>
            </w:r>
          </w:p>
        </w:tc>
        <w:tc>
          <w:tcPr>
            <w:tcW w:type="pct" w:w="70%"/>
            <w:vAlign w:val="center"/>
          </w:tcPr>
          <w:p>
            <w:pPr>
              <w:spacing w:after="30" w:before="30"/>
              <w:jc w:val="left"/>
            </w:pPr>
            <w:r>
              <w:rPr>
                <w:rFonts w:ascii="Calibri" w:cs="Calibri" w:eastAsia="Calibri" w:hAnsi="Calibri"/>
                <w:color w:val="000000"/>
                <w:sz w:val="20"/>
                <w:szCs w:val="20"/>
              </w:rPr>
              <w:t xml:space="preserve">info@biodynamie.ci</w:t>
            </w:r>
          </w:p>
        </w:tc>
      </w:tr>
      <w:tr>
        <w:tc>
          <w:tcPr>
            <w:tcW w:type="pct" w:w="30%"/>
            <w:shd w:fill="EDF5F2" w:val="clear"/>
            <w:vAlign w:val="center"/>
          </w:tcPr>
          <w:p>
            <w:pPr>
              <w:spacing w:after="30" w:before="30"/>
              <w:jc w:val="left"/>
            </w:pPr>
            <w:r>
              <w:rPr>
                <w:rFonts w:ascii="Calibri" w:cs="Calibri" w:eastAsia="Calibri" w:hAnsi="Calibri"/>
                <w:color w:val="000000"/>
                <w:sz w:val="20"/>
                <w:szCs w:val="20"/>
              </w:rPr>
              <w:t xml:space="preserve">Site web</w:t>
            </w:r>
          </w:p>
        </w:tc>
        <w:tc>
          <w:tcPr>
            <w:tcW w:type="pct" w:w="70%"/>
            <w:shd w:fill="EDF5F2" w:val="clear"/>
            <w:vAlign w:val="center"/>
          </w:tcPr>
          <w:p>
            <w:pPr>
              <w:spacing w:after="30" w:before="30"/>
              <w:jc w:val="left"/>
            </w:pPr>
            <w:r>
              <w:rPr>
                <w:rFonts w:ascii="Calibri" w:cs="Calibri" w:eastAsia="Calibri" w:hAnsi="Calibri"/>
                <w:color w:val="000000"/>
                <w:sz w:val="20"/>
                <w:szCs w:val="20"/>
              </w:rPr>
              <w:t xml:space="preserve">www.ligbiodynamie.ci</w:t>
            </w:r>
          </w:p>
        </w:tc>
      </w:tr>
      <w:tr>
        <w:tc>
          <w:tcPr>
            <w:tcW w:type="pct" w:w="30%"/>
            <w:vAlign w:val="center"/>
          </w:tcPr>
          <w:p>
            <w:pPr>
              <w:spacing w:after="30" w:before="30"/>
              <w:jc w:val="left"/>
            </w:pPr>
            <w:r>
              <w:rPr>
                <w:rFonts w:ascii="Calibri" w:cs="Calibri" w:eastAsia="Calibri" w:hAnsi="Calibri"/>
                <w:color w:val="000000"/>
                <w:sz w:val="20"/>
                <w:szCs w:val="20"/>
              </w:rPr>
              <w:t xml:space="preserve">Facebook</w:t>
            </w:r>
          </w:p>
        </w:tc>
        <w:tc>
          <w:tcPr>
            <w:tcW w:type="pct" w:w="70%"/>
            <w:vAlign w:val="center"/>
          </w:tcPr>
          <w:p>
            <w:pPr>
              <w:spacing w:after="30" w:before="30"/>
              <w:jc w:val="left"/>
            </w:pPr>
            <w:r>
              <w:rPr>
                <w:rFonts w:ascii="Calibri" w:cs="Calibri" w:eastAsia="Calibri" w:hAnsi="Calibri"/>
                <w:color w:val="000000"/>
                <w:sz w:val="20"/>
                <w:szCs w:val="20"/>
              </w:rPr>
              <w:t xml:space="preserve">@LIGBiodynamie</w:t>
            </w:r>
          </w:p>
        </w:tc>
      </w:tr>
      <w:tr>
        <w:tc>
          <w:tcPr>
            <w:tcW w:type="pct" w:w="30%"/>
            <w:shd w:fill="EDF5F2" w:val="clear"/>
            <w:vAlign w:val="center"/>
          </w:tcPr>
          <w:p>
            <w:pPr>
              <w:spacing w:after="30" w:before="30"/>
              <w:jc w:val="left"/>
            </w:pPr>
            <w:r>
              <w:rPr>
                <w:rFonts w:ascii="Calibri" w:cs="Calibri" w:eastAsia="Calibri" w:hAnsi="Calibri"/>
                <w:color w:val="000000"/>
                <w:sz w:val="20"/>
                <w:szCs w:val="20"/>
              </w:rPr>
              <w:t xml:space="preserve">Instagram</w:t>
            </w:r>
          </w:p>
        </w:tc>
        <w:tc>
          <w:tcPr>
            <w:tcW w:type="pct" w:w="70%"/>
            <w:shd w:fill="EDF5F2" w:val="clear"/>
            <w:vAlign w:val="center"/>
          </w:tcPr>
          <w:p>
            <w:pPr>
              <w:spacing w:after="30" w:before="30"/>
              <w:jc w:val="left"/>
            </w:pPr>
            <w:r>
              <w:rPr>
                <w:rFonts w:ascii="Calibri" w:cs="Calibri" w:eastAsia="Calibri" w:hAnsi="Calibri"/>
                <w:color w:val="000000"/>
                <w:sz w:val="20"/>
                <w:szCs w:val="20"/>
              </w:rPr>
              <w:t xml:space="preserve">@ligbiodynamie</w:t>
            </w:r>
          </w:p>
        </w:tc>
      </w:tr>
      <w:tr>
        <w:tc>
          <w:tcPr>
            <w:tcW w:type="pct" w:w="30%"/>
            <w:vAlign w:val="center"/>
          </w:tcPr>
          <w:p>
            <w:pPr>
              <w:spacing w:after="30" w:before="30"/>
              <w:jc w:val="left"/>
            </w:pPr>
            <w:r>
              <w:rPr>
                <w:rFonts w:ascii="Calibri" w:cs="Calibri" w:eastAsia="Calibri" w:hAnsi="Calibri"/>
                <w:color w:val="000000"/>
                <w:sz w:val="20"/>
                <w:szCs w:val="20"/>
              </w:rPr>
              <w:t xml:space="preserve">LinkedIn</w:t>
            </w:r>
          </w:p>
        </w:tc>
        <w:tc>
          <w:tcPr>
            <w:tcW w:type="pct" w:w="70%"/>
            <w:vAlign w:val="center"/>
          </w:tcPr>
          <w:p>
            <w:pPr>
              <w:spacing w:after="30" w:before="30"/>
              <w:jc w:val="left"/>
            </w:pPr>
            <w:r>
              <w:rPr>
                <w:rFonts w:ascii="Calibri" w:cs="Calibri" w:eastAsia="Calibri" w:hAnsi="Calibri"/>
                <w:color w:val="000000"/>
                <w:sz w:val="20"/>
                <w:szCs w:val="20"/>
              </w:rPr>
              <w:t xml:space="preserve">LIG Biodynamie</w:t>
            </w:r>
          </w:p>
        </w:tc>
      </w:tr>
      <w:tr>
        <w:tc>
          <w:tcPr>
            <w:tcW w:type="pct" w:w="30%"/>
            <w:shd w:fill="EDF5F2" w:val="clear"/>
            <w:vAlign w:val="center"/>
          </w:tcPr>
          <w:p>
            <w:pPr>
              <w:spacing w:after="30" w:before="30"/>
              <w:jc w:val="left"/>
            </w:pPr>
            <w:r>
              <w:rPr>
                <w:rFonts w:ascii="Calibri" w:cs="Calibri" w:eastAsia="Calibri" w:hAnsi="Calibri"/>
                <w:color w:val="000000"/>
                <w:sz w:val="20"/>
                <w:szCs w:val="20"/>
              </w:rPr>
              <w:t xml:space="preserve">YouTube</w:t>
            </w:r>
          </w:p>
        </w:tc>
        <w:tc>
          <w:tcPr>
            <w:tcW w:type="pct" w:w="70%"/>
            <w:shd w:fill="EDF5F2" w:val="clear"/>
            <w:vAlign w:val="center"/>
          </w:tcPr>
          <w:p>
            <w:pPr>
              <w:spacing w:after="30" w:before="30"/>
              <w:jc w:val="left"/>
            </w:pPr>
            <w:r>
              <w:rPr>
                <w:rFonts w:ascii="Calibri" w:cs="Calibri" w:eastAsia="Calibri" w:hAnsi="Calibri"/>
                <w:color w:val="000000"/>
                <w:sz w:val="20"/>
                <w:szCs w:val="20"/>
              </w:rPr>
              <w:t xml:space="preserve">LIG Biodynamie</w:t>
            </w:r>
          </w:p>
        </w:tc>
      </w:tr>
      <w:tr>
        <w:tc>
          <w:tcPr>
            <w:tcW w:type="pct" w:w="30%"/>
            <w:vAlign w:val="center"/>
          </w:tcPr>
          <w:p>
            <w:pPr>
              <w:spacing w:after="30" w:before="30"/>
              <w:jc w:val="left"/>
            </w:pPr>
            <w:r>
              <w:rPr>
                <w:rFonts w:ascii="Calibri" w:cs="Calibri" w:eastAsia="Calibri" w:hAnsi="Calibri"/>
                <w:color w:val="000000"/>
                <w:sz w:val="20"/>
                <w:szCs w:val="20"/>
              </w:rPr>
              <w:t xml:space="preserve">Adresse</w:t>
            </w:r>
          </w:p>
        </w:tc>
        <w:tc>
          <w:tcPr>
            <w:tcW w:type="pct" w:w="70%"/>
            <w:vAlign w:val="center"/>
          </w:tcPr>
          <w:p>
            <w:pPr>
              <w:spacing w:after="30" w:before="30"/>
              <w:jc w:val="left"/>
            </w:pPr>
            <w:r>
              <w:rPr>
                <w:rFonts w:ascii="Calibri" w:cs="Calibri" w:eastAsia="Calibri" w:hAnsi="Calibri"/>
                <w:color w:val="000000"/>
                <w:sz w:val="20"/>
                <w:szCs w:val="20"/>
              </w:rPr>
              <w:t xml:space="preserve">Abidjan, Cote d'Ivoire</w:t>
            </w:r>
          </w:p>
        </w:tc>
      </w:tr>
    </w:tbl>
    <w:p>
      <w:pPr>
        <w:pStyle w:val="Heading2"/>
        <w:spacing w:after="150" w:before="300" w:line="312"/>
      </w:pPr>
      <w:bookmarkStart w:id="100070" w:name="_Toc100070"/>
      <w:r>
        <w:rPr>
          <w:rFonts w:ascii="Times New Roman" w:cs="Times New Roman" w:eastAsia="Times New Roman" w:hAnsi="Times New Roman"/>
          <w:b/>
          <w:bCs/>
          <w:color w:val="2A7A65"/>
          <w:sz w:val="30"/>
          <w:szCs w:val="30"/>
        </w:rPr>
        <w:t xml:space="preserve">Annexe D : Cadre Reglementaire</w:t>
      </w:r>
      <w:bookmarkEnd w:id="100070"/>
    </w:p>
    <w:p>
      <w:pPr>
        <w:spacing w:after="120" w:line="312"/>
        <w:ind w:firstLine="480"/>
        <w:jc w:val="both"/>
      </w:pPr>
      <w:r>
        <w:rPr>
          <w:rFonts w:ascii="Calibri" w:cs="Calibri" w:eastAsia="Calibri" w:hAnsi="Calibri"/>
          <w:color w:val="000000"/>
          <w:sz w:val="22"/>
          <w:szCs w:val="22"/>
        </w:rPr>
        <w:t xml:space="preserve">Le cadre reglementaire applicable au projet LIG Biodynamie en Cote d'Ivoire comprend les textes suivants :</w:t>
      </w:r>
    </w:p>
    <w:p>
      <w:pPr>
        <w:pStyle w:val="ListParagraph"/>
        <w:numPr>
          <w:ilvl w:val="0"/>
          <w:numId w:val="1"/>
        </w:numPr>
        <w:spacing w:after="80" w:line="312"/>
        <w:jc w:val="both"/>
      </w:pPr>
      <w:r>
        <w:rPr>
          <w:rFonts w:ascii="Calibri" w:cs="Calibri" w:eastAsia="Calibri" w:hAnsi="Calibri"/>
          <w:b/>
          <w:bCs/>
          <w:color w:val="000000"/>
          <w:sz w:val="22"/>
          <w:szCs w:val="22"/>
        </w:rPr>
        <w:t xml:space="preserve">Loi n02015-537 : </w:t>
      </w:r>
      <w:r>
        <w:rPr>
          <w:rFonts w:ascii="Calibri" w:cs="Calibri" w:eastAsia="Calibri" w:hAnsi="Calibri"/>
          <w:color w:val="000000"/>
          <w:sz w:val="22"/>
          <w:szCs w:val="22"/>
        </w:rPr>
        <w:t xml:space="preserve">Regissant la mise sur le marche des produits fertilisants en Cote d'Ivoire, cette loi definit les conditions d'homologation, d'etiquetage et de controle qualite des fertilisants. Biodynamie est soumis a cette reglementation pour son homologation en tant que fertilisant biologique.</w:t>
      </w:r>
    </w:p>
    <w:p>
      <w:pPr>
        <w:pStyle w:val="ListParagraph"/>
        <w:numPr>
          <w:ilvl w:val="0"/>
          <w:numId w:val="1"/>
        </w:numPr>
        <w:spacing w:after="80" w:line="312"/>
        <w:jc w:val="both"/>
      </w:pPr>
      <w:r>
        <w:rPr>
          <w:rFonts w:ascii="Calibri" w:cs="Calibri" w:eastAsia="Calibri" w:hAnsi="Calibri"/>
          <w:b/>
          <w:bCs/>
          <w:color w:val="000000"/>
          <w:sz w:val="22"/>
          <w:szCs w:val="22"/>
        </w:rPr>
        <w:t xml:space="preserve">PNIA II (Plan National d'Investissement Agricole) : </w:t>
      </w:r>
      <w:r>
        <w:rPr>
          <w:rFonts w:ascii="Calibri" w:cs="Calibri" w:eastAsia="Calibri" w:hAnsi="Calibri"/>
          <w:color w:val="000000"/>
          <w:sz w:val="22"/>
          <w:szCs w:val="22"/>
        </w:rPr>
        <w:t xml:space="preserve">Cadre strategique de l'investissement agricole en Cote d'Ivoire pour la periode 2018-2025, le PNIA II encourage l'innovation dans le secteur agricole et prevoit des mecanismes de soutien financier pour les projets innovants comme Biodynamie.</w:t>
      </w:r>
    </w:p>
    <w:p>
      <w:pPr>
        <w:pStyle w:val="ListParagraph"/>
        <w:numPr>
          <w:ilvl w:val="0"/>
          <w:numId w:val="1"/>
        </w:numPr>
        <w:spacing w:after="80" w:line="312"/>
        <w:jc w:val="both"/>
      </w:pPr>
      <w:r>
        <w:rPr>
          <w:rFonts w:ascii="Calibri" w:cs="Calibri" w:eastAsia="Calibri" w:hAnsi="Calibri"/>
          <w:b/>
          <w:bCs/>
          <w:color w:val="000000"/>
          <w:sz w:val="22"/>
          <w:szCs w:val="22"/>
        </w:rPr>
        <w:t xml:space="preserve">Strategie Bio 2030 : </w:t>
      </w:r>
      <w:r>
        <w:rPr>
          <w:rFonts w:ascii="Calibri" w:cs="Calibri" w:eastAsia="Calibri" w:hAnsi="Calibri"/>
          <w:color w:val="000000"/>
          <w:sz w:val="22"/>
          <w:szCs w:val="22"/>
        </w:rPr>
        <w:t xml:space="preserve">Strategie nationale pour le developpement de l'agriculture biologique en Cote d'Ivoire, visant a atteindre 10% de surfaces agricoles en bio d'ici 2030. Cette strategie constitue un cadre politique tres favorable au deploiement de Biodynamie.</w:t>
      </w:r>
    </w:p>
    <w:p>
      <w:pPr>
        <w:pStyle w:val="ListParagraph"/>
        <w:numPr>
          <w:ilvl w:val="0"/>
          <w:numId w:val="1"/>
        </w:numPr>
        <w:spacing w:after="80" w:line="312"/>
        <w:jc w:val="both"/>
      </w:pPr>
      <w:r>
        <w:rPr>
          <w:rFonts w:ascii="Calibri" w:cs="Calibri" w:eastAsia="Calibri" w:hAnsi="Calibri"/>
          <w:b/>
          <w:bCs/>
          <w:color w:val="000000"/>
          <w:sz w:val="22"/>
          <w:szCs w:val="22"/>
        </w:rPr>
        <w:t xml:space="preserve">PNDAD (Programme National de Developpement Agricole Durable) : </w:t>
      </w:r>
      <w:r>
        <w:rPr>
          <w:rFonts w:ascii="Calibri" w:cs="Calibri" w:eastAsia="Calibri" w:hAnsi="Calibri"/>
          <w:color w:val="000000"/>
          <w:sz w:val="22"/>
          <w:szCs w:val="22"/>
        </w:rPr>
        <w:t xml:space="preserve">Ce programme appuie la transition vers des pratiques agricoles durables et offre des possibilites de subvention pour les intrants ecologiques.</w:t>
      </w:r>
    </w:p>
    <w:sectPr>
      <w:headerReference w:type="default" r:id="rId9"/>
      <w:footerReference w:type="default" r:id="rId10"/>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Business Plan - LIG Biodynamie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Business Plan - LIG Biodynamie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12"/>
      <w:outlineLvl w:val="0"/>
    </w:pPr>
    <w:rPr>
      <w:rFonts w:ascii="Times New Roman" w:cs="Times New Roman" w:eastAsia="Times New Roman" w:hAnsi="Times New Roman"/>
      <w:b/>
      <w:bCs/>
      <w:color w:val="2A7A65"/>
      <w:sz w:val="36"/>
      <w:szCs w:val="36"/>
    </w:rPr>
  </w:style>
  <w:style w:type="paragraph" w:styleId="Heading2">
    <w:name w:val="Heading 2"/>
    <w:basedOn w:val="Normal"/>
    <w:next w:val="Normal"/>
    <w:qFormat/>
    <w:pPr>
      <w:spacing w:after="150" w:before="300" w:line="312"/>
      <w:outlineLvl w:val="1"/>
    </w:pPr>
    <w:rPr>
      <w:rFonts w:ascii="Times New Roman" w:cs="Times New Roman" w:eastAsia="Times New Roman" w:hAnsi="Times New Roman"/>
      <w:b/>
      <w:bCs/>
      <w:color w:val="2A7A65"/>
      <w:sz w:val="30"/>
      <w:szCs w:val="30"/>
    </w:rPr>
  </w:style>
  <w:style w:type="paragraph" w:styleId="Heading3">
    <w:name w:val="Heading 3"/>
    <w:basedOn w:val="Normal"/>
    <w:next w:val="Normal"/>
    <w:qFormat/>
    <w:pPr>
      <w:spacing w:after="100" w:before="200" w:line="312"/>
      <w:outlineLvl w:val="2"/>
    </w:pPr>
    <w:rPr>
      <w:rFonts w:ascii="Times New Roman" w:cs="Times New Roman" w:eastAsia="Times New Roman" w:hAnsi="Times New Roman"/>
      <w:b/>
      <w:bCs/>
      <w:color w:val="2A7A65"/>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pPr>
      <w:spacing w:after="80" w:line="312"/>
    </w:pPr>
    <w:rPr>
      <w:rFonts w:ascii="Calibri" w:cs="Calibri" w:eastAsia="Calibri" w:hAnsi="Calibri"/>
      <w:color w:val="000000"/>
      <w:sz w:val="22"/>
      <w:szCs w:val="22"/>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color w:val="000000"/>
      <w:sz w:val="22"/>
      <w:szCs w:val="22"/>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eccb4a72c731536ef69020f0f1d4d6b4c32477bf.png"/><Relationship Id="rId12" Type="http://schemas.openxmlformats.org/officeDocument/2006/relationships/image" Target="media/c67f02e3997d46f2bf4fb191d57cdd30993dfe60.png"/><Relationship Id="rId13" Type="http://schemas.openxmlformats.org/officeDocument/2006/relationships/image" Target="media/6dbdd2b8f23fed991b91f4f78e2dbf49444f08ff.png"/><Relationship Id="rId14" Type="http://schemas.openxmlformats.org/officeDocument/2006/relationships/image" Target="media/62cface9648bf8e002b47cf2cb1942567d0466c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2026-05-02T09:44:41.741Z</dcterms:created>
  <dcterms:modified xsi:type="dcterms:W3CDTF">2026-05-02T09:44:41.741Z</dcterms:modified>
</cp:coreProperties>
</file>

<file path=docProps/custom.xml><?xml version="1.0" encoding="utf-8"?>
<Properties xmlns="http://schemas.openxmlformats.org/officeDocument/2006/custom-properties" xmlns:vt="http://schemas.openxmlformats.org/officeDocument/2006/docPropsVTypes"/>
</file>