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hAnsi="Times New Roman"/>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Clinical Care Pathway: Urinary Tract Infections in Pregnancy (U.S. Guidelines)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Background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Urinary tract infections (UTIs) are among the most common bacterial infections in pregnancy, affecting roughly 8% of pregnant patients . Up to 2</w:t>
      </w:r>
      <w:r>
        <w:rPr>
          <w:rFonts w:ascii="Times New Roman" w:hAnsi="Times New Roman" w:hint="default"/>
          <w:rtl w:val="0"/>
        </w:rPr>
        <w:t>–</w:t>
      </w:r>
      <w:r>
        <w:rPr>
          <w:rFonts w:ascii="Times New Roman" w:hAnsi="Times New Roman"/>
          <w:rtl w:val="0"/>
          <w:lang w:val="en-US"/>
        </w:rPr>
        <w:t xml:space="preserve">10% of pregnant individuals have asymptomatic bacteriuria (ASB) </w:t>
      </w:r>
      <w:r>
        <w:rPr>
          <w:rFonts w:ascii="Times New Roman" w:hAnsi="Times New Roman" w:hint="default"/>
          <w:rtl w:val="0"/>
        </w:rPr>
        <w:t xml:space="preserve">– </w:t>
      </w:r>
      <w:r>
        <w:rPr>
          <w:rFonts w:ascii="Times New Roman" w:hAnsi="Times New Roman"/>
          <w:rtl w:val="0"/>
          <w:lang w:val="en-US"/>
        </w:rPr>
        <w:t>bacteria in the urine with no UTI symptoms . If untreated, ASB can progress to symptomatic infection (cystitis or pyelonephritis) with serious maternal-fetal risks, including pyelonephritis, sepsis, preterm labor, low birth weight, and perinatal mortality . U.S. guidelines therefore recommend proactive screening and treatment of ASB in pregnancy to improve outcomes . This care pathway outlines evidence-based steps for screening, diagnosis, and management of UTIs in pregnant patients, incorporating guidance from the USPSTF, ACOG, CDC, AAFP, and IDSA.</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Screening for Asymptomatic Bacteriuria</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Timing &amp; Method: All pregnant patients should receive a urine culture early in prenatal care to screen for asymptomatic bacteriuria . Optimal timing is 12</w:t>
      </w:r>
      <w:r>
        <w:rPr>
          <w:rFonts w:ascii="Times New Roman" w:hAnsi="Times New Roman" w:hint="default"/>
          <w:rtl w:val="0"/>
        </w:rPr>
        <w:t>–</w:t>
      </w:r>
      <w:r>
        <w:rPr>
          <w:rFonts w:ascii="Times New Roman" w:hAnsi="Times New Roman"/>
          <w:rtl w:val="0"/>
          <w:lang w:val="nl-NL"/>
        </w:rPr>
        <w:t>16 weeks</w:t>
      </w:r>
      <w:r>
        <w:rPr>
          <w:rFonts w:ascii="Times New Roman" w:hAnsi="Times New Roman" w:hint="default"/>
          <w:rtl w:val="1"/>
        </w:rPr>
        <w:t xml:space="preserve">’ </w:t>
      </w:r>
      <w:r>
        <w:rPr>
          <w:rFonts w:ascii="Times New Roman" w:hAnsi="Times New Roman"/>
          <w:rtl w:val="0"/>
          <w:lang w:val="en-US"/>
        </w:rPr>
        <w:t>gestation or at the first prenatal visit, using a clean-catch midstream urine sample . Screening frequency: A one-time culture in early pregnancy is standard; current evidence is insufficient to mandate repeated routine cultures if the initial screen is negative . (Clinicians may consider re-screening later in pregnancy for those at high risk or with prior bacteriuria, but guidelines do not require it in low-risk patients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Positive Screen Definition: ASB is defined by a urine culture growing </w:t>
      </w:r>
      <w:r>
        <w:rPr>
          <w:rFonts w:ascii="Times New Roman" w:hAnsi="Times New Roman" w:hint="default"/>
          <w:rtl w:val="0"/>
        </w:rPr>
        <w:t>≥</w:t>
      </w:r>
      <w:r>
        <w:rPr>
          <w:rFonts w:ascii="Times New Roman" w:hAnsi="Times New Roman"/>
          <w:rtl w:val="0"/>
          <w:lang w:val="en-US"/>
        </w:rPr>
        <w:t xml:space="preserve">100,000 CFU/mL of a single uropathogen (e.g. E. coli) in the absence of UTI symptoms . (For Group B Streptococcus, &gt;10,000 CFU/mL is considered significant and merits treatment in pregnancy .) A positive screening culture requires prompt antibiotic treatment, as treating ASB significantly reduces the risk of progression to pyelonephritis . Note: Do not use urine dipsticks or rapid tests alone for screening </w:t>
      </w:r>
      <w:r>
        <w:rPr>
          <w:rFonts w:ascii="Times New Roman" w:hAnsi="Times New Roman" w:hint="default"/>
          <w:rtl w:val="0"/>
        </w:rPr>
        <w:t xml:space="preserve">– </w:t>
      </w:r>
      <w:r>
        <w:rPr>
          <w:rFonts w:ascii="Times New Roman" w:hAnsi="Times New Roman"/>
          <w:rtl w:val="0"/>
          <w:lang w:val="en-US"/>
        </w:rPr>
        <w:t>a culture is the gold standard for diagnosis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Follow-up of Positive Screen: If the initial culture is positive for ASB, treat with an appropriate antibiotic (see treatment section) and then obtain a test-of-cure urine culture ~1</w:t>
      </w:r>
      <w:r>
        <w:rPr>
          <w:rFonts w:ascii="Times New Roman" w:hAnsi="Times New Roman" w:hint="default"/>
          <w:rtl w:val="0"/>
        </w:rPr>
        <w:t>–</w:t>
      </w:r>
      <w:r>
        <w:rPr>
          <w:rFonts w:ascii="Times New Roman" w:hAnsi="Times New Roman"/>
          <w:rtl w:val="0"/>
          <w:lang w:val="en-US"/>
        </w:rPr>
        <w:t>2 weeks after completing therapy . Clearance of bacteriuria should be confirmed. Persistent bacteriuria after first-line therapy warrants a second-line antibiotic and/or longer course (10</w:t>
      </w:r>
      <w:r>
        <w:rPr>
          <w:rFonts w:ascii="Times New Roman" w:hAnsi="Times New Roman" w:hint="default"/>
          <w:rtl w:val="0"/>
        </w:rPr>
        <w:t>–</w:t>
      </w:r>
      <w:r>
        <w:rPr>
          <w:rFonts w:ascii="Times New Roman" w:hAnsi="Times New Roman"/>
          <w:rtl w:val="0"/>
          <w:lang w:val="en-US"/>
        </w:rPr>
        <w:t>14 days) based on sensitivity results . All women with ASB in pregnancy should be monitored for recurrence at subsequent visits; some clinicians perform periodic cultures (e.g. each trimester) if ASB was previously treated, although routine serial screening of all patients with initial negative culture is not clearly evidenced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it-IT"/>
        </w:rPr>
        <w:t xml:space="preserve">Special Case </w:t>
      </w:r>
      <w:r>
        <w:rPr>
          <w:rFonts w:ascii="Times New Roman" w:hAnsi="Times New Roman" w:hint="default"/>
          <w:rtl w:val="0"/>
        </w:rPr>
        <w:t xml:space="preserve">– </w:t>
      </w:r>
      <w:r>
        <w:rPr>
          <w:rFonts w:ascii="Times New Roman" w:hAnsi="Times New Roman"/>
          <w:rtl w:val="0"/>
          <w:lang w:val="en-US"/>
        </w:rPr>
        <w:t xml:space="preserve">GBS: If the urine culture grows Group B Streptococcus (GBS) at </w:t>
      </w:r>
      <w:r>
        <w:rPr>
          <w:rFonts w:ascii="Times New Roman" w:hAnsi="Times New Roman" w:hint="default"/>
          <w:rtl w:val="0"/>
        </w:rPr>
        <w:t>≥</w:t>
      </w:r>
      <w:r>
        <w:rPr>
          <w:rFonts w:ascii="Times New Roman" w:hAnsi="Times New Roman"/>
          <w:rtl w:val="0"/>
          <w:lang w:val="en-US"/>
        </w:rPr>
        <w:t>10^4 CFU/mL, it should be treated during pregnancy and this finding should be communicated to obstetric providers for intrapartum antibiotic prophylaxis (GBS bacteriuria indicates heavy colonization)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Clinical Assessment and UTI Differentiation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When a pregnant patient presents with urinary symptoms or has a positive urine culture, it is crucial to distinguish between asymptomatic bacteriuria, cystitis, and pyelonephritis, as management differs: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Asymptomatic Bacteriuria (ASB): No urinary symptoms. Diagnosis is by screening culture only (</w:t>
      </w:r>
      <w:r>
        <w:rPr>
          <w:rFonts w:ascii="Times New Roman" w:hAnsi="Times New Roman" w:hint="default"/>
          <w:rtl w:val="0"/>
        </w:rPr>
        <w:t>≥</w:t>
      </w:r>
      <w:r>
        <w:rPr>
          <w:rFonts w:ascii="Times New Roman" w:hAnsi="Times New Roman"/>
          <w:rtl w:val="0"/>
          <w:lang w:val="en-US"/>
        </w:rPr>
        <w:t>100,000 CFU/mL of a pathogen, without dysuria, frequency, etc.) . The patient feels well, but untreated ASB can lead to cystitis or pyelonephritis, so treatment is recommended . There are typically no physical exam findings; vital signs are normal.</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Acute Cystitis (Uncomplicated UTI): Lower urinary tract infection, usually confined to the bladder. Symptoms: dysuria (burning with urination), urinary frequency, urgency, suprapubic discomfort, possibly hematuria. No significant fever or flank pain. Patients appear generally well. On exam, no costovertebral angle (CVA) tenderness. Workup: Obtain a urine culture (if not already done) to confirm the organism and antibiotic sensitivities, even if a point-of-care urinalysis suggests infection (in pregnancy, culture confirmation is important) . Cystitis in pregnancy is considered </w:t>
      </w:r>
      <w:r>
        <w:rPr>
          <w:rFonts w:ascii="Times New Roman" w:hAnsi="Times New Roman" w:hint="default"/>
          <w:rtl w:val="1"/>
          <w:lang w:val="ar-SA" w:bidi="ar-SA"/>
        </w:rPr>
        <w:t>“</w:t>
      </w:r>
      <w:r>
        <w:rPr>
          <w:rFonts w:ascii="Times New Roman" w:hAnsi="Times New Roman"/>
          <w:rtl w:val="0"/>
          <w:lang w:val="en-US"/>
        </w:rPr>
        <w:t>complicated</w:t>
      </w:r>
      <w:r>
        <w:rPr>
          <w:rFonts w:ascii="Times New Roman" w:hAnsi="Times New Roman" w:hint="default"/>
          <w:rtl w:val="0"/>
        </w:rPr>
        <w:t xml:space="preserve">” </w:t>
      </w:r>
      <w:r>
        <w:rPr>
          <w:rFonts w:ascii="Times New Roman" w:hAnsi="Times New Roman"/>
          <w:rtl w:val="0"/>
          <w:lang w:val="en-US"/>
        </w:rPr>
        <w:t>by virtue of pregnancy, but clinically it lacks the systemic signs of pyelonephritis.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Acute Pyelonephritis: Upper urinary tract infection (kidney infection), a potentially severe illness. Symptoms: fever (often </w:t>
      </w:r>
      <w:r>
        <w:rPr>
          <w:rFonts w:ascii="Times New Roman" w:hAnsi="Times New Roman" w:hint="default"/>
          <w:rtl w:val="0"/>
        </w:rPr>
        <w:t>≥</w:t>
      </w:r>
      <w:r>
        <w:rPr>
          <w:rFonts w:ascii="Times New Roman" w:hAnsi="Times New Roman"/>
          <w:rtl w:val="0"/>
        </w:rPr>
        <w:t>38</w:t>
      </w:r>
      <w:r>
        <w:rPr>
          <w:rFonts w:ascii="Times New Roman" w:hAnsi="Times New Roman" w:hint="default"/>
          <w:rtl w:val="0"/>
          <w:lang w:val="it-IT"/>
        </w:rPr>
        <w:t>°</w:t>
      </w:r>
      <w:r>
        <w:rPr>
          <w:rFonts w:ascii="Times New Roman" w:hAnsi="Times New Roman"/>
          <w:rtl w:val="0"/>
          <w:lang w:val="en-US"/>
        </w:rPr>
        <w:t xml:space="preserve">C), chills/rigors, flank or costovertebral angle pain, nausea/vomiting, and often lower UTI symptoms as well. Signs: positive CVA tenderness on exam (indicative of kidney involvement); patients may appear ill or have tachycardia. Pyelonephritis is an obstetric emergency </w:t>
      </w:r>
      <w:r>
        <w:rPr>
          <w:rFonts w:ascii="Times New Roman" w:hAnsi="Times New Roman" w:hint="default"/>
          <w:rtl w:val="0"/>
        </w:rPr>
        <w:t xml:space="preserve">– </w:t>
      </w:r>
      <w:r>
        <w:rPr>
          <w:rFonts w:ascii="Times New Roman" w:hAnsi="Times New Roman"/>
          <w:rtl w:val="0"/>
          <w:lang w:val="en-US"/>
        </w:rPr>
        <w:t>it is one of the most common non-obstetric causes of hospitalization in pregnancy and is associated with complications like sepsis, acute respiratory distress syndrome (ARDS), preterm labor, and preterm delivery . Workup: Urine culture and blood cultures should be obtained. Assess for sepsis. Renal ultrasound is indicated if obstruction or persistent fever is suspected . These patients generally require inpatient management.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General Workup Notes: Any pregnant patient with UTI symptoms should have a urine culture performed before initiating antibiotics (if possible) </w:t>
      </w:r>
      <w:r>
        <w:rPr>
          <w:rFonts w:ascii="Times New Roman" w:hAnsi="Times New Roman" w:hint="default"/>
          <w:rtl w:val="0"/>
        </w:rPr>
        <w:t xml:space="preserve">– </w:t>
      </w:r>
      <w:r>
        <w:rPr>
          <w:rFonts w:ascii="Times New Roman" w:hAnsi="Times New Roman"/>
          <w:rtl w:val="0"/>
          <w:lang w:val="en-US"/>
        </w:rPr>
        <w:t>however, do not wait for culture results to start empiric therapy in symptomatic infection, especially pyelonephritis. Imaging (renal ultrasound) or additional labs (renal function, CBC) may be required for pyelonephritis or atypical cases. Always consider differential diagnoses for dysuria (vaginitis, STIs, etc.) if culture is negative or symptoms atypical.</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Antibiotic Treatment Principles and Trimester Considerations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When treating UTIs in pregnancy, antibiotic selection must balance efficacy against the pathogen with safety for the fetus. Key principles include: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Obtain Culture &amp; Sensitivities: Therapy should be tailored to culture results whenever possible . Empiric choices should reflect the most common uropathogens (E. coli, Klebsiella, Proteus, Enterococcus, GBS) and local resistance patterns . E. coli resistance to some antibiotics (e.g. ampicillin, amoxicillin) exceeds 20</w:t>
      </w:r>
      <w:r>
        <w:rPr>
          <w:rFonts w:ascii="Times New Roman" w:hAnsi="Times New Roman" w:hint="default"/>
          <w:rtl w:val="0"/>
        </w:rPr>
        <w:t>–</w:t>
      </w:r>
      <w:r>
        <w:rPr>
          <w:rFonts w:ascii="Times New Roman" w:hAnsi="Times New Roman"/>
          <w:rtl w:val="0"/>
          <w:lang w:val="en-US"/>
        </w:rPr>
        <w:t>30%, so those are not first-line empirically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Preferred Antibiotics: Beta-lactams (penicillins and cephalosporins) and nitrofurantoin are generally first-line in pregnancy due to proven safety . Nitrofurantoin concentrates in urine and is effective against many UTI pathogens with low resistance rates . Cephalexin (a first-gen cephalosporin) is well-tolerated and effective against common UTI bacteria. Amoxicillin-clavulanate has a broader spectrum if beta-lactamase-producing organisms are suspected, and fosfomycin is an option for convenient single-dose therapy (for lower tract infections).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Avoided Antibiotics: Fluoroquinolones (e.g. ciprofloxacin) are contraindicated in pregnancy (toxicity to developing cartilage) . Tetracyclines are contraindicated (effects on fetal bone and teeth) . Trimethoprim-sulfamethoxazole (TMP-SMX) should **be avoided in the 1st trimester (trimethoprim is a folate antagonist associated with neural tube and cardiac defects) and near term (sulfonamides near delivery can cause neonatal jaundice/kernicterus) . If TMP-SMX must be used (e.g. in 2nd trimester when it is considered safe ), supplement folic acid. Aminoglycosides (e.g. gentamicin) are nephrotoxic/ototoxic to the fetus with prolonged exposure and are used only if no safer alternative exists (e.g. gentamicin may be combined with ampicillin for pyelonephritis in severe beta-lactam allergy)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Nitrofurantoin Specifics: Nitrofurantoin is safe in mid-pregnancy and a very effective UTI agent; however, it should be avoided at term (approximately 38+ weeks, during labor, or imminent delivery) because of risk of hemolytic anemia in the newborn due to immature red cell enzyme systems . Some studies have noted a possible link to rare birth defects with first-trimester nitrofurantoin, but ACOG and CDC state it may be used in 1st trimester if no suitable alternative is available . In practice, many clinicians still use nitrofurantoin in the first trimester when needed, as recent data do not show a significant teratogenic risk . To be cautious, beta-lactams are often first-line in the first trimester, reserving nitrofurantoin for when other agents are inappropriate . Nitrofurantoin should not be used for pyelonephritis, since it does not achieve adequate renal tissue levels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Trimester Preferences: In 1st trimester, favor antibiotics with strong safety records (e.g. penicillins, cephalosporins). Nitrofurantoin and TMP-SMX are acceptable if needed, but use with caution and only if first-line drugs can</w:t>
      </w:r>
      <w:r>
        <w:rPr>
          <w:rFonts w:ascii="Times New Roman" w:hAnsi="Times New Roman" w:hint="default"/>
          <w:rtl w:val="1"/>
        </w:rPr>
        <w:t>’</w:t>
      </w:r>
      <w:r>
        <w:rPr>
          <w:rFonts w:ascii="Times New Roman" w:hAnsi="Times New Roman"/>
          <w:rtl w:val="0"/>
          <w:lang w:val="en-US"/>
        </w:rPr>
        <w:t>t be used . In 2nd trimester, nitrofurantoin and beta-lactams remain first-line; TMP-SMX can be used if necessary (avoiding periods of organogenesis and late gestation) . In 3rd trimester, continue to use beta-lactams or nitrofurantoin until ~36</w:t>
      </w:r>
      <w:r>
        <w:rPr>
          <w:rFonts w:ascii="Times New Roman" w:hAnsi="Times New Roman" w:hint="default"/>
          <w:rtl w:val="0"/>
        </w:rPr>
        <w:t>–</w:t>
      </w:r>
      <w:r>
        <w:rPr>
          <w:rFonts w:ascii="Times New Roman" w:hAnsi="Times New Roman"/>
          <w:rtl w:val="0"/>
          <w:lang w:val="en-US"/>
        </w:rPr>
        <w:t xml:space="preserve">37 weeks; avoid nitrofurantoin and sulfa drugs as delivery approaches . Always adjust based on culture sensitivity </w:t>
      </w:r>
      <w:r>
        <w:rPr>
          <w:rFonts w:ascii="Times New Roman" w:hAnsi="Times New Roman" w:hint="default"/>
          <w:rtl w:val="0"/>
        </w:rPr>
        <w:t xml:space="preserve">– </w:t>
      </w:r>
      <w:r>
        <w:rPr>
          <w:rFonts w:ascii="Times New Roman" w:hAnsi="Times New Roman"/>
          <w:rtl w:val="0"/>
          <w:lang w:val="en-US"/>
        </w:rPr>
        <w:t>e.g. if Enterococcus is isolated, amoxicillin or ampicillin (if susceptible) might be required, whereas E. coli often dictates nitrofurantoin, cephalexin, or fosfomycin if resistant to others.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The following sections provide specific management for ASB, cystitis, and pyelonephritis, including example antibiotic regimens with RxNorm codes and SIGs.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Management of Asymptomatic Bacteriuria (ASB)</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Treatment is indicated for any bacteriuria </w:t>
      </w:r>
      <w:r>
        <w:rPr>
          <w:rFonts w:ascii="Times New Roman" w:hAnsi="Times New Roman" w:hint="default"/>
          <w:rtl w:val="0"/>
        </w:rPr>
        <w:t>≥</w:t>
      </w:r>
      <w:r>
        <w:rPr>
          <w:rFonts w:ascii="Times New Roman" w:hAnsi="Times New Roman"/>
          <w:rtl w:val="0"/>
          <w:lang w:val="en-US"/>
        </w:rPr>
        <w:t>100,000 CFU/mL in pregnancy, even without symptoms . Treating ASB lowers the risk of pyelonephritis by ~70</w:t>
      </w:r>
      <w:r>
        <w:rPr>
          <w:rFonts w:ascii="Times New Roman" w:hAnsi="Times New Roman" w:hint="default"/>
          <w:rtl w:val="0"/>
        </w:rPr>
        <w:t>–</w:t>
      </w:r>
      <w:r>
        <w:rPr>
          <w:rFonts w:ascii="Times New Roman" w:hAnsi="Times New Roman"/>
          <w:rtl w:val="0"/>
          <w:lang w:val="en-US"/>
        </w:rPr>
        <w:t>80% . Key steps: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Antibiotic Selection: Base the choice on culture susceptibilities and safety. First-line options for ASB include :</w:t>
      </w:r>
      <w:r>
        <w:rPr>
          <w:rFonts w:ascii="Times New Roman" w:cs="Times New Roman" w:hAnsi="Times New Roman" w:eastAsia="Times New Roman"/>
        </w:rPr>
        <w:br w:type="textWrapping"/>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Nitrofurantoin monohydrate/macrocrystals 100</w:t>
      </w:r>
      <w:r>
        <w:rPr>
          <w:rFonts w:ascii="Times New Roman" w:hAnsi="Times New Roman" w:hint="default"/>
          <w:rtl w:val="0"/>
        </w:rPr>
        <w:t> </w:t>
      </w:r>
      <w:r>
        <w:rPr>
          <w:rFonts w:ascii="Times New Roman" w:hAnsi="Times New Roman"/>
          <w:rtl w:val="0"/>
          <w:lang w:val="en-US"/>
        </w:rPr>
        <w:t>mg capsule, take 1 orally twice daily for 5</w:t>
      </w:r>
      <w:r>
        <w:rPr>
          <w:rFonts w:ascii="Times New Roman" w:hAnsi="Times New Roman" w:hint="default"/>
          <w:rtl w:val="0"/>
        </w:rPr>
        <w:t>–</w:t>
      </w:r>
      <w:r>
        <w:rPr>
          <w:rFonts w:ascii="Times New Roman" w:hAnsi="Times New Roman"/>
          <w:rtl w:val="0"/>
          <w:lang w:val="en-US"/>
        </w:rPr>
        <w:t>7 days (RxNorm: 539712) .</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 xml:space="preserve">Avoid nitrofurantoin at </w:t>
      </w:r>
      <w:r>
        <w:rPr>
          <w:rFonts w:ascii="Times New Roman" w:hAnsi="Times New Roman" w:hint="default"/>
          <w:rtl w:val="0"/>
        </w:rPr>
        <w:t>≥</w:t>
      </w:r>
      <w:r>
        <w:rPr>
          <w:rFonts w:ascii="Times New Roman" w:hAnsi="Times New Roman"/>
          <w:rtl w:val="0"/>
          <w:lang w:val="en-US"/>
        </w:rPr>
        <w:t>38 weeks gestation and during labor due to neonatal hemolysis risk . Use in 1st trimester only if needed . Typically used in 2nd trimester.</w:t>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Cephalexin 500</w:t>
      </w:r>
      <w:r>
        <w:rPr>
          <w:rFonts w:ascii="Times New Roman" w:hAnsi="Times New Roman" w:hint="default"/>
          <w:rtl w:val="0"/>
        </w:rPr>
        <w:t> </w:t>
      </w:r>
      <w:r>
        <w:rPr>
          <w:rFonts w:ascii="Times New Roman" w:hAnsi="Times New Roman"/>
          <w:rtl w:val="0"/>
          <w:lang w:val="en-US"/>
        </w:rPr>
        <w:t>mg capsule, take 1 orally four times daily for 5</w:t>
      </w:r>
      <w:r>
        <w:rPr>
          <w:rFonts w:ascii="Times New Roman" w:hAnsi="Times New Roman" w:hint="default"/>
          <w:rtl w:val="0"/>
        </w:rPr>
        <w:t>–</w:t>
      </w:r>
      <w:r>
        <w:rPr>
          <w:rFonts w:ascii="Times New Roman" w:hAnsi="Times New Roman"/>
          <w:rtl w:val="0"/>
          <w:lang w:val="en-US"/>
        </w:rPr>
        <w:t>7 days (RxNorm: 309114) .</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A penicillin-family (cephalosporin) antibiotic, generally safe in all trimesters. Commonly used for ASB or cystitis due to good E. coli coverage.</w:t>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Amoxicillin-Clavulanate 875</w:t>
      </w:r>
      <w:r>
        <w:rPr>
          <w:rFonts w:ascii="Times New Roman" w:hAnsi="Times New Roman" w:hint="default"/>
          <w:rtl w:val="0"/>
        </w:rPr>
        <w:t> </w:t>
      </w:r>
      <w:r>
        <w:rPr>
          <w:rFonts w:ascii="Times New Roman" w:hAnsi="Times New Roman"/>
          <w:rtl w:val="0"/>
        </w:rPr>
        <w:t>mg/125</w:t>
      </w:r>
      <w:r>
        <w:rPr>
          <w:rFonts w:ascii="Times New Roman" w:hAnsi="Times New Roman" w:hint="default"/>
          <w:rtl w:val="0"/>
        </w:rPr>
        <w:t> </w:t>
      </w:r>
      <w:r>
        <w:rPr>
          <w:rFonts w:ascii="Times New Roman" w:hAnsi="Times New Roman"/>
          <w:rtl w:val="0"/>
          <w:lang w:val="en-US"/>
        </w:rPr>
        <w:t>mg tablet (Augmentin), take 1 orally twice daily for 5</w:t>
      </w:r>
      <w:r>
        <w:rPr>
          <w:rFonts w:ascii="Times New Roman" w:hAnsi="Times New Roman" w:hint="default"/>
          <w:rtl w:val="0"/>
        </w:rPr>
        <w:t>–</w:t>
      </w:r>
      <w:r>
        <w:rPr>
          <w:rFonts w:ascii="Times New Roman" w:hAnsi="Times New Roman"/>
          <w:rtl w:val="0"/>
          <w:lang w:val="en-US"/>
        </w:rPr>
        <w:t>7 days (RxNorm: 824194) . (Alternatively, 500/125</w:t>
      </w:r>
      <w:r>
        <w:rPr>
          <w:rFonts w:ascii="Times New Roman" w:hAnsi="Times New Roman" w:hint="default"/>
          <w:rtl w:val="0"/>
        </w:rPr>
        <w:t> </w:t>
      </w:r>
      <w:r>
        <w:rPr>
          <w:rFonts w:ascii="Times New Roman" w:hAnsi="Times New Roman"/>
          <w:rtl w:val="0"/>
          <w:lang w:val="en-US"/>
        </w:rPr>
        <w:t>mg three times daily .)</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Broad-spectrum beta-lactam/beta-lactamase-inhibitor, useful if enteric bacteria produce beta-lactamase. Safe in pregnancy. GI side effects (take with food).</w:t>
      </w:r>
    </w:p>
    <w:p>
      <w:pPr>
        <w:pStyle w:val="Default"/>
        <w:numPr>
          <w:ilvl w:val="1"/>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Fosfomycin tromethamine 3</w:t>
      </w:r>
      <w:r>
        <w:rPr>
          <w:rFonts w:ascii="Times New Roman" w:hAnsi="Times New Roman" w:hint="default"/>
          <w:rtl w:val="0"/>
        </w:rPr>
        <w:t> </w:t>
      </w:r>
      <w:r>
        <w:rPr>
          <w:rFonts w:ascii="Times New Roman" w:hAnsi="Times New Roman"/>
          <w:rtl w:val="0"/>
          <w:lang w:val="en-US"/>
        </w:rPr>
        <w:t>g powder, dissolve in water and take as a single one-time dose (RxNorm: 808917) .</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Convenient one-dose therapy for uncomplicated bacteriuria. Avoid if pyelonephritis is suspected, as fosfomycin does not achieve renal parenchymal levels .</w:t>
      </w:r>
    </w:p>
    <w:p>
      <w:pPr>
        <w:pStyle w:val="Default"/>
        <w:numPr>
          <w:ilvl w:val="1"/>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Trimethoprim-Sulfamethoxazole 160/800</w:t>
      </w:r>
      <w:r>
        <w:rPr>
          <w:rFonts w:ascii="Times New Roman" w:hAnsi="Times New Roman" w:hint="default"/>
          <w:rtl w:val="0"/>
        </w:rPr>
        <w:t> </w:t>
      </w:r>
      <w:r>
        <w:rPr>
          <w:rFonts w:ascii="Times New Roman" w:hAnsi="Times New Roman"/>
          <w:rtl w:val="0"/>
          <w:lang w:val="en-US"/>
        </w:rPr>
        <w:t>mg tablet (TMP-SMX DS), take 1 orally twice daily for 3</w:t>
      </w:r>
      <w:r>
        <w:rPr>
          <w:rFonts w:ascii="Times New Roman" w:hAnsi="Times New Roman" w:hint="default"/>
          <w:rtl w:val="0"/>
        </w:rPr>
        <w:t>–</w:t>
      </w:r>
      <w:r>
        <w:rPr>
          <w:rFonts w:ascii="Times New Roman" w:hAnsi="Times New Roman"/>
          <w:rtl w:val="0"/>
          <w:lang w:val="en-US"/>
        </w:rPr>
        <w:t>7 days (RxNorm: 198335).</w:t>
      </w:r>
      <w:r>
        <w:rPr>
          <w:rFonts w:ascii="Times New Roman" w:cs="Times New Roman" w:hAnsi="Times New Roman" w:eastAsia="Times New Roman"/>
        </w:rPr>
        <w:br w:type="textWrapping"/>
      </w: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lang w:val="en-US"/>
        </w:rPr>
        <w:t>Use only in second trimester if no better options . Avoid in 1st tri (folate antagonist risk) and near term (kernicterus risk) . Check sensitivity, as E. coli resistance to TMP-SMX ~30% in some regions .</w:t>
      </w:r>
    </w:p>
    <w:p>
      <w:pPr>
        <w:pStyle w:val="Default"/>
        <w:numPr>
          <w:ilvl w:val="0"/>
          <w:numId w:val="3"/>
        </w:numPr>
        <w:suppressAutoHyphens w:val="1"/>
        <w:spacing w:before="0" w:after="240" w:line="240" w:lineRule="auto"/>
        <w:jc w:val="left"/>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Note: Ampicillin or Amoxicillin (alone) are no longer recommended empirically for ASB/UTI because of high E. coli resistance (20</w:t>
      </w:r>
      <w:r>
        <w:rPr>
          <w:rFonts w:ascii="Times New Roman" w:hAnsi="Times New Roman" w:hint="default"/>
          <w:rtl w:val="0"/>
        </w:rPr>
        <w:t>–</w:t>
      </w:r>
      <w:r>
        <w:rPr>
          <w:rFonts w:ascii="Times New Roman" w:hAnsi="Times New Roman"/>
          <w:rtl w:val="0"/>
          <w:lang w:val="en-US"/>
        </w:rPr>
        <w:t>40%) . Use them only if culture confirms a susceptible organism (e.g. Enterococcus faecalis often sensitive to ampicillin). Fluoroquinolones and tetracyclines are contraindicated in pregnancy and not used for ASB.</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Duration: Treat ASB for a short course </w:t>
      </w:r>
      <w:r>
        <w:rPr>
          <w:rFonts w:ascii="Times New Roman" w:hAnsi="Times New Roman" w:hint="default"/>
          <w:rtl w:val="0"/>
        </w:rPr>
        <w:t xml:space="preserve">– </w:t>
      </w:r>
      <w:r>
        <w:rPr>
          <w:rFonts w:ascii="Times New Roman" w:hAnsi="Times New Roman"/>
          <w:rtl w:val="0"/>
          <w:lang w:val="en-US"/>
        </w:rPr>
        <w:t>typically 4</w:t>
      </w:r>
      <w:r>
        <w:rPr>
          <w:rFonts w:ascii="Times New Roman" w:hAnsi="Times New Roman" w:hint="default"/>
          <w:rtl w:val="0"/>
        </w:rPr>
        <w:t>–</w:t>
      </w:r>
      <w:r>
        <w:rPr>
          <w:rFonts w:ascii="Times New Roman" w:hAnsi="Times New Roman"/>
          <w:rtl w:val="0"/>
          <w:lang w:val="en-US"/>
        </w:rPr>
        <w:t>7 days depending on antibiotic . Nitrofurantoin is usually 5 days; beta-lactams often 5</w:t>
      </w:r>
      <w:r>
        <w:rPr>
          <w:rFonts w:ascii="Times New Roman" w:hAnsi="Times New Roman" w:hint="default"/>
          <w:rtl w:val="0"/>
        </w:rPr>
        <w:t>–</w:t>
      </w:r>
      <w:r>
        <w:rPr>
          <w:rFonts w:ascii="Times New Roman" w:hAnsi="Times New Roman"/>
          <w:rtl w:val="0"/>
          <w:lang w:val="en-US"/>
        </w:rPr>
        <w:t>7 days; TMP-SMX (if used in 2nd tri) 3 days may suffice (though some prefer 7 days in pregnancy). Avoid single-dose regimens except fosfomycin. (Single-dose therapies have lower cure rates ~70% .) A 2019 IDSA review suggests using the shortest effective regimen (4</w:t>
      </w:r>
      <w:r>
        <w:rPr>
          <w:rFonts w:ascii="Times New Roman" w:hAnsi="Times New Roman" w:hint="default"/>
          <w:rtl w:val="0"/>
        </w:rPr>
        <w:t>–</w:t>
      </w:r>
      <w:r>
        <w:rPr>
          <w:rFonts w:ascii="Times New Roman" w:hAnsi="Times New Roman"/>
          <w:rtl w:val="0"/>
          <w:lang w:val="en-US"/>
        </w:rPr>
        <w:t>7 days) for ASB .</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Follow-Up: Always perform a test-of-cure culture ~1</w:t>
      </w:r>
      <w:r>
        <w:rPr>
          <w:rFonts w:ascii="Times New Roman" w:hAnsi="Times New Roman" w:hint="default"/>
          <w:rtl w:val="0"/>
        </w:rPr>
        <w:t>–</w:t>
      </w:r>
      <w:r>
        <w:rPr>
          <w:rFonts w:ascii="Times New Roman" w:hAnsi="Times New Roman"/>
          <w:rtl w:val="0"/>
          <w:lang w:val="en-US"/>
        </w:rPr>
        <w:t>2 weeks after completing therapy to ensure eradication . If the repeat culture is still positive (bacteriuria persists), switch to a different antibiotic (guided by sensitivities) and treat for a longer duration (10</w:t>
      </w:r>
      <w:r>
        <w:rPr>
          <w:rFonts w:ascii="Times New Roman" w:hAnsi="Times New Roman" w:hint="default"/>
          <w:rtl w:val="0"/>
        </w:rPr>
        <w:t>–</w:t>
      </w:r>
      <w:r>
        <w:rPr>
          <w:rFonts w:ascii="Times New Roman" w:hAnsi="Times New Roman"/>
          <w:rtl w:val="0"/>
          <w:lang w:val="en-US"/>
        </w:rPr>
        <w:t>14 days) . Subsequent monthly or periodic urine cultures may be done to monitor for recurrence, especially if the patient has a history of recurrent UTIs, although routine repeat screening after a treated episode is of uncertain benefit in low-risk women .</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No Symptoms Appear? Continue routine prenatal care, but remain vigilant. Educate the patient to report any UTI symptoms promptly, since a new symptomatic UTI could develop later.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Management of Acute Cystitis (Symptomatic UTI)</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For pregnant patients with uncomplicated cystitis (symptomatic lower UTI confined to bladder, no fever or flank pain), prompt outpatient treatment is indicated to relieve symptoms and prevent progression. Key points: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Culture &amp; Empiric Treatment: Obtain a urine culture if not already done. Begin empiric antibiotics </w:t>
      </w:r>
      <w:r>
        <w:rPr>
          <w:rFonts w:ascii="Times New Roman" w:hAnsi="Times New Roman" w:hint="default"/>
          <w:rtl w:val="0"/>
          <w:lang w:val="en-US"/>
        </w:rPr>
        <w:t xml:space="preserve">— </w:t>
      </w:r>
      <w:r>
        <w:rPr>
          <w:rFonts w:ascii="Times New Roman" w:hAnsi="Times New Roman"/>
          <w:rtl w:val="0"/>
          <w:lang w:val="en-US"/>
        </w:rPr>
        <w:t>similar agents as for ASB, but ensure the pathogen is covered. First-line empiric choices include nitrofurantoin, cephalexin, or amoxicillin-clavulanate for cystitis in pregnancy . Tailor the antibiotic to culture results when available.</w:t>
      </w:r>
      <w:r>
        <w:rPr>
          <w:rFonts w:ascii="Times New Roman" w:cs="Times New Roman" w:hAnsi="Times New Roman" w:eastAsia="Times New Roman"/>
        </w:rPr>
        <w:br w:type="textWrapping"/>
      </w:r>
      <w:r>
        <w:rPr>
          <w:rFonts w:ascii="Times New Roman" w:hAnsi="Times New Roman"/>
          <w:rtl w:val="0"/>
          <w:lang w:val="en-US"/>
        </w:rPr>
        <w:t>Recommended regimens for cystitis (overlap with ASB regimens) :</w:t>
      </w:r>
      <w:r>
        <w:rPr>
          <w:rFonts w:ascii="Times New Roman" w:cs="Times New Roman" w:hAnsi="Times New Roman" w:eastAsia="Times New Roman"/>
        </w:rPr>
        <w:br w:type="textWrapping"/>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Nitrofurantoin 100</w:t>
      </w:r>
      <w:r>
        <w:rPr>
          <w:rFonts w:ascii="Times New Roman" w:hAnsi="Times New Roman" w:hint="default"/>
          <w:rtl w:val="0"/>
        </w:rPr>
        <w:t> </w:t>
      </w:r>
      <w:r>
        <w:rPr>
          <w:rFonts w:ascii="Times New Roman" w:hAnsi="Times New Roman"/>
          <w:rtl w:val="0"/>
        </w:rPr>
        <w:t>mg PO BID x 5</w:t>
      </w:r>
      <w:r>
        <w:rPr>
          <w:rFonts w:ascii="Times New Roman" w:hAnsi="Times New Roman" w:hint="default"/>
          <w:rtl w:val="0"/>
        </w:rPr>
        <w:t>–</w:t>
      </w:r>
      <w:r>
        <w:rPr>
          <w:rFonts w:ascii="Times New Roman" w:hAnsi="Times New Roman"/>
          <w:rtl w:val="0"/>
          <w:lang w:val="en-US"/>
        </w:rPr>
        <w:t xml:space="preserve">7 days (avoid near term) (RxNorm: 539712) </w:t>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Cephalexin 500</w:t>
      </w:r>
      <w:r>
        <w:rPr>
          <w:rFonts w:ascii="Times New Roman" w:hAnsi="Times New Roman" w:hint="default"/>
          <w:rtl w:val="0"/>
        </w:rPr>
        <w:t> </w:t>
      </w:r>
      <w:r>
        <w:rPr>
          <w:rFonts w:ascii="Times New Roman" w:hAnsi="Times New Roman"/>
          <w:rtl w:val="0"/>
          <w:lang w:val="en-US"/>
        </w:rPr>
        <w:t xml:space="preserve">mg PO Q6h (four times daily) x 7 days (RxNorm: 309114) </w:t>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Amoxicillin-Clavulanate 875/125</w:t>
      </w:r>
      <w:r>
        <w:rPr>
          <w:rFonts w:ascii="Times New Roman" w:hAnsi="Times New Roman" w:hint="default"/>
          <w:rtl w:val="0"/>
        </w:rPr>
        <w:t> </w:t>
      </w:r>
      <w:r>
        <w:rPr>
          <w:rFonts w:ascii="Times New Roman" w:hAnsi="Times New Roman"/>
          <w:rtl w:val="0"/>
          <w:lang w:val="en-US"/>
        </w:rPr>
        <w:t xml:space="preserve">mg PO BID x 7 days (RxNorm: 824194) </w:t>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Fosfomycin 3</w:t>
      </w:r>
      <w:r>
        <w:rPr>
          <w:rFonts w:ascii="Times New Roman" w:hAnsi="Times New Roman" w:hint="default"/>
          <w:rtl w:val="0"/>
        </w:rPr>
        <w:t> </w:t>
      </w:r>
      <w:r>
        <w:rPr>
          <w:rFonts w:ascii="Times New Roman" w:hAnsi="Times New Roman"/>
          <w:rtl w:val="0"/>
          <w:lang w:val="en-US"/>
        </w:rPr>
        <w:t xml:space="preserve">g PO once (if adherence is a concern and pyelo is ruled out) (RxNorm: 808917) </w:t>
      </w:r>
    </w:p>
    <w:p>
      <w:pPr>
        <w:pStyle w:val="Default"/>
        <w:numPr>
          <w:ilvl w:val="1"/>
          <w:numId w:val="3"/>
        </w:numPr>
        <w:suppressAutoHyphens w:val="1"/>
        <w:spacing w:before="0" w:after="240" w:line="240" w:lineRule="auto"/>
        <w:jc w:val="left"/>
        <w:rPr>
          <w:rFonts w:ascii="Times New Roman" w:hAnsi="Times New Roman"/>
          <w:lang w:val="da-DK"/>
        </w:rPr>
      </w:pPr>
      <w:r>
        <w:rPr>
          <w:rFonts w:ascii="Times New Roman" w:hAnsi="Times New Roman"/>
          <w:rtl w:val="0"/>
          <w:lang w:val="da-DK"/>
        </w:rPr>
        <w:t>(TMP-SMX 160/800</w:t>
      </w:r>
      <w:r>
        <w:rPr>
          <w:rFonts w:ascii="Times New Roman" w:hAnsi="Times New Roman" w:hint="default"/>
          <w:rtl w:val="0"/>
        </w:rPr>
        <w:t> </w:t>
      </w:r>
      <w:r>
        <w:rPr>
          <w:rFonts w:ascii="Times New Roman" w:hAnsi="Times New Roman"/>
          <w:rtl w:val="0"/>
          <w:lang w:val="en-US"/>
        </w:rPr>
        <w:t xml:space="preserve">mg PO BID x 3 days (RxNorm: 198335), only if in 2nd trimester and organism likely susceptible) </w:t>
      </w:r>
    </w:p>
    <w:p>
      <w:pPr>
        <w:pStyle w:val="Default"/>
        <w:numPr>
          <w:ilvl w:val="0"/>
          <w:numId w:val="3"/>
        </w:numPr>
        <w:suppressAutoHyphens w:val="1"/>
        <w:spacing w:before="0" w:after="240" w:line="240" w:lineRule="auto"/>
        <w:jc w:val="left"/>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Ensure the patient is not allergic to the chosen antibiotic. Provide medication counseling (e.g. take nitrofurantoin with food to reduce GI upset, etc.).</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Symptomatic relief: Encourage adequate hydration to help flush bacteria. If dysuria is severe, a urinary analgesic like phenazopyridine (category B) can be considered for a couple of days (note: it only masks symptoms and colors urine orange; it</w:t>
      </w:r>
      <w:r>
        <w:rPr>
          <w:rFonts w:ascii="Times New Roman" w:hAnsi="Times New Roman" w:hint="default"/>
          <w:rtl w:val="1"/>
        </w:rPr>
        <w:t>’</w:t>
      </w:r>
      <w:r>
        <w:rPr>
          <w:rFonts w:ascii="Times New Roman" w:hAnsi="Times New Roman"/>
          <w:rtl w:val="0"/>
          <w:lang w:val="en-US"/>
        </w:rPr>
        <w:t>s not a cure). Acetaminophen is safe for any mild bladder pain or low-grade fever.</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Follow-Up: Symptoms should improve within 48</w:t>
      </w:r>
      <w:r>
        <w:rPr>
          <w:rFonts w:ascii="Times New Roman" w:hAnsi="Times New Roman" w:hint="default"/>
          <w:rtl w:val="0"/>
        </w:rPr>
        <w:t>–</w:t>
      </w:r>
      <w:r>
        <w:rPr>
          <w:rFonts w:ascii="Times New Roman" w:hAnsi="Times New Roman"/>
          <w:rtl w:val="0"/>
          <w:lang w:val="en-US"/>
        </w:rPr>
        <w:t>72 hours of therapy. If no improvement or if symptoms worsen (e.g. patient develops fever or flank pain), reevaluate for possible pyelonephritis or resistant organism. As with ASB, do a test-of-cure urine culture 1</w:t>
      </w:r>
      <w:r>
        <w:rPr>
          <w:rFonts w:ascii="Times New Roman" w:hAnsi="Times New Roman" w:hint="default"/>
          <w:rtl w:val="0"/>
        </w:rPr>
        <w:t>–</w:t>
      </w:r>
      <w:r>
        <w:rPr>
          <w:rFonts w:ascii="Times New Roman" w:hAnsi="Times New Roman"/>
          <w:rtl w:val="0"/>
          <w:lang w:val="en-US"/>
        </w:rPr>
        <w:t>2 weeks after treatment to ensure the infection is cleared . Persistent infection requires re-treatment with a different antibiotic.</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Preventing Recurrence: Counsel on behavioral measures to reduce UTI risk (e.g. proper perineal hygiene, urinating after intercourse, staying hydrated). However, given pregnancy physiology (ureteral dilation, urinary stasis), some UTIs may recur despite precautions. See </w:t>
      </w:r>
      <w:r>
        <w:rPr>
          <w:rFonts w:ascii="Times New Roman" w:hAnsi="Times New Roman" w:hint="default"/>
          <w:rtl w:val="1"/>
          <w:lang w:val="ar-SA" w:bidi="ar-SA"/>
        </w:rPr>
        <w:t>“</w:t>
      </w:r>
      <w:r>
        <w:rPr>
          <w:rFonts w:ascii="Times New Roman" w:hAnsi="Times New Roman"/>
          <w:rtl w:val="0"/>
          <w:lang w:val="en-US"/>
        </w:rPr>
        <w:t>Prevention of Recurrent UTI</w:t>
      </w:r>
      <w:r>
        <w:rPr>
          <w:rFonts w:ascii="Times New Roman" w:hAnsi="Times New Roman" w:hint="default"/>
          <w:rtl w:val="0"/>
        </w:rPr>
        <w:t xml:space="preserve">” </w:t>
      </w:r>
      <w:r>
        <w:rPr>
          <w:rFonts w:ascii="Times New Roman" w:hAnsi="Times New Roman"/>
          <w:rtl w:val="0"/>
          <w:lang w:val="en-US"/>
        </w:rPr>
        <w:t>below for when to initiate prophylaxis.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Management of Acute Pyelonephritis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Pyelonephritis in pregnancy is a medical emergency requiring aggressive treatment and usually hospitalization. The goals are to stabilize the mother, treat the infection, and prevent obstetric complications. Management includes: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Hospital Admission: Admit all pregnant patients with pyelonephritis for IV antibiotics and hydration (at least until afebrile and clinically improved). Outpatient management of pyelonephritis is generally not recommended, except in rare carefully selected early-second trimester cases, due to risk of sepsis and preterm labor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Empiric IV Antibiotics: Start broad-spectrum IV antibiotics promptly, after obtaining urine and blood cultures. A third-generation cephalosporin is a typical first-line choice. For example: Ceftriaxone 1 g IV every 24 hours is commonly used (RxNorm: 1665021) . Ceftriaxone covers most E. coli and other Gram-negative rods, as well as GBS. Alternative IV options (if severe penicillin allergy) include Aztreonam 1 g IV q8h (for Gram-negatives) or a combo like Gentamicin + Clindamycin (though gentamicin use is minimized). Ampicillin + Gentamicin IV may be used for severe infections, especially if Enterococcus is a consideration . Tailor the regimen once culture susceptibilities return .</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Supportive Care: Provide IV fluids carefully </w:t>
      </w:r>
      <w:r>
        <w:rPr>
          <w:rFonts w:ascii="Times New Roman" w:hAnsi="Times New Roman" w:hint="default"/>
          <w:rtl w:val="0"/>
        </w:rPr>
        <w:t xml:space="preserve">– </w:t>
      </w:r>
      <w:r>
        <w:rPr>
          <w:rFonts w:ascii="Times New Roman" w:hAnsi="Times New Roman"/>
          <w:rtl w:val="0"/>
          <w:lang w:val="en-US"/>
        </w:rPr>
        <w:t>pregnant pyelo patients need hydration for hypotension and to perfuse kidneys, but be cautious to avoid pulmonary edema (they are at higher risk for ARDS) . Control fever with acetaminophen (fever itself can trigger contractions). If vomiting, give IV antiemetics. Monitor closely for signs of sepsis (vitals, labs).</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Obstetric Management: Pyelonephritis can precipitate preterm contractions or labor, especially after 20 weeks . On admission, assess for uterine contractions. In coordination with OB, administer tocolysis (medications to stop contractions) if preterm labor is starting </w:t>
      </w:r>
      <w:r>
        <w:rPr>
          <w:rFonts w:ascii="Times New Roman" w:hAnsi="Times New Roman" w:hint="default"/>
          <w:rtl w:val="0"/>
        </w:rPr>
        <w:t xml:space="preserve">– </w:t>
      </w:r>
      <w:r>
        <w:rPr>
          <w:rFonts w:ascii="Times New Roman" w:hAnsi="Times New Roman"/>
          <w:rtl w:val="0"/>
          <w:lang w:val="en-US"/>
        </w:rPr>
        <w:t>unless the patient is in septic shock, where tocolysis is contraindicated . Continuous fetal monitoring is recommended in third trimester or if contractions occur. If &lt;24 weeks, monitor for miscarriage signs. Involve an obstetrician or maternal-fetal medicine specialist early in the care of a pyelonephritic patient.</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Monitoring: Expect defervescence (fever resolution) within 48</w:t>
      </w:r>
      <w:r>
        <w:rPr>
          <w:rFonts w:ascii="Times New Roman" w:hAnsi="Times New Roman" w:hint="default"/>
          <w:rtl w:val="0"/>
        </w:rPr>
        <w:t>–</w:t>
      </w:r>
      <w:r>
        <w:rPr>
          <w:rFonts w:ascii="Times New Roman" w:hAnsi="Times New Roman"/>
          <w:rtl w:val="0"/>
          <w:lang w:val="en-US"/>
        </w:rPr>
        <w:t>72 hours of IV antibiotics. If fever persists &gt;48 hours, or the patient deteriorates, obtain repeat cultures and imaging. A renal ultrasound is indicated to rule out obstructing calculi or perinephric abscess if no improvement in 48</w:t>
      </w:r>
      <w:r>
        <w:rPr>
          <w:rFonts w:ascii="Times New Roman" w:hAnsi="Times New Roman" w:hint="default"/>
          <w:rtl w:val="0"/>
        </w:rPr>
        <w:t>–</w:t>
      </w:r>
      <w:r>
        <w:rPr>
          <w:rFonts w:ascii="Times New Roman" w:hAnsi="Times New Roman"/>
          <w:rtl w:val="0"/>
          <w:lang w:val="en-US"/>
        </w:rPr>
        <w:t>72h . Also consider adding broadened coverage for resistant organisms if necessary.</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Step-Down Therapy: Once the patient has been afebrile for 24</w:t>
      </w:r>
      <w:r>
        <w:rPr>
          <w:rFonts w:ascii="Times New Roman" w:hAnsi="Times New Roman" w:hint="default"/>
          <w:rtl w:val="0"/>
        </w:rPr>
        <w:t>–</w:t>
      </w:r>
      <w:r>
        <w:rPr>
          <w:rFonts w:ascii="Times New Roman" w:hAnsi="Times New Roman"/>
          <w:rtl w:val="0"/>
          <w:lang w:val="en-US"/>
        </w:rPr>
        <w:t>48 hours and clinically improved, transition to an appropriate oral antibiotic to complete a total of 10</w:t>
      </w:r>
      <w:r>
        <w:rPr>
          <w:rFonts w:ascii="Times New Roman" w:hAnsi="Times New Roman" w:hint="default"/>
          <w:rtl w:val="0"/>
        </w:rPr>
        <w:t>–</w:t>
      </w:r>
      <w:r>
        <w:rPr>
          <w:rFonts w:ascii="Times New Roman" w:hAnsi="Times New Roman"/>
          <w:rtl w:val="0"/>
          <w:lang w:val="en-US"/>
        </w:rPr>
        <w:t>14 days of treatment . Common oral step-down choices (depending on culture results) include cephalexin, nitrofurantoin, or TMP-SMX (if in 2nd trimester), etc., as long as the organism is susceptible. Ensure close follow-up after discharge.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Prophylaxis After Pyelo: One episode of pyelonephritis is an indication for suppressive antibiotic prophylaxis for the remainder of the pregnancy . This is critical because pyelonephritis tends to recur and can cause repeated hospitalizations or preterm birth. (Prophylaxis regimens are discussed below.)</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Consultations: Involve an OB/GYN or MFM specialist for all cases of pyelonephritis, given the obstetric risks. Also consider Infectious Disease consultation if the patient fails to improve, or if culture reveals a multidrug-resistant organism (e.g. ESBL-producing bacteria may require a carbapenem antibiotic) . ID can guide complex antibiotic regimens (e.g. need for IV ertapenem for ESBL E. coli). If imaging shows an obstruction (e.g. stone), involve Urology for possible stent placement to relieve obstruction.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Post-Treatment Follow-Up and Prevention of Recurrent UTI</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After any UTI treatment in pregnancy, proper follow-up and preventive strategies are important:</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Test of Cure: As noted earlier, perform a repeat urine culture ~1</w:t>
      </w:r>
      <w:r>
        <w:rPr>
          <w:rFonts w:ascii="Times New Roman" w:hAnsi="Times New Roman" w:hint="default"/>
          <w:rtl w:val="0"/>
        </w:rPr>
        <w:t>–</w:t>
      </w:r>
      <w:r>
        <w:rPr>
          <w:rFonts w:ascii="Times New Roman" w:hAnsi="Times New Roman"/>
          <w:rtl w:val="0"/>
          <w:lang w:val="en-US"/>
        </w:rPr>
        <w:t>2 weeks after completing therapy for ASB, cystitis, or pyelonephritis . Ensure the infection is cleared. If the culture still grows bacteria, treat again (usually with a different antibiotic) and repeat the culture until sterile urine is confirmed.</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Reinfection vs. Relapse: If the same organism persists despite treatment (relapse), consider a longer course or daily suppressive therapy. If a new organism appears later (reinfection), it still warrants treatment and consideration of prophylaxis if frequent.</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UTI Prophylaxis: Pregnant patients with recurrent UTIs benefit from prophylactic antibiotics. Indications: (a) </w:t>
      </w:r>
      <w:r>
        <w:rPr>
          <w:rFonts w:ascii="Times New Roman" w:hAnsi="Times New Roman" w:hint="default"/>
          <w:rtl w:val="0"/>
        </w:rPr>
        <w:t>≥</w:t>
      </w:r>
      <w:r>
        <w:rPr>
          <w:rFonts w:ascii="Times New Roman" w:hAnsi="Times New Roman"/>
          <w:rtl w:val="0"/>
          <w:lang w:val="en-US"/>
        </w:rPr>
        <w:t>2 symptomatic UTIs (or 3 episodes of bacteriuria) in pregnancy , or (b) after one pyelonephritis episode (once acute treatment is done) . Prophylaxis is typically continued until delivery. First-line prophylaxis options :</w:t>
      </w:r>
      <w:r>
        <w:rPr>
          <w:rFonts w:ascii="Times New Roman" w:cs="Times New Roman" w:hAnsi="Times New Roman" w:eastAsia="Times New Roman"/>
        </w:rPr>
        <w:br w:type="textWrapping"/>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Nitrofurantoin 100</w:t>
      </w:r>
      <w:r>
        <w:rPr>
          <w:rFonts w:ascii="Times New Roman" w:hAnsi="Times New Roman" w:hint="default"/>
          <w:rtl w:val="0"/>
        </w:rPr>
        <w:t> </w:t>
      </w:r>
      <w:r>
        <w:rPr>
          <w:rFonts w:ascii="Times New Roman" w:hAnsi="Times New Roman"/>
          <w:rtl w:val="0"/>
          <w:lang w:val="en-US"/>
        </w:rPr>
        <w:t xml:space="preserve">mg PO once daily at bedtime (suppressive dose) (RxNorm: 539712) </w:t>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Cephalexin 250</w:t>
      </w:r>
      <w:r>
        <w:rPr>
          <w:rFonts w:ascii="Times New Roman" w:hAnsi="Times New Roman" w:hint="default"/>
          <w:rtl w:val="0"/>
        </w:rPr>
        <w:t>–</w:t>
      </w:r>
      <w:r>
        <w:rPr>
          <w:rFonts w:ascii="Times New Roman" w:hAnsi="Times New Roman"/>
          <w:rtl w:val="0"/>
        </w:rPr>
        <w:t>500</w:t>
      </w:r>
      <w:r>
        <w:rPr>
          <w:rFonts w:ascii="Times New Roman" w:hAnsi="Times New Roman" w:hint="default"/>
          <w:rtl w:val="0"/>
        </w:rPr>
        <w:t> </w:t>
      </w:r>
      <w:r>
        <w:rPr>
          <w:rFonts w:ascii="Times New Roman" w:hAnsi="Times New Roman"/>
          <w:rtl w:val="0"/>
          <w:lang w:val="en-US"/>
        </w:rPr>
        <w:t xml:space="preserve">mg PO once daily at bedtime (RxNorm: 309114) </w:t>
      </w:r>
    </w:p>
    <w:p>
      <w:pPr>
        <w:pStyle w:val="Default"/>
        <w:numPr>
          <w:ilvl w:val="0"/>
          <w:numId w:val="3"/>
        </w:numPr>
        <w:suppressAutoHyphens w:val="1"/>
        <w:spacing w:before="0" w:after="240" w:line="240" w:lineRule="auto"/>
        <w:jc w:val="left"/>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These regimens significantly reduce recurrence risk. (A 2015 Cochrane review did note that closely monitored women on nitrofurantoin prophylaxis had similar UTI recurrence rates as those with close surveillance alone ; however, in practice prophylaxis is still commonly used for those with multiple infections, given the high stakes in pregnancy.) Ensure periodic urine cultures are done at prenatal visits to catch breakthrough bacteriuria even while on prophylaxis.</w:t>
      </w:r>
      <w:r>
        <w:rPr>
          <w:rFonts w:ascii="Times New Roman" w:cs="Times New Roman" w:hAnsi="Times New Roman" w:eastAsia="Times New Roman"/>
        </w:rPr>
        <w:br w:type="textWrapping"/>
      </w:r>
      <w:r>
        <w:rPr>
          <w:rFonts w:ascii="Times New Roman" w:hAnsi="Times New Roman"/>
          <w:rtl w:val="0"/>
          <w:lang w:val="en-US"/>
        </w:rPr>
        <w:t>For patients with significant risk factors (e.g. diabetic pregnant women or those with anatomical urinary tract issues), some clinicians even consider prophylaxis after a single UTI since their complication risk is higher . Weigh the benefits of preventing pyelonephritis against the risk of long-term antibiotic use (resistance, microbiome changes).</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Patient Education: Educate the patient on recognizing UTI symptoms and seeking care early. Emphasize adherence to any prophylactic regimen. Advise general preventive measures (stay hydrated, urinate frequently, consider voiding after intercourse, avoid spermicides which can predispose to UTIs, etc.). There is limited evidence that cranberry products may reduce UTIs, but patients can use them as an adjunct if they wish (no harm except in those with aspirin allergy due to salicylate in cranberry).</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Intrapartum Plans: If the patient had GBS bacteriuria or recurrent UTIs, ensure the delivery team knows to administer appropriate antibiotics in labor (for GBS prophylaxis if indicated, usually IV penicillin or ampicillin). Also, if the patient is on suppressive antibiotics at the time of labor, plans may be needed to switch to IV antibiotics during labor if required.</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Postpartum: After delivery, prophylactic antibiotics are usually discontinued. Assess the need for urological follow-up if UTIs were unusually frequent or difficult to treat (e.g. consider postpartum urologic imaging for stones or reflux if indicated).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When to Refer to OB Specialists or Infectious Disease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Interdisciplinary management is key in certain scenarios: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Obstetric Specialist (Maternal-Fetal Medicine):</w:t>
      </w:r>
      <w:r>
        <w:rPr>
          <w:rFonts w:ascii="Times New Roman" w:cs="Times New Roman" w:hAnsi="Times New Roman" w:eastAsia="Times New Roman"/>
        </w:rPr>
        <w:br w:type="textWrapping"/>
      </w:r>
      <w:r>
        <w:rPr>
          <w:rFonts w:ascii="Times New Roman" w:hAnsi="Times New Roman"/>
          <w:rtl w:val="0"/>
          <w:lang w:val="en-US"/>
        </w:rPr>
        <w:t>Refer or co-manage with an OB/MFM for any pyelonephritis, as well as recurrent or severe UTIs. Pyelonephritis can trigger obstetric complications (preterm labor, sepsis) that require OB oversight . The OB team will manage tocolysis for preterm contractions and consider timing of delivery if an infection is late in third trimester. Also involve OB if there are concerns about medication safety or need for fetal monitoring (e.g. prolonged high fever can affect fetal heart rate).</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Infectious Disease Specialist:</w:t>
      </w:r>
      <w:r>
        <w:rPr>
          <w:rFonts w:ascii="Times New Roman" w:cs="Times New Roman" w:hAnsi="Times New Roman" w:eastAsia="Times New Roman"/>
        </w:rPr>
        <w:br w:type="textWrapping"/>
      </w:r>
      <w:r>
        <w:rPr>
          <w:rFonts w:ascii="Times New Roman" w:hAnsi="Times New Roman"/>
          <w:rtl w:val="0"/>
          <w:lang w:val="en-US"/>
        </w:rPr>
        <w:t xml:space="preserve">Consult ID for complicated infections </w:t>
      </w:r>
      <w:r>
        <w:rPr>
          <w:rFonts w:ascii="Times New Roman" w:hAnsi="Times New Roman" w:hint="default"/>
          <w:rtl w:val="0"/>
        </w:rPr>
        <w:t xml:space="preserve">– </w:t>
      </w:r>
      <w:r>
        <w:rPr>
          <w:rFonts w:ascii="Times New Roman" w:hAnsi="Times New Roman"/>
          <w:rtl w:val="0"/>
          <w:lang w:val="en-US"/>
        </w:rPr>
        <w:t>for example, multidrug-resistant organisms (ESBL-producing Gram-negatives, vancomycin-resistant enterococcus, etc.) where standard oral options are limited. ID can recommend safe but effective alternatives (e.g. carbapenems for ESBL E. coli , or fosfomycin for VRE cystitis, etc.). Also involve ID if the patient has a poor response to therapy or atypical presentation (e.g. persistent bacteremia, suspect an abscess). For patients allergic to multiple first-line drugs, ID can help find safe therapy (desensitization, off-label antibiotics). Essentially, if treating the UTI is beyond routine (recurrent failures, need for IV suppressive therapy, etc.), ID input is valuable.</w:t>
      </w:r>
    </w:p>
    <w:p>
      <w:pPr>
        <w:pStyle w:val="Default"/>
        <w:numPr>
          <w:ilvl w:val="0"/>
          <w:numId w:val="2"/>
        </w:numPr>
        <w:suppressAutoHyphens w:val="1"/>
        <w:spacing w:before="0" w:after="240" w:line="240" w:lineRule="auto"/>
        <w:jc w:val="left"/>
        <w:rPr>
          <w:rFonts w:ascii="Times New Roman" w:hAnsi="Times New Roman"/>
        </w:rPr>
      </w:pPr>
      <w:r>
        <w:rPr>
          <w:rFonts w:ascii="Times New Roman" w:hAnsi="Times New Roman"/>
          <w:rtl w:val="0"/>
        </w:rPr>
        <w:t>Urology:</w:t>
      </w:r>
      <w:r>
        <w:rPr>
          <w:rFonts w:ascii="Times New Roman" w:cs="Times New Roman" w:hAnsi="Times New Roman" w:eastAsia="Times New Roman"/>
        </w:rPr>
        <w:br w:type="textWrapping"/>
      </w:r>
      <w:r>
        <w:rPr>
          <w:rFonts w:ascii="Times New Roman" w:hAnsi="Times New Roman"/>
          <w:rtl w:val="0"/>
          <w:lang w:val="en-US"/>
        </w:rPr>
        <w:t>Urology referral is not routinely required for straightforward UTIs in pregnancy, but consider it if imaging suggests a structural issue (e.g. obstructing stone, congenital urinary tract anomaly) or if UTIs are relapsing from a kidney source. A postpartum urology workup can be planned if recurrent UTIs were a major issue, since aggressive investigation (cystoscopy, etc.) is usually avoided during pregnancy unless absolutely necessary.</w:t>
      </w:r>
    </w:p>
    <w:p>
      <w:pPr>
        <w:pStyle w:val="Default"/>
        <w:numPr>
          <w:ilvl w:val="0"/>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Primary Care Coordination:</w:t>
      </w:r>
      <w:r>
        <w:rPr>
          <w:rFonts w:ascii="Times New Roman" w:cs="Times New Roman" w:hAnsi="Times New Roman" w:eastAsia="Times New Roman"/>
        </w:rPr>
        <w:br w:type="textWrapping"/>
      </w:r>
      <w:r>
        <w:rPr>
          <w:rFonts w:ascii="Times New Roman" w:hAnsi="Times New Roman"/>
          <w:rtl w:val="0"/>
          <w:lang w:val="en-US"/>
        </w:rPr>
        <w:t>If a non-obstetric provider (e.g. family physician) is managing the pregnancy, collaborate with OB for any UTI beyond simple ASB. Conversely, primary care or ID might be consulted by OB for input on antibiotic choices in complex cases (such teamwork ensures both maternal and fetal aspects are considered). Also ensure that all cases of bacteriuria are communicated to the obstetric team, so they can follow up appropriately (especially for GBS colonization as noted).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Summary: Prompt screening and treatment of bacteriuria, appropriate antibiotic use by trimester, diligent follow-up cultures, and prophylaxis when needed form the backbone of UTI management in pregnancy. By following this care pathway </w:t>
      </w:r>
      <w:r>
        <w:rPr>
          <w:rFonts w:ascii="Times New Roman" w:hAnsi="Times New Roman" w:hint="default"/>
          <w:rtl w:val="0"/>
        </w:rPr>
        <w:t xml:space="preserve">– </w:t>
      </w:r>
      <w:r>
        <w:rPr>
          <w:rFonts w:ascii="Times New Roman" w:hAnsi="Times New Roman"/>
          <w:rtl w:val="0"/>
          <w:lang w:val="en-US"/>
        </w:rPr>
        <w:t xml:space="preserve">informed by CDC antibiotic safety guidance, ACOG/USPSTF screening recommendations, and IDSA/AAFP treatment guidelines </w:t>
      </w:r>
      <w:r>
        <w:rPr>
          <w:rFonts w:ascii="Times New Roman" w:hAnsi="Times New Roman" w:hint="default"/>
          <w:rtl w:val="0"/>
        </w:rPr>
        <w:t xml:space="preserve">– </w:t>
      </w:r>
      <w:r>
        <w:rPr>
          <w:rFonts w:ascii="Times New Roman" w:hAnsi="Times New Roman"/>
          <w:rtl w:val="0"/>
          <w:lang w:val="en-US"/>
        </w:rPr>
        <w:t>healthcare providers can significantly reduce the risk of pyelonephritis and related obstetric complications . Always individualize care based on patient allergies, culture results, and clinical scenario, and engage specialist consultation for complex cases. Early detection and proper management of UTIs in pregnancy protect both maternal health and pregnancy outcomes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Sources: This pathway is based on current U.S. guidelines and reviews, including USPSTF recommendations on asymptomatic bacteriuria screening , IDSA 2019 updated guidelines , ACOG Committee Opinions , CDC antibiotic use advisories , and summaries from AAFP and peer-reviewed articles . All recommendations above are supported by these sources and current standards of obstetric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321" w:line="240" w:lineRule="auto"/>
        <w:jc w:val="left"/>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rPr>
        <w:t>🩺</w:t>
      </w:r>
      <w:r>
        <w:rPr>
          <w:rFonts w:ascii="Times New Roman" w:hAnsi="Times New Roman"/>
          <w:b w:val="1"/>
          <w:bCs w:val="1"/>
          <w:rtl w:val="0"/>
        </w:rPr>
        <w:t xml:space="preserve"> </w:t>
      </w:r>
      <w:r>
        <w:rPr>
          <w:rFonts w:ascii="Times New Roman" w:hAnsi="Times New Roman"/>
          <w:b w:val="1"/>
          <w:bCs w:val="1"/>
          <w:rtl w:val="0"/>
          <w:lang w:val="en-US"/>
        </w:rPr>
        <w:t>Clinical Care Pathway (Text Flow): Urinary Tract Infections in Pregnancy</w:t>
      </w:r>
    </w:p>
    <w:p>
      <w:pPr>
        <w:pStyle w:val="Default"/>
        <w:suppressAutoHyphens w:val="1"/>
        <w:spacing w:before="0" w:after="298" w:line="240" w:lineRule="auto"/>
        <w:jc w:val="left"/>
        <w:rPr>
          <w:rFonts w:ascii="Times New Roman" w:cs="Times New Roman" w:hAnsi="Times New Roman" w:eastAsia="Times New Roman"/>
          <w:b w:val="1"/>
          <w:bCs w:val="1"/>
        </w:rPr>
      </w:pPr>
      <w:r>
        <w:rPr>
          <w:rFonts w:ascii="Times New Roman" w:hAnsi="Times New Roman"/>
          <w:b w:val="1"/>
          <w:bCs w:val="1"/>
          <w:rtl w:val="0"/>
        </w:rPr>
        <w:t>0</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ascii="Times New Roman" w:hAnsi="Times New Roman"/>
          <w:b w:val="1"/>
          <w:bCs w:val="1"/>
          <w:rtl w:val="0"/>
        </w:rPr>
        <w:t xml:space="preserve"> </w:t>
      </w:r>
      <w:r>
        <w:rPr>
          <w:rFonts w:ascii="Times New Roman" w:hAnsi="Times New Roman"/>
          <w:b w:val="1"/>
          <w:bCs w:val="1"/>
          <w:rtl w:val="0"/>
          <w:lang w:val="en-US"/>
        </w:rPr>
        <w:t xml:space="preserve">Start </w:t>
      </w:r>
      <w:r>
        <w:rPr>
          <w:rFonts w:ascii="Times New Roman" w:hAnsi="Times New Roman" w:hint="default"/>
          <w:b w:val="1"/>
          <w:bCs w:val="1"/>
          <w:rtl w:val="0"/>
        </w:rPr>
        <w:t xml:space="preserve">– </w:t>
      </w:r>
      <w:r>
        <w:rPr>
          <w:rFonts w:ascii="Times New Roman" w:hAnsi="Times New Roman"/>
          <w:b w:val="1"/>
          <w:bCs w:val="1"/>
          <w:rtl w:val="0"/>
          <w:lang w:val="en-US"/>
        </w:rPr>
        <w:t>Evaluate Symptoms</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Assess for alarm symptoms:</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Fever </w:t>
      </w:r>
      <w:r>
        <w:rPr>
          <w:rFonts w:ascii="Times New Roman" w:hAnsi="Times New Roman" w:hint="default"/>
          <w:rtl w:val="0"/>
        </w:rPr>
        <w:t>≥</w:t>
      </w:r>
      <w:r>
        <w:rPr>
          <w:rFonts w:ascii="Times New Roman" w:hAnsi="Times New Roman"/>
          <w:rtl w:val="0"/>
        </w:rPr>
        <w:t xml:space="preserve">38 </w:t>
      </w:r>
      <w:r>
        <w:rPr>
          <w:rFonts w:ascii="Times New Roman" w:hAnsi="Times New Roman" w:hint="default"/>
          <w:rtl w:val="0"/>
          <w:lang w:val="it-IT"/>
        </w:rPr>
        <w:t>°</w:t>
      </w:r>
      <w:r>
        <w:rPr>
          <w:rFonts w:ascii="Times New Roman" w:hAnsi="Times New Roman"/>
          <w:rtl w:val="0"/>
          <w:lang w:val="en-US"/>
        </w:rPr>
        <w:t>C, flank/CVA pain, chills, rigors, vomiting, hypotension, sepsis concern, or preterm contractions.</w:t>
      </w:r>
    </w:p>
    <w:p>
      <w:pPr>
        <w:pStyle w:val="Default"/>
        <w:numPr>
          <w:ilvl w:val="2"/>
          <w:numId w:val="2"/>
        </w:numPr>
        <w:suppressAutoHyphens w:val="1"/>
        <w:spacing w:before="0" w:after="240" w:line="240" w:lineRule="auto"/>
        <w:jc w:val="left"/>
        <w:rPr>
          <w:rFonts w:ascii="Times New Roman" w:hAnsi="Times New Roman" w:hint="default"/>
        </w:rPr>
      </w:pP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 xml:space="preserve">Present </w:t>
      </w:r>
      <w:r>
        <w:rPr>
          <w:rFonts w:ascii="Times New Roman" w:hAnsi="Times New Roman" w:hint="default"/>
          <w:rtl w:val="0"/>
        </w:rPr>
        <w:t xml:space="preserve">→ </w:t>
      </w:r>
      <w:r>
        <w:rPr>
          <w:rFonts w:ascii="Times New Roman" w:hAnsi="Times New Roman"/>
          <w:rtl w:val="0"/>
          <w:lang w:val="en-US"/>
        </w:rPr>
        <w:t>Go to Section 3: Alarm Symptom / Pyelonephritis Pathway</w:t>
      </w:r>
    </w:p>
    <w:p>
      <w:pPr>
        <w:pStyle w:val="Default"/>
        <w:numPr>
          <w:ilvl w:val="2"/>
          <w:numId w:val="2"/>
        </w:numPr>
        <w:suppressAutoHyphens w:val="1"/>
        <w:spacing w:before="0" w:after="240" w:line="240" w:lineRule="auto"/>
        <w:jc w:val="left"/>
        <w:rPr>
          <w:rFonts w:eastAsia="Arial Unicode MS" w:hint="eastAsia"/>
        </w:rPr>
      </w:pPr>
      <w:r>
        <w:rPr>
          <w:rFonts w:ascii="Arial Unicode MS" w:cs="Arial Unicode MS" w:hAnsi="Arial Unicode MS" w:eastAsia="Arial Unicode MS" w:hint="eastAsia"/>
          <w:b w:val="0"/>
          <w:bCs w:val="0"/>
          <w:i w:val="0"/>
          <w:iCs w:val="0"/>
          <w:rtl w:val="0"/>
        </w:rPr>
        <w:t>🚫</w:t>
      </w:r>
      <w:r>
        <w:rPr>
          <w:rFonts w:ascii="Times New Roman" w:hAnsi="Times New Roman"/>
          <w:rtl w:val="0"/>
        </w:rPr>
        <w:t xml:space="preserve"> </w:t>
      </w:r>
      <w:r>
        <w:rPr>
          <w:rFonts w:ascii="Times New Roman" w:hAnsi="Times New Roman"/>
          <w:rtl w:val="0"/>
          <w:lang w:val="de-DE"/>
        </w:rPr>
        <w:t xml:space="preserve">Absent </w:t>
      </w:r>
      <w:r>
        <w:rPr>
          <w:rFonts w:ascii="Times New Roman" w:hAnsi="Times New Roman" w:hint="default"/>
          <w:rtl w:val="0"/>
        </w:rPr>
        <w:t xml:space="preserve">→ </w:t>
      </w:r>
      <w:r>
        <w:rPr>
          <w:rFonts w:ascii="Times New Roman" w:hAnsi="Times New Roman"/>
          <w:rtl w:val="0"/>
          <w:lang w:val="es-ES_tradnl"/>
        </w:rPr>
        <w:t>Continue</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Assess for urinary symptoms:</w:t>
      </w:r>
    </w:p>
    <w:p>
      <w:pPr>
        <w:pStyle w:val="Default"/>
        <w:numPr>
          <w:ilvl w:val="1"/>
          <w:numId w:val="2"/>
        </w:numPr>
        <w:suppressAutoHyphens w:val="1"/>
        <w:spacing w:before="0" w:after="240" w:line="240" w:lineRule="auto"/>
        <w:jc w:val="left"/>
        <w:rPr>
          <w:rFonts w:ascii="Times New Roman" w:hAnsi="Times New Roman"/>
          <w:lang w:val="pt-PT"/>
        </w:rPr>
      </w:pPr>
      <w:r>
        <w:rPr>
          <w:rFonts w:ascii="Times New Roman" w:hAnsi="Times New Roman"/>
          <w:rtl w:val="0"/>
          <w:lang w:val="pt-PT"/>
        </w:rPr>
        <w:t>Dysuria, frequency, urgency, suprapubic pain, hematuria; afebrile; no flank pain.</w:t>
      </w:r>
    </w:p>
    <w:p>
      <w:pPr>
        <w:pStyle w:val="Default"/>
        <w:numPr>
          <w:ilvl w:val="2"/>
          <w:numId w:val="2"/>
        </w:numPr>
        <w:suppressAutoHyphens w:val="1"/>
        <w:spacing w:before="0" w:after="240" w:line="240" w:lineRule="auto"/>
        <w:jc w:val="left"/>
        <w:rPr>
          <w:rFonts w:ascii="Times New Roman" w:hAnsi="Times New Roman" w:hint="default"/>
        </w:rPr>
      </w:pP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 xml:space="preserve">Present </w:t>
      </w:r>
      <w:r>
        <w:rPr>
          <w:rFonts w:ascii="Times New Roman" w:hAnsi="Times New Roman" w:hint="default"/>
          <w:rtl w:val="0"/>
        </w:rPr>
        <w:t xml:space="preserve">→ </w:t>
      </w:r>
      <w:r>
        <w:rPr>
          <w:rFonts w:ascii="Times New Roman" w:hAnsi="Times New Roman"/>
          <w:rtl w:val="0"/>
          <w:lang w:val="en-US"/>
        </w:rPr>
        <w:t>Go to Section 2: Symptomatic Pathway (Cystitis)</w:t>
      </w:r>
    </w:p>
    <w:p>
      <w:pPr>
        <w:pStyle w:val="Default"/>
        <w:numPr>
          <w:ilvl w:val="2"/>
          <w:numId w:val="2"/>
        </w:numPr>
        <w:suppressAutoHyphens w:val="1"/>
        <w:spacing w:before="0" w:after="240" w:line="240" w:lineRule="auto"/>
        <w:jc w:val="left"/>
        <w:rPr>
          <w:rFonts w:eastAsia="Arial Unicode MS" w:hint="eastAsia"/>
        </w:rPr>
      </w:pPr>
      <w:r>
        <w:rPr>
          <w:rFonts w:ascii="Arial Unicode MS" w:cs="Arial Unicode MS" w:hAnsi="Arial Unicode MS" w:eastAsia="Arial Unicode MS" w:hint="eastAsia"/>
          <w:b w:val="0"/>
          <w:bCs w:val="0"/>
          <w:i w:val="0"/>
          <w:iCs w:val="0"/>
          <w:rtl w:val="0"/>
        </w:rPr>
        <w:t>🚫</w:t>
      </w:r>
      <w:r>
        <w:rPr>
          <w:rFonts w:ascii="Times New Roman" w:hAnsi="Times New Roman"/>
          <w:rtl w:val="0"/>
        </w:rPr>
        <w:t xml:space="preserve"> </w:t>
      </w:r>
      <w:r>
        <w:rPr>
          <w:rFonts w:ascii="Times New Roman" w:hAnsi="Times New Roman"/>
          <w:rtl w:val="0"/>
          <w:lang w:val="de-DE"/>
        </w:rPr>
        <w:t xml:space="preserve">Absent </w:t>
      </w:r>
      <w:r>
        <w:rPr>
          <w:rFonts w:ascii="Times New Roman" w:hAnsi="Times New Roman" w:hint="default"/>
          <w:rtl w:val="0"/>
        </w:rPr>
        <w:t xml:space="preserve">→ </w:t>
      </w:r>
      <w:r>
        <w:rPr>
          <w:rFonts w:ascii="Times New Roman" w:hAnsi="Times New Roman"/>
          <w:rtl w:val="0"/>
          <w:lang w:val="en-US"/>
        </w:rPr>
        <w:t>Go to Section 1: Asymptomatic / Screening Pathway</w:t>
      </w:r>
    </w:p>
    <w:p>
      <w:pPr>
        <w:pStyle w:val="Default"/>
        <w:suppressAutoHyphens w:val="1"/>
        <w:spacing w:before="0" w:after="298" w:line="240" w:lineRule="auto"/>
        <w:jc w:val="left"/>
        <w:rPr>
          <w:rFonts w:ascii="Times New Roman" w:cs="Times New Roman" w:hAnsi="Times New Roman" w:eastAsia="Times New Roman"/>
          <w:b w:val="1"/>
          <w:bCs w:val="1"/>
        </w:rPr>
      </w:pPr>
      <w:r>
        <w:rPr>
          <w:rFonts w:ascii="Times New Roman" w:hAnsi="Times New Roman"/>
          <w:b w:val="1"/>
          <w:bCs w:val="1"/>
          <w:rtl w:val="0"/>
        </w:rPr>
        <w:t>1</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ascii="Times New Roman" w:hAnsi="Times New Roman"/>
          <w:b w:val="1"/>
          <w:bCs w:val="1"/>
          <w:rtl w:val="0"/>
        </w:rPr>
        <w:t xml:space="preserve"> </w:t>
      </w:r>
      <w:r>
        <w:rPr>
          <w:rFonts w:ascii="Times New Roman" w:hAnsi="Times New Roman"/>
          <w:b w:val="1"/>
          <w:bCs w:val="1"/>
          <w:rtl w:val="0"/>
          <w:lang w:val="en-US"/>
        </w:rPr>
        <w:t>Asymptomatic / Screening Pathway</w:t>
      </w:r>
    </w:p>
    <w:p>
      <w:pPr>
        <w:pStyle w:val="Default"/>
        <w:numPr>
          <w:ilvl w:val="0"/>
          <w:numId w:val="6"/>
        </w:numPr>
        <w:suppressAutoHyphens w:val="1"/>
        <w:spacing w:before="0" w:after="240" w:line="240" w:lineRule="auto"/>
        <w:jc w:val="left"/>
        <w:rPr>
          <w:rFonts w:ascii="Times New Roman" w:hAnsi="Times New Roman"/>
          <w:lang w:val="en-US"/>
        </w:rPr>
      </w:pPr>
      <w:r>
        <w:rPr>
          <w:rFonts w:ascii="Times New Roman" w:hAnsi="Times New Roman"/>
          <w:rtl w:val="0"/>
          <w:lang w:val="en-US"/>
        </w:rPr>
        <w:t>Has a urine culture been done this pregnancy?</w:t>
      </w:r>
    </w:p>
    <w:p>
      <w:pPr>
        <w:pStyle w:val="Default"/>
        <w:numPr>
          <w:ilvl w:val="1"/>
          <w:numId w:val="7"/>
        </w:numPr>
        <w:suppressAutoHyphens w:val="1"/>
        <w:spacing w:before="0" w:after="240" w:line="240" w:lineRule="auto"/>
        <w:jc w:val="left"/>
        <w:rPr>
          <w:rFonts w:eastAsia="Arial Unicode MS" w:hint="eastAsia"/>
        </w:rPr>
      </w:pPr>
      <w:r>
        <w:rPr>
          <w:rFonts w:ascii="Arial Unicode MS" w:cs="Arial Unicode MS" w:hAnsi="Arial Unicode MS" w:eastAsia="Arial Unicode MS" w:hint="eastAsia"/>
          <w:b w:val="0"/>
          <w:bCs w:val="0"/>
          <w:i w:val="0"/>
          <w:iCs w:val="0"/>
          <w:rtl w:val="0"/>
        </w:rPr>
        <w:t>🚫</w:t>
      </w:r>
      <w:r>
        <w:rPr>
          <w:rFonts w:ascii="Times New Roman" w:hAnsi="Times New Roman"/>
          <w:rtl w:val="0"/>
        </w:rPr>
        <w:t xml:space="preserve"> </w:t>
      </w:r>
      <w:r>
        <w:rPr>
          <w:rFonts w:ascii="Times New Roman" w:hAnsi="Times New Roman"/>
          <w:rtl w:val="0"/>
          <w:lang w:val="es-ES_tradnl"/>
        </w:rPr>
        <w:t xml:space="preserve">No </w:t>
      </w:r>
      <w:r>
        <w:rPr>
          <w:rFonts w:ascii="Times New Roman" w:hAnsi="Times New Roman" w:hint="default"/>
          <w:rtl w:val="0"/>
        </w:rPr>
        <w:t xml:space="preserve">→ </w:t>
      </w:r>
      <w:r>
        <w:rPr>
          <w:rFonts w:ascii="Times New Roman" w:hAnsi="Times New Roman"/>
          <w:rtl w:val="0"/>
          <w:lang w:val="en-US"/>
        </w:rPr>
        <w:t>Order urinalysis (UA) with microscopy + urine culture.</w:t>
      </w:r>
    </w:p>
    <w:p>
      <w:pPr>
        <w:pStyle w:val="Default"/>
        <w:numPr>
          <w:ilvl w:val="1"/>
          <w:numId w:val="7"/>
        </w:numPr>
        <w:suppressAutoHyphens w:val="1"/>
        <w:spacing w:before="0" w:after="240" w:line="240" w:lineRule="auto"/>
        <w:jc w:val="left"/>
        <w:rPr>
          <w:rFonts w:ascii="Times New Roman" w:hAnsi="Times New Roman" w:hint="default"/>
        </w:rPr>
      </w:pP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 xml:space="preserve">Yes </w:t>
      </w:r>
      <w:r>
        <w:rPr>
          <w:rFonts w:ascii="Times New Roman" w:hAnsi="Times New Roman" w:hint="default"/>
          <w:rtl w:val="0"/>
        </w:rPr>
        <w:t xml:space="preserve">→ </w:t>
      </w:r>
      <w:r>
        <w:rPr>
          <w:rFonts w:ascii="Times New Roman" w:hAnsi="Times New Roman"/>
          <w:rtl w:val="0"/>
          <w:lang w:val="en-US"/>
        </w:rPr>
        <w:t>If prior positive culture (</w:t>
      </w:r>
      <w:r>
        <w:rPr>
          <w:rFonts w:ascii="Times New Roman" w:hAnsi="Times New Roman" w:hint="default"/>
          <w:rtl w:val="0"/>
        </w:rPr>
        <w:t>≥</w:t>
      </w:r>
      <w:r>
        <w:rPr>
          <w:rFonts w:ascii="Times New Roman" w:hAnsi="Times New Roman"/>
          <w:rtl w:val="0"/>
          <w:lang w:val="en-US"/>
        </w:rPr>
        <w:t xml:space="preserve">100,000 CFU/mL) </w:t>
      </w:r>
      <w:r>
        <w:rPr>
          <w:rFonts w:ascii="Times New Roman" w:hAnsi="Times New Roman" w:hint="default"/>
          <w:rtl w:val="0"/>
        </w:rPr>
        <w:t xml:space="preserve">→ </w:t>
      </w:r>
      <w:r>
        <w:rPr>
          <w:rFonts w:ascii="Times New Roman" w:hAnsi="Times New Roman"/>
          <w:rtl w:val="0"/>
          <w:lang w:val="en-US"/>
        </w:rPr>
        <w:t xml:space="preserve">Treat if not already done. If prior negative </w:t>
      </w:r>
      <w:r>
        <w:rPr>
          <w:rFonts w:ascii="Times New Roman" w:hAnsi="Times New Roman" w:hint="default"/>
          <w:rtl w:val="0"/>
        </w:rPr>
        <w:t xml:space="preserve">→ </w:t>
      </w:r>
      <w:r>
        <w:rPr>
          <w:rFonts w:ascii="Times New Roman" w:hAnsi="Times New Roman"/>
          <w:rtl w:val="0"/>
          <w:lang w:val="en-US"/>
        </w:rPr>
        <w:t>routine care (no repeat unless recurrent).</w:t>
      </w:r>
    </w:p>
    <w:p>
      <w:pPr>
        <w:pStyle w:val="Default"/>
        <w:numPr>
          <w:ilvl w:val="0"/>
          <w:numId w:val="6"/>
        </w:numPr>
        <w:suppressAutoHyphens w:val="1"/>
        <w:spacing w:before="0" w:after="240" w:line="240" w:lineRule="auto"/>
        <w:jc w:val="left"/>
        <w:rPr>
          <w:rFonts w:ascii="Times New Roman" w:hAnsi="Times New Roman"/>
          <w:lang w:val="en-US"/>
        </w:rPr>
      </w:pPr>
      <w:r>
        <w:rPr>
          <w:rFonts w:ascii="Times New Roman" w:hAnsi="Times New Roman"/>
          <w:rtl w:val="0"/>
          <w:lang w:val="en-US"/>
        </w:rPr>
        <w:t>Interpret culture results:</w:t>
      </w:r>
    </w:p>
    <w:p>
      <w:pPr>
        <w:pStyle w:val="Default"/>
        <w:numPr>
          <w:ilvl w:val="1"/>
          <w:numId w:val="7"/>
        </w:numPr>
        <w:suppressAutoHyphens w:val="1"/>
        <w:spacing w:before="0" w:after="240" w:line="240" w:lineRule="auto"/>
        <w:jc w:val="left"/>
        <w:rPr>
          <w:rFonts w:ascii="Times New Roman" w:hAnsi="Times New Roman" w:hint="default"/>
        </w:rPr>
      </w:pPr>
      <w:r>
        <w:rPr>
          <w:rFonts w:ascii="Times New Roman" w:hAnsi="Times New Roman" w:hint="default"/>
          <w:rtl w:val="0"/>
        </w:rPr>
        <w:t>≥</w:t>
      </w:r>
      <w:r>
        <w:rPr>
          <w:rFonts w:ascii="Times New Roman" w:hAnsi="Times New Roman"/>
          <w:rtl w:val="0"/>
          <w:lang w:val="en-US"/>
        </w:rPr>
        <w:t xml:space="preserve">100,000 CFU/mL (single uropathogen) </w:t>
      </w:r>
      <w:r>
        <w:rPr>
          <w:rFonts w:ascii="Times New Roman" w:hAnsi="Times New Roman" w:hint="default"/>
          <w:rtl w:val="0"/>
        </w:rPr>
        <w:t xml:space="preserve">→ </w:t>
      </w:r>
      <w:r>
        <w:rPr>
          <w:rFonts w:ascii="Times New Roman" w:hAnsi="Times New Roman"/>
          <w:rtl w:val="0"/>
          <w:lang w:val="en-US"/>
        </w:rPr>
        <w:t>Treat as asymptomatic bacteriuria (ASB).</w:t>
      </w:r>
    </w:p>
    <w:p>
      <w:pPr>
        <w:pStyle w:val="Default"/>
        <w:numPr>
          <w:ilvl w:val="1"/>
          <w:numId w:val="7"/>
        </w:numPr>
        <w:suppressAutoHyphens w:val="1"/>
        <w:spacing w:before="0" w:after="240" w:line="240" w:lineRule="auto"/>
        <w:jc w:val="left"/>
        <w:rPr>
          <w:rFonts w:ascii="Times New Roman" w:hAnsi="Times New Roman" w:hint="default"/>
        </w:rPr>
      </w:pPr>
      <w:r>
        <w:rPr>
          <w:rFonts w:ascii="Times New Roman" w:hAnsi="Times New Roman" w:hint="default"/>
          <w:rtl w:val="0"/>
        </w:rPr>
        <w:t>≥</w:t>
      </w:r>
      <w:r>
        <w:rPr>
          <w:rFonts w:ascii="Times New Roman" w:hAnsi="Times New Roman"/>
          <w:rtl w:val="0"/>
          <w:lang w:val="en-US"/>
        </w:rPr>
        <w:t xml:space="preserve">10,000 CFU/mL Group B Strep (GBS) </w:t>
      </w:r>
      <w:r>
        <w:rPr>
          <w:rFonts w:ascii="Times New Roman" w:hAnsi="Times New Roman" w:hint="default"/>
          <w:rtl w:val="0"/>
        </w:rPr>
        <w:t xml:space="preserve">→ </w:t>
      </w:r>
      <w:r>
        <w:rPr>
          <w:rFonts w:ascii="Times New Roman" w:hAnsi="Times New Roman"/>
          <w:rtl w:val="0"/>
          <w:lang w:val="en-US"/>
        </w:rPr>
        <w:t>Treat and flag for intrapartum prophylaxis.</w:t>
      </w:r>
    </w:p>
    <w:p>
      <w:pPr>
        <w:pStyle w:val="Default"/>
        <w:numPr>
          <w:ilvl w:val="1"/>
          <w:numId w:val="7"/>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&lt;100,000 CFU/mL and asymptomatic </w:t>
      </w:r>
      <w:r>
        <w:rPr>
          <w:rFonts w:ascii="Times New Roman" w:hAnsi="Times New Roman" w:hint="default"/>
          <w:rtl w:val="0"/>
        </w:rPr>
        <w:t xml:space="preserve">→ </w:t>
      </w:r>
      <w:r>
        <w:rPr>
          <w:rFonts w:ascii="Times New Roman" w:hAnsi="Times New Roman"/>
          <w:rtl w:val="0"/>
          <w:lang w:val="en-US"/>
        </w:rPr>
        <w:t>No treatment.</w:t>
      </w:r>
    </w:p>
    <w:p>
      <w:pPr>
        <w:pStyle w:val="Default"/>
        <w:numPr>
          <w:ilvl w:val="0"/>
          <w:numId w:val="6"/>
        </w:numPr>
        <w:suppressAutoHyphens w:val="1"/>
        <w:spacing w:before="0" w:after="240" w:line="240" w:lineRule="auto"/>
        <w:jc w:val="left"/>
        <w:rPr>
          <w:rFonts w:ascii="Times New Roman" w:hAnsi="Times New Roman"/>
          <w:lang w:val="en-US"/>
        </w:rPr>
      </w:pPr>
      <w:r>
        <w:rPr>
          <w:rFonts w:ascii="Times New Roman" w:hAnsi="Times New Roman"/>
          <w:rtl w:val="0"/>
          <w:lang w:val="en-US"/>
        </w:rPr>
        <w:t>Treatment &amp; Follow-up:</w:t>
      </w:r>
    </w:p>
    <w:p>
      <w:pPr>
        <w:pStyle w:val="Default"/>
        <w:numPr>
          <w:ilvl w:val="1"/>
          <w:numId w:val="7"/>
        </w:numPr>
        <w:suppressAutoHyphens w:val="1"/>
        <w:spacing w:before="0" w:after="240" w:line="240" w:lineRule="auto"/>
        <w:jc w:val="left"/>
        <w:rPr>
          <w:rFonts w:ascii="Times New Roman" w:hAnsi="Times New Roman"/>
          <w:lang w:val="en-US"/>
        </w:rPr>
      </w:pPr>
      <w:r>
        <w:rPr>
          <w:rFonts w:ascii="Times New Roman" w:hAnsi="Times New Roman"/>
          <w:rtl w:val="0"/>
          <w:lang w:val="en-US"/>
        </w:rPr>
        <w:t>Choose antibiotics by gestational age (see below).</w:t>
      </w:r>
    </w:p>
    <w:p>
      <w:pPr>
        <w:pStyle w:val="Default"/>
        <w:numPr>
          <w:ilvl w:val="1"/>
          <w:numId w:val="7"/>
        </w:numPr>
        <w:suppressAutoHyphens w:val="1"/>
        <w:spacing w:before="0" w:after="240" w:line="240" w:lineRule="auto"/>
        <w:jc w:val="left"/>
        <w:rPr>
          <w:rFonts w:ascii="Times New Roman" w:hAnsi="Times New Roman"/>
          <w:lang w:val="en-US"/>
        </w:rPr>
      </w:pPr>
      <w:r>
        <w:rPr>
          <w:rFonts w:ascii="Times New Roman" w:hAnsi="Times New Roman"/>
          <w:rtl w:val="0"/>
          <w:lang w:val="en-US"/>
        </w:rPr>
        <w:t>Perform test-of-cure urine culture 1</w:t>
      </w:r>
      <w:r>
        <w:rPr>
          <w:rFonts w:ascii="Times New Roman" w:hAnsi="Times New Roman" w:hint="default"/>
          <w:rtl w:val="0"/>
        </w:rPr>
        <w:t>–</w:t>
      </w:r>
      <w:r>
        <w:rPr>
          <w:rFonts w:ascii="Times New Roman" w:hAnsi="Times New Roman"/>
          <w:rtl w:val="0"/>
          <w:lang w:val="en-US"/>
        </w:rPr>
        <w:t>2 weeks after therapy.</w:t>
      </w:r>
    </w:p>
    <w:p>
      <w:pPr>
        <w:pStyle w:val="Default"/>
        <w:numPr>
          <w:ilvl w:val="1"/>
          <w:numId w:val="7"/>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If persistent bacteriuria </w:t>
      </w:r>
      <w:r>
        <w:rPr>
          <w:rFonts w:ascii="Times New Roman" w:hAnsi="Times New Roman" w:hint="default"/>
          <w:rtl w:val="0"/>
        </w:rPr>
        <w:t xml:space="preserve">→ </w:t>
      </w:r>
      <w:r>
        <w:rPr>
          <w:rFonts w:ascii="Times New Roman" w:hAnsi="Times New Roman"/>
          <w:rtl w:val="0"/>
          <w:lang w:val="en-US"/>
        </w:rPr>
        <w:t>re-treat with different agent for 10</w:t>
      </w:r>
      <w:r>
        <w:rPr>
          <w:rFonts w:ascii="Times New Roman" w:hAnsi="Times New Roman" w:hint="default"/>
          <w:rtl w:val="0"/>
        </w:rPr>
        <w:t>–</w:t>
      </w:r>
      <w:r>
        <w:rPr>
          <w:rFonts w:ascii="Times New Roman" w:hAnsi="Times New Roman"/>
          <w:rtl w:val="0"/>
          <w:lang w:val="en-US"/>
        </w:rPr>
        <w:t>14 days; repeat culture.</w:t>
      </w:r>
    </w:p>
    <w:p>
      <w:pPr>
        <w:pStyle w:val="Default"/>
        <w:numPr>
          <w:ilvl w:val="1"/>
          <w:numId w:val="7"/>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If </w:t>
      </w:r>
      <w:r>
        <w:rPr>
          <w:rFonts w:ascii="Times New Roman" w:hAnsi="Times New Roman" w:hint="default"/>
          <w:rtl w:val="0"/>
        </w:rPr>
        <w:t>≥</w:t>
      </w:r>
      <w:r>
        <w:rPr>
          <w:rFonts w:ascii="Times New Roman" w:hAnsi="Times New Roman"/>
          <w:rtl w:val="0"/>
          <w:lang w:val="fr-FR"/>
        </w:rPr>
        <w:t xml:space="preserve">2 ASB episodes </w:t>
      </w:r>
      <w:r>
        <w:rPr>
          <w:rFonts w:ascii="Times New Roman" w:hAnsi="Times New Roman" w:hint="default"/>
          <w:rtl w:val="0"/>
        </w:rPr>
        <w:t xml:space="preserve">→ </w:t>
      </w:r>
      <w:r>
        <w:rPr>
          <w:rFonts w:ascii="Times New Roman" w:hAnsi="Times New Roman"/>
          <w:rtl w:val="0"/>
          <w:lang w:val="en-US"/>
        </w:rPr>
        <w:t>enter Recurrent Pathway (Section 4).</w:t>
      </w:r>
    </w:p>
    <w:p>
      <w:pPr>
        <w:pStyle w:val="Default"/>
        <w:suppressAutoHyphens w:val="1"/>
        <w:spacing w:before="0" w:after="298" w:line="240" w:lineRule="auto"/>
        <w:jc w:val="left"/>
        <w:rPr>
          <w:rFonts w:ascii="Times New Roman" w:cs="Times New Roman" w:hAnsi="Times New Roman" w:eastAsia="Times New Roman"/>
          <w:b w:val="1"/>
          <w:bCs w:val="1"/>
        </w:rPr>
      </w:pPr>
      <w:r>
        <w:rPr>
          <w:rFonts w:ascii="Times New Roman" w:hAnsi="Times New Roman"/>
          <w:b w:val="1"/>
          <w:bCs w:val="1"/>
          <w:rtl w:val="0"/>
        </w:rPr>
        <w:t>2</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ascii="Times New Roman" w:hAnsi="Times New Roman"/>
          <w:b w:val="1"/>
          <w:bCs w:val="1"/>
          <w:rtl w:val="0"/>
        </w:rPr>
        <w:t xml:space="preserve"> </w:t>
      </w:r>
      <w:r>
        <w:rPr>
          <w:rFonts w:ascii="Times New Roman" w:hAnsi="Times New Roman"/>
          <w:b w:val="1"/>
          <w:bCs w:val="1"/>
          <w:rtl w:val="0"/>
          <w:lang w:val="en-US"/>
        </w:rPr>
        <w:t>Symptomatic Pathway (Cystitis; no alarm symptoms</w:t>
      </w:r>
    </w:p>
    <w:p>
      <w:pPr>
        <w:pStyle w:val="Default"/>
        <w:numPr>
          <w:ilvl w:val="0"/>
          <w:numId w:val="8"/>
        </w:numPr>
        <w:suppressAutoHyphens w:val="1"/>
        <w:spacing w:before="0" w:after="240" w:line="240" w:lineRule="auto"/>
        <w:jc w:val="left"/>
        <w:rPr>
          <w:rFonts w:ascii="Times New Roman" w:hAnsi="Times New Roman"/>
          <w:lang w:val="en-US"/>
        </w:rPr>
      </w:pPr>
      <w:r>
        <w:rPr>
          <w:rFonts w:ascii="Times New Roman" w:hAnsi="Times New Roman"/>
          <w:rtl w:val="0"/>
          <w:lang w:val="en-US"/>
        </w:rPr>
        <w:t>Initial testing:</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Obtain urinalysis with microscopy and urine culture (before antibiotics, if possible).</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Interpret UA results </w:t>
      </w:r>
      <w:r>
        <w:rPr>
          <w:rFonts w:ascii="Times New Roman" w:hAnsi="Times New Roman" w:hint="default"/>
          <w:rtl w:val="0"/>
        </w:rPr>
        <w:t xml:space="preserve">– </w:t>
      </w:r>
      <w:r>
        <w:rPr>
          <w:rFonts w:ascii="Times New Roman" w:hAnsi="Times New Roman"/>
          <w:rtl w:val="0"/>
          <w:lang w:val="en-US"/>
        </w:rPr>
        <w:t>Does UA support infection?</w:t>
      </w:r>
    </w:p>
    <w:p>
      <w:pPr>
        <w:pStyle w:val="Default"/>
        <w:numPr>
          <w:ilvl w:val="1"/>
          <w:numId w:val="2"/>
        </w:numPr>
        <w:suppressAutoHyphens w:val="1"/>
        <w:spacing w:before="0" w:after="240" w:line="240" w:lineRule="auto"/>
        <w:jc w:val="left"/>
        <w:rPr>
          <w:rFonts w:ascii="Times New Roman" w:hAnsi="Times New Roman" w:hint="default"/>
          <w:lang w:val="ar-SA" w:bidi="ar-SA"/>
        </w:rPr>
      </w:pPr>
      <w:r>
        <w:rPr>
          <w:rFonts w:ascii="Times New Roman" w:hAnsi="Times New Roman" w:hint="default"/>
          <w:rtl w:val="1"/>
          <w:lang w:val="ar-SA" w:bidi="ar-SA"/>
        </w:rPr>
        <w:t>“</w:t>
      </w:r>
      <w:r>
        <w:rPr>
          <w:rFonts w:ascii="Times New Roman" w:hAnsi="Times New Roman"/>
          <w:rtl w:val="0"/>
          <w:lang w:val="it-IT"/>
        </w:rPr>
        <w:t>Supportive UA</w:t>
      </w:r>
      <w:r>
        <w:rPr>
          <w:rFonts w:ascii="Times New Roman" w:hAnsi="Times New Roman" w:hint="default"/>
          <w:rtl w:val="0"/>
        </w:rPr>
        <w:t xml:space="preserve">” </w:t>
      </w:r>
      <w:r>
        <w:rPr>
          <w:rFonts w:ascii="Times New Roman" w:hAnsi="Times New Roman"/>
          <w:rtl w:val="0"/>
          <w:lang w:val="en-US"/>
        </w:rPr>
        <w:t>is defined by any of the following:</w:t>
      </w:r>
    </w:p>
    <w:p>
      <w:pPr>
        <w:pStyle w:val="Default"/>
        <w:numPr>
          <w:ilvl w:val="2"/>
          <w:numId w:val="2"/>
        </w:numPr>
        <w:suppressAutoHyphens w:val="1"/>
        <w:spacing w:before="0" w:after="240" w:line="240" w:lineRule="auto"/>
        <w:jc w:val="left"/>
        <w:rPr>
          <w:rFonts w:ascii="Times New Roman" w:hAnsi="Times New Roman"/>
          <w:lang w:val="fr-FR"/>
        </w:rPr>
      </w:pPr>
      <w:r>
        <w:rPr>
          <w:rFonts w:ascii="Times New Roman" w:hAnsi="Times New Roman"/>
          <w:rtl w:val="0"/>
          <w:lang w:val="fr-FR"/>
        </w:rPr>
        <w:t>Positive leukocyte esterase</w:t>
      </w:r>
    </w:p>
    <w:p>
      <w:pPr>
        <w:pStyle w:val="Default"/>
        <w:numPr>
          <w:ilvl w:val="2"/>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Presence of pyuria (&gt;5 WBC/hpf)</w:t>
      </w:r>
    </w:p>
    <w:p>
      <w:pPr>
        <w:pStyle w:val="Default"/>
        <w:numPr>
          <w:ilvl w:val="2"/>
          <w:numId w:val="2"/>
        </w:numPr>
        <w:suppressAutoHyphens w:val="1"/>
        <w:spacing w:before="0" w:after="240" w:line="240" w:lineRule="auto"/>
        <w:jc w:val="left"/>
        <w:rPr>
          <w:rFonts w:ascii="Times New Roman" w:hAnsi="Times New Roman"/>
        </w:rPr>
      </w:pPr>
      <w:r>
        <w:rPr>
          <w:rFonts w:ascii="Times New Roman" w:hAnsi="Times New Roman"/>
          <w:rtl w:val="0"/>
        </w:rPr>
        <w:t>Positive nitrites</w:t>
      </w:r>
    </w:p>
    <w:p>
      <w:pPr>
        <w:pStyle w:val="Default"/>
        <w:numPr>
          <w:ilvl w:val="2"/>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Bacteriuria on microscopy</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If none of the above </w:t>
      </w:r>
      <w:r>
        <w:rPr>
          <w:rFonts w:ascii="Times New Roman" w:hAnsi="Times New Roman" w:hint="default"/>
          <w:rtl w:val="0"/>
        </w:rPr>
        <w:t xml:space="preserve">→ </w:t>
      </w:r>
      <w:r>
        <w:rPr>
          <w:rFonts w:ascii="Times New Roman" w:hAnsi="Times New Roman"/>
          <w:rtl w:val="0"/>
          <w:lang w:val="en-US"/>
        </w:rPr>
        <w:t>still await culture but consider alternate diagnoses (e.g. vaginitis, STI).</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Start empiric antibiotic therapy once UA supports infection (do not wait for culture results).</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Culture interpretation for symptomatic patients:</w:t>
      </w:r>
    </w:p>
    <w:p>
      <w:pPr>
        <w:pStyle w:val="Default"/>
        <w:numPr>
          <w:ilvl w:val="1"/>
          <w:numId w:val="2"/>
        </w:numPr>
        <w:suppressAutoHyphens w:val="1"/>
        <w:spacing w:before="0" w:after="240" w:line="240" w:lineRule="auto"/>
        <w:jc w:val="left"/>
        <w:rPr>
          <w:rFonts w:ascii="Times New Roman" w:hAnsi="Times New Roman" w:hint="default"/>
        </w:rPr>
      </w:pPr>
      <w:r>
        <w:rPr>
          <w:rFonts w:ascii="Times New Roman" w:hAnsi="Times New Roman" w:hint="default"/>
          <w:rtl w:val="0"/>
        </w:rPr>
        <w:t>≥</w:t>
      </w:r>
      <w:r>
        <w:rPr>
          <w:rFonts w:ascii="Times New Roman" w:hAnsi="Times New Roman"/>
          <w:rtl w:val="0"/>
          <w:lang w:val="en-US"/>
        </w:rPr>
        <w:t>100 CFU/mL of a uropathogen (e.g., E. coli, Klebsiella, Proteus, GBS) confirms infection.</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Negative culture or mixed flora </w:t>
      </w:r>
      <w:r>
        <w:rPr>
          <w:rFonts w:ascii="Times New Roman" w:hAnsi="Times New Roman" w:hint="default"/>
          <w:rtl w:val="0"/>
        </w:rPr>
        <w:t xml:space="preserve">→ </w:t>
      </w:r>
      <w:r>
        <w:rPr>
          <w:rFonts w:ascii="Times New Roman" w:hAnsi="Times New Roman"/>
          <w:rtl w:val="0"/>
          <w:lang w:val="en-US"/>
        </w:rPr>
        <w:t>re-evaluate for other causes of dysuria.</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Therapy selection:</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Choose empiric antibiotic based on gestational age (see below).</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Adjust regimen once culture and sensitivities return.</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Counseling:</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Emphasize completing the full course and UTI prevention strategies (hydration, void after intercourse, avoid spermicides).</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Follow-up:</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Reassess in 48</w:t>
      </w:r>
      <w:r>
        <w:rPr>
          <w:rFonts w:ascii="Times New Roman" w:hAnsi="Times New Roman" w:hint="default"/>
          <w:rtl w:val="0"/>
        </w:rPr>
        <w:t>–</w:t>
      </w:r>
      <w:r>
        <w:rPr>
          <w:rFonts w:ascii="Times New Roman" w:hAnsi="Times New Roman"/>
          <w:rtl w:val="0"/>
          <w:lang w:val="en-US"/>
        </w:rPr>
        <w:t>72 hours:</w:t>
      </w:r>
    </w:p>
    <w:p>
      <w:pPr>
        <w:pStyle w:val="Default"/>
        <w:numPr>
          <w:ilvl w:val="2"/>
          <w:numId w:val="2"/>
        </w:numPr>
        <w:suppressAutoHyphens w:val="1"/>
        <w:spacing w:before="0" w:after="240" w:line="240" w:lineRule="auto"/>
        <w:jc w:val="left"/>
        <w:rPr>
          <w:rFonts w:ascii="Times New Roman" w:hAnsi="Times New Roman" w:hint="default"/>
        </w:rPr>
      </w:pPr>
      <w:r>
        <w:rPr>
          <w:rFonts w:ascii="Arial Unicode MS" w:cs="Arial Unicode MS" w:hAnsi="Arial Unicode MS" w:eastAsia="Arial Unicode MS" w:hint="default"/>
          <w:b w:val="0"/>
          <w:bCs w:val="0"/>
          <w:i w:val="0"/>
          <w:iCs w:val="0"/>
          <w:rtl w:val="0"/>
        </w:rPr>
        <w:t>✅</w:t>
      </w:r>
      <w:r>
        <w:rPr>
          <w:rFonts w:ascii="Times New Roman" w:hAnsi="Times New Roman"/>
          <w:rtl w:val="0"/>
        </w:rPr>
        <w:t xml:space="preserve"> </w:t>
      </w:r>
      <w:r>
        <w:rPr>
          <w:rFonts w:ascii="Times New Roman" w:hAnsi="Times New Roman"/>
          <w:rtl w:val="0"/>
        </w:rPr>
        <w:t xml:space="preserve">Improving </w:t>
      </w:r>
      <w:r>
        <w:rPr>
          <w:rFonts w:ascii="Times New Roman" w:hAnsi="Times New Roman" w:hint="default"/>
          <w:rtl w:val="0"/>
        </w:rPr>
        <w:t xml:space="preserve">→ </w:t>
      </w:r>
      <w:r>
        <w:rPr>
          <w:rFonts w:ascii="Times New Roman" w:hAnsi="Times New Roman"/>
          <w:rtl w:val="0"/>
          <w:lang w:val="en-US"/>
        </w:rPr>
        <w:t>Continue therapy; obtain test-of-cure culture 1</w:t>
      </w:r>
      <w:r>
        <w:rPr>
          <w:rFonts w:ascii="Times New Roman" w:hAnsi="Times New Roman" w:hint="default"/>
          <w:rtl w:val="0"/>
        </w:rPr>
        <w:t>–</w:t>
      </w:r>
      <w:r>
        <w:rPr>
          <w:rFonts w:ascii="Times New Roman" w:hAnsi="Times New Roman"/>
          <w:rtl w:val="0"/>
          <w:lang w:val="en-US"/>
        </w:rPr>
        <w:t>2 weeks post-treatment.</w:t>
      </w:r>
    </w:p>
    <w:p>
      <w:pPr>
        <w:pStyle w:val="Default"/>
        <w:numPr>
          <w:ilvl w:val="2"/>
          <w:numId w:val="2"/>
        </w:numPr>
        <w:suppressAutoHyphens w:val="1"/>
        <w:spacing w:before="0" w:after="240" w:line="240" w:lineRule="auto"/>
        <w:jc w:val="left"/>
        <w:rPr>
          <w:rFonts w:eastAsia="Arial Unicode MS" w:hint="eastAsia"/>
        </w:rPr>
      </w:pPr>
      <w:r>
        <w:rPr>
          <w:rFonts w:ascii="Arial Unicode MS" w:cs="Arial Unicode MS" w:hAnsi="Arial Unicode MS" w:eastAsia="Arial Unicode MS" w:hint="eastAsia"/>
          <w:b w:val="0"/>
          <w:bCs w:val="0"/>
          <w:i w:val="0"/>
          <w:iCs w:val="0"/>
          <w:rtl w:val="0"/>
        </w:rPr>
        <w:t>🚫</w:t>
      </w:r>
      <w:r>
        <w:rPr>
          <w:rFonts w:ascii="Times New Roman" w:hAnsi="Times New Roman"/>
          <w:rtl w:val="0"/>
        </w:rPr>
        <w:t xml:space="preserve"> </w:t>
      </w:r>
      <w:r>
        <w:rPr>
          <w:rFonts w:ascii="Times New Roman" w:hAnsi="Times New Roman"/>
          <w:rtl w:val="0"/>
          <w:lang w:val="en-US"/>
        </w:rPr>
        <w:t xml:space="preserve">No improvement or worsening (fever/flank pain) </w:t>
      </w:r>
      <w:r>
        <w:rPr>
          <w:rFonts w:ascii="Times New Roman" w:hAnsi="Times New Roman" w:hint="default"/>
          <w:rtl w:val="0"/>
        </w:rPr>
        <w:t xml:space="preserve">→ </w:t>
      </w:r>
      <w:r>
        <w:rPr>
          <w:rFonts w:ascii="Times New Roman" w:hAnsi="Times New Roman"/>
          <w:rtl w:val="0"/>
        </w:rPr>
        <w:t xml:space="preserve">Trigger Alarm Symptom Override </w:t>
      </w:r>
      <w:r>
        <w:rPr>
          <w:rFonts w:ascii="Times New Roman" w:hAnsi="Times New Roman" w:hint="default"/>
          <w:rtl w:val="0"/>
        </w:rPr>
        <w:t xml:space="preserve">→ </w:t>
      </w:r>
      <w:r>
        <w:rPr>
          <w:rFonts w:ascii="Times New Roman" w:hAnsi="Times New Roman"/>
          <w:rtl w:val="0"/>
          <w:lang w:val="fr-FR"/>
        </w:rPr>
        <w:t>Section 3.</w:t>
      </w:r>
    </w:p>
    <w:p>
      <w:pPr>
        <w:pStyle w:val="Default"/>
        <w:suppressAutoHyphens w:val="1"/>
        <w:spacing w:before="0" w:after="298" w:line="240" w:lineRule="auto"/>
        <w:jc w:val="left"/>
        <w:rPr>
          <w:rFonts w:ascii="Times New Roman" w:cs="Times New Roman" w:hAnsi="Times New Roman" w:eastAsia="Times New Roman"/>
          <w:b w:val="1"/>
          <w:bCs w:val="1"/>
        </w:rPr>
      </w:pPr>
      <w:r>
        <w:rPr>
          <w:rFonts w:ascii="Times New Roman" w:hAnsi="Times New Roman"/>
          <w:b w:val="1"/>
          <w:bCs w:val="1"/>
          <w:rtl w:val="0"/>
        </w:rPr>
        <w:t>3</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ascii="Times New Roman" w:hAnsi="Times New Roman"/>
          <w:b w:val="1"/>
          <w:bCs w:val="1"/>
          <w:rtl w:val="0"/>
        </w:rPr>
        <w:t xml:space="preserve"> </w:t>
      </w:r>
      <w:r>
        <w:rPr>
          <w:rFonts w:ascii="Times New Roman" w:hAnsi="Times New Roman"/>
          <w:b w:val="1"/>
          <w:bCs w:val="1"/>
          <w:rtl w:val="0"/>
          <w:lang w:val="en-US"/>
        </w:rPr>
        <w:t>Alarm Symptom / Pyelonephritis Pathway</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rPr>
        <w:t>(Any Trimester)</w:t>
      </w:r>
    </w:p>
    <w:p>
      <w:pPr>
        <w:pStyle w:val="Default"/>
        <w:numPr>
          <w:ilvl w:val="0"/>
          <w:numId w:val="9"/>
        </w:numPr>
        <w:suppressAutoHyphens w:val="1"/>
        <w:spacing w:before="0" w:after="240" w:line="240" w:lineRule="auto"/>
        <w:jc w:val="left"/>
        <w:rPr>
          <w:rFonts w:ascii="Times New Roman" w:hAnsi="Times New Roman"/>
          <w:lang w:val="en-US"/>
        </w:rPr>
      </w:pPr>
      <w:r>
        <w:rPr>
          <w:rFonts w:ascii="Times New Roman" w:hAnsi="Times New Roman"/>
          <w:rtl w:val="0"/>
          <w:lang w:val="en-US"/>
        </w:rPr>
        <w:t>Immediate management:</w:t>
      </w:r>
    </w:p>
    <w:p>
      <w:pPr>
        <w:pStyle w:val="Default"/>
        <w:numPr>
          <w:ilvl w:val="1"/>
          <w:numId w:val="2"/>
        </w:numPr>
        <w:suppressAutoHyphens w:val="1"/>
        <w:spacing w:before="0" w:after="240" w:line="240" w:lineRule="auto"/>
        <w:jc w:val="left"/>
        <w:rPr>
          <w:rFonts w:ascii="Times New Roman" w:hAnsi="Times New Roman"/>
        </w:rPr>
      </w:pPr>
      <w:r>
        <w:rPr>
          <w:rFonts w:ascii="Times New Roman" w:hAnsi="Times New Roman"/>
          <w:rtl w:val="0"/>
        </w:rPr>
        <w:t>Admit inpatient.</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 xml:space="preserve">Obtain: Urine and blood cultures, CBC, BMP, </w:t>
      </w:r>
      <w:r>
        <w:rPr>
          <w:rFonts w:ascii="Times New Roman" w:hAnsi="Times New Roman" w:hint="default"/>
          <w:rtl w:val="1"/>
        </w:rPr>
        <w:t xml:space="preserve">± </w:t>
      </w:r>
      <w:r>
        <w:rPr>
          <w:rFonts w:ascii="Times New Roman" w:hAnsi="Times New Roman"/>
          <w:rtl w:val="0"/>
          <w:lang w:val="es-ES_tradnl"/>
        </w:rPr>
        <w:t>lactate.</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Start IV antibiotics:</w:t>
      </w:r>
    </w:p>
    <w:p>
      <w:pPr>
        <w:pStyle w:val="Default"/>
        <w:numPr>
          <w:ilvl w:val="2"/>
          <w:numId w:val="2"/>
        </w:numPr>
        <w:suppressAutoHyphens w:val="1"/>
        <w:spacing w:before="0" w:after="240" w:line="240" w:lineRule="auto"/>
        <w:jc w:val="left"/>
        <w:rPr>
          <w:rFonts w:ascii="Times New Roman" w:hAnsi="Times New Roman"/>
          <w:lang w:val="de-DE"/>
        </w:rPr>
      </w:pPr>
      <w:r>
        <w:rPr>
          <w:rFonts w:ascii="Times New Roman" w:hAnsi="Times New Roman"/>
          <w:rtl w:val="0"/>
          <w:lang w:val="de-DE"/>
        </w:rPr>
        <w:t>Typical: Ceftriaxone 1 g IV q24h</w:t>
      </w:r>
    </w:p>
    <w:p>
      <w:pPr>
        <w:pStyle w:val="Default"/>
        <w:numPr>
          <w:ilvl w:val="2"/>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Alternatives for allergy: Aztreonam 1 g IV q8h or Ampicillin + Gentamicin (if Enterococcus suspected).</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Supportive &amp; obstetric care:</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IV fluids (avoid overload); acetaminophen for fever.</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Monitor for contractions and fetal well-being.</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If persistent fever &gt;48</w:t>
      </w:r>
      <w:r>
        <w:rPr>
          <w:rFonts w:ascii="Times New Roman" w:hAnsi="Times New Roman" w:hint="default"/>
          <w:rtl w:val="0"/>
        </w:rPr>
        <w:t>–</w:t>
      </w:r>
      <w:r>
        <w:rPr>
          <w:rFonts w:ascii="Times New Roman" w:hAnsi="Times New Roman"/>
          <w:rtl w:val="0"/>
        </w:rPr>
        <w:t xml:space="preserve">72 h </w:t>
      </w:r>
      <w:r>
        <w:rPr>
          <w:rFonts w:ascii="Times New Roman" w:hAnsi="Times New Roman" w:hint="default"/>
          <w:rtl w:val="0"/>
        </w:rPr>
        <w:t xml:space="preserve">→ </w:t>
      </w:r>
      <w:r>
        <w:rPr>
          <w:rFonts w:ascii="Times New Roman" w:hAnsi="Times New Roman"/>
          <w:rtl w:val="0"/>
          <w:lang w:val="en-US"/>
        </w:rPr>
        <w:t>renal ultrasound (rule out abscess/obstruction); broaden antibiotics and consult ID/Urology.</w:t>
      </w:r>
    </w:p>
    <w:p>
      <w:pPr>
        <w:pStyle w:val="Default"/>
        <w:numPr>
          <w:ilvl w:val="0"/>
          <w:numId w:val="5"/>
        </w:numPr>
        <w:suppressAutoHyphens w:val="1"/>
        <w:spacing w:before="0" w:after="240" w:line="240" w:lineRule="auto"/>
        <w:jc w:val="left"/>
        <w:rPr>
          <w:rFonts w:ascii="Times New Roman" w:hAnsi="Times New Roman"/>
          <w:lang w:val="en-US"/>
        </w:rPr>
      </w:pPr>
      <w:r>
        <w:rPr>
          <w:rFonts w:ascii="Times New Roman" w:hAnsi="Times New Roman"/>
          <w:rtl w:val="0"/>
          <w:lang w:val="en-US"/>
        </w:rPr>
        <w:t>Transition &amp; follow-up:</w:t>
      </w:r>
    </w:p>
    <w:p>
      <w:pPr>
        <w:pStyle w:val="Default"/>
        <w:numPr>
          <w:ilvl w:val="1"/>
          <w:numId w:val="2"/>
        </w:numPr>
        <w:suppressAutoHyphens w:val="1"/>
        <w:spacing w:before="0" w:after="240" w:line="240" w:lineRule="auto"/>
        <w:jc w:val="left"/>
        <w:rPr>
          <w:rFonts w:ascii="Times New Roman" w:hAnsi="Times New Roman"/>
        </w:rPr>
      </w:pPr>
      <w:r>
        <w:rPr>
          <w:rFonts w:ascii="Times New Roman" w:hAnsi="Times New Roman"/>
          <w:rtl w:val="0"/>
        </w:rPr>
        <w:t xml:space="preserve">Once afebrile </w:t>
      </w:r>
      <w:r>
        <w:rPr>
          <w:rFonts w:ascii="Times New Roman" w:hAnsi="Times New Roman" w:hint="default"/>
          <w:rtl w:val="0"/>
        </w:rPr>
        <w:t>≥</w:t>
      </w:r>
      <w:r>
        <w:rPr>
          <w:rFonts w:ascii="Times New Roman" w:hAnsi="Times New Roman"/>
          <w:rtl w:val="0"/>
        </w:rPr>
        <w:t>24</w:t>
      </w:r>
      <w:r>
        <w:rPr>
          <w:rFonts w:ascii="Times New Roman" w:hAnsi="Times New Roman" w:hint="default"/>
          <w:rtl w:val="0"/>
        </w:rPr>
        <w:t>–</w:t>
      </w:r>
      <w:r>
        <w:rPr>
          <w:rFonts w:ascii="Times New Roman" w:hAnsi="Times New Roman"/>
          <w:rtl w:val="0"/>
        </w:rPr>
        <w:t xml:space="preserve">48 h </w:t>
      </w:r>
      <w:r>
        <w:rPr>
          <w:rFonts w:ascii="Times New Roman" w:hAnsi="Times New Roman" w:hint="default"/>
          <w:rtl w:val="0"/>
        </w:rPr>
        <w:t xml:space="preserve">→ </w:t>
      </w:r>
      <w:r>
        <w:rPr>
          <w:rFonts w:ascii="Times New Roman" w:hAnsi="Times New Roman"/>
          <w:rtl w:val="0"/>
          <w:lang w:val="en-US"/>
        </w:rPr>
        <w:t>switch to oral agent (based on culture) and complete 10</w:t>
      </w:r>
      <w:r>
        <w:rPr>
          <w:rFonts w:ascii="Times New Roman" w:hAnsi="Times New Roman" w:hint="default"/>
          <w:rtl w:val="0"/>
        </w:rPr>
        <w:t>–</w:t>
      </w:r>
      <w:r>
        <w:rPr>
          <w:rFonts w:ascii="Times New Roman" w:hAnsi="Times New Roman"/>
          <w:rtl w:val="0"/>
          <w:lang w:val="en-US"/>
        </w:rPr>
        <w:t>14 days total therapy.</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Test-of-cure culture 1</w:t>
      </w:r>
      <w:r>
        <w:rPr>
          <w:rFonts w:ascii="Times New Roman" w:hAnsi="Times New Roman" w:hint="default"/>
          <w:rtl w:val="0"/>
        </w:rPr>
        <w:t>–</w:t>
      </w:r>
      <w:r>
        <w:rPr>
          <w:rFonts w:ascii="Times New Roman" w:hAnsi="Times New Roman"/>
          <w:rtl w:val="0"/>
          <w:lang w:val="en-US"/>
        </w:rPr>
        <w:t>2 weeks after completion.</w:t>
      </w:r>
    </w:p>
    <w:p>
      <w:pPr>
        <w:pStyle w:val="Default"/>
        <w:numPr>
          <w:ilvl w:val="1"/>
          <w:numId w:val="2"/>
        </w:numPr>
        <w:suppressAutoHyphens w:val="1"/>
        <w:spacing w:before="0" w:after="240" w:line="240" w:lineRule="auto"/>
        <w:jc w:val="left"/>
        <w:rPr>
          <w:rFonts w:ascii="Times New Roman" w:hAnsi="Times New Roman"/>
          <w:lang w:val="en-US"/>
        </w:rPr>
      </w:pPr>
      <w:r>
        <w:rPr>
          <w:rFonts w:ascii="Times New Roman" w:hAnsi="Times New Roman"/>
          <w:rtl w:val="0"/>
          <w:lang w:val="en-US"/>
        </w:rPr>
        <w:t>Begin nightly suppressive prophylaxis for the remainder of pregnancy (see below).</w:t>
      </w:r>
    </w:p>
    <w:p>
      <w:pPr>
        <w:pStyle w:val="Default"/>
        <w:suppressAutoHyphens w:val="1"/>
        <w:spacing w:before="0" w:after="298" w:line="240" w:lineRule="auto"/>
        <w:jc w:val="left"/>
        <w:rPr>
          <w:rFonts w:ascii="Times New Roman" w:cs="Times New Roman" w:hAnsi="Times New Roman" w:eastAsia="Times New Roman"/>
          <w:b w:val="1"/>
          <w:bCs w:val="1"/>
        </w:rPr>
      </w:pPr>
      <w:r>
        <w:rPr>
          <w:rFonts w:ascii="Times New Roman" w:hAnsi="Times New Roman"/>
          <w:b w:val="1"/>
          <w:bCs w:val="1"/>
          <w:rtl w:val="0"/>
        </w:rPr>
        <w:t>4</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ascii="Times New Roman" w:hAnsi="Times New Roman"/>
          <w:b w:val="1"/>
          <w:bCs w:val="1"/>
          <w:rtl w:val="0"/>
        </w:rPr>
        <w:t xml:space="preserve"> </w:t>
      </w:r>
      <w:r>
        <w:rPr>
          <w:rFonts w:ascii="Times New Roman" w:hAnsi="Times New Roman"/>
          <w:b w:val="1"/>
          <w:bCs w:val="1"/>
          <w:rtl w:val="0"/>
          <w:lang w:val="en-US"/>
        </w:rPr>
        <w:t>Recurrent / Suppressive Pathway</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 xml:space="preserve">Definition: </w:t>
      </w:r>
      <w:r>
        <w:rPr>
          <w:rFonts w:ascii="Times New Roman" w:hAnsi="Times New Roman" w:hint="default"/>
          <w:rtl w:val="0"/>
        </w:rPr>
        <w:t>≥</w:t>
      </w:r>
      <w:r>
        <w:rPr>
          <w:rFonts w:ascii="Times New Roman" w:hAnsi="Times New Roman"/>
          <w:rtl w:val="0"/>
          <w:lang w:val="en-US"/>
        </w:rPr>
        <w:t>2 culture-confirmed infections or any post-pyelonephritis case.</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Prophylactic antibiotics (until delivery):</w:t>
      </w:r>
      <w:r>
        <w:rPr>
          <w:rFonts w:ascii="Times New Roman" w:cs="Times New Roman" w:hAnsi="Times New Roman" w:eastAsia="Times New Roman"/>
        </w:rPr>
        <w:br w:type="textWrapping"/>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 xml:space="preserve">Nitrofurantoin 100 mg PO qHS (avoid </w:t>
      </w:r>
      <w:r>
        <w:rPr>
          <w:rFonts w:ascii="Times New Roman" w:hAnsi="Times New Roman" w:hint="default"/>
          <w:rtl w:val="0"/>
        </w:rPr>
        <w:t>≥</w:t>
      </w:r>
      <w:r>
        <w:rPr>
          <w:rFonts w:ascii="Times New Roman" w:hAnsi="Times New Roman"/>
          <w:rtl w:val="0"/>
          <w:lang w:val="en-US"/>
        </w:rPr>
        <w:t>38 wks or G6PD deficiency)</w:t>
      </w:r>
    </w:p>
    <w:p>
      <w:pPr>
        <w:pStyle w:val="Default"/>
        <w:numPr>
          <w:ilvl w:val="1"/>
          <w:numId w:val="3"/>
        </w:numPr>
        <w:suppressAutoHyphens w:val="1"/>
        <w:spacing w:before="0" w:after="240" w:line="240" w:lineRule="auto"/>
        <w:jc w:val="left"/>
        <w:rPr>
          <w:rFonts w:ascii="Times New Roman" w:hAnsi="Times New Roman"/>
        </w:rPr>
      </w:pPr>
      <w:r>
        <w:rPr>
          <w:rFonts w:ascii="Times New Roman" w:hAnsi="Times New Roman"/>
          <w:rtl w:val="0"/>
        </w:rPr>
        <w:t>Cephalexin 250</w:t>
      </w:r>
      <w:r>
        <w:rPr>
          <w:rFonts w:ascii="Times New Roman" w:hAnsi="Times New Roman" w:hint="default"/>
          <w:rtl w:val="0"/>
        </w:rPr>
        <w:t>–</w:t>
      </w:r>
      <w:r>
        <w:rPr>
          <w:rFonts w:ascii="Times New Roman" w:hAnsi="Times New Roman"/>
          <w:rtl w:val="0"/>
          <w:lang w:val="pt-PT"/>
        </w:rPr>
        <w:t>500 mg PO qHS</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Surveillance: Monthly or periodic cultures.</w:t>
      </w:r>
    </w:p>
    <w:p>
      <w:pPr>
        <w:pStyle w:val="Default"/>
        <w:numPr>
          <w:ilvl w:val="0"/>
          <w:numId w:val="3"/>
        </w:numPr>
        <w:suppressAutoHyphens w:val="1"/>
        <w:spacing w:before="0" w:after="240" w:line="240" w:lineRule="auto"/>
        <w:jc w:val="left"/>
        <w:rPr>
          <w:rFonts w:ascii="Times New Roman" w:hAnsi="Times New Roman"/>
          <w:lang w:val="en-US"/>
        </w:rPr>
      </w:pPr>
      <w:r>
        <w:rPr>
          <w:rFonts w:ascii="Times New Roman" w:hAnsi="Times New Roman"/>
          <w:rtl w:val="0"/>
          <w:lang w:val="en-US"/>
        </w:rPr>
        <w:t>Breakthrough infection: Treat per sensitivities, continue prophylaxis.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rPr>
      </w:pPr>
      <w:r>
        <w:rPr>
          <w:rFonts w:ascii="Arial Unicode MS" w:cs="Arial Unicode MS" w:hAnsi="Arial Unicode MS" w:eastAsia="Arial Unicode MS" w:hint="eastAsia"/>
          <w:b w:val="0"/>
          <w:bCs w:val="0"/>
          <w:i w:val="0"/>
          <w:iCs w:val="0"/>
          <w:rtl w:val="0"/>
        </w:rPr>
        <w:t>💊</w:t>
      </w:r>
      <w:r>
        <w:rPr>
          <w:rFonts w:ascii="Times New Roman" w:hAnsi="Times New Roman"/>
          <w:b w:val="1"/>
          <w:bCs w:val="1"/>
          <w:rtl w:val="0"/>
        </w:rPr>
        <w:t xml:space="preserve"> </w:t>
      </w:r>
      <w:r>
        <w:rPr>
          <w:rFonts w:ascii="Times New Roman" w:hAnsi="Times New Roman"/>
          <w:b w:val="1"/>
          <w:bCs w:val="1"/>
          <w:rtl w:val="0"/>
          <w:lang w:val="fr-FR"/>
        </w:rPr>
        <w:t>Antibiotic Selection by Gestational Ag</w:t>
      </w:r>
      <w:r>
        <w:rPr>
          <w:rFonts w:ascii="Times New Roman" w:hAnsi="Times New Roman"/>
          <w:b w:val="1"/>
          <w:bCs w:val="1"/>
          <w:rtl w:val="0"/>
          <w:lang w:val="en-US"/>
        </w:rPr>
        <w:t>e</w:t>
      </w:r>
    </w:p>
    <w:p>
      <w:pPr>
        <w:pStyle w:val="Default"/>
        <w:suppressAutoHyphens w:val="1"/>
        <w:spacing w:before="0" w:after="240" w:line="240" w:lineRule="auto"/>
        <w:jc w:val="left"/>
        <w:rPr>
          <w:rFonts w:ascii="Times New Roman" w:cs="Times New Roman" w:hAnsi="Times New Roman" w:eastAsia="Times New Roman"/>
        </w:rPr>
      </w:pPr>
      <w:r>
        <w:rPr>
          <w:rFonts w:ascii="Times New Roman" w:hAnsi="Times New Roman"/>
          <w:rtl w:val="0"/>
          <w:lang w:val="en-US"/>
        </w:rPr>
        <w:t>(Applies to both asymptomatic and symptomatic infections)</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41"/>
        <w:gridCol w:w="6086"/>
        <w:gridCol w:w="2632"/>
      </w:tblGrid>
      <w:tr>
        <w:tblPrEx>
          <w:shd w:val="clear" w:color="auto" w:fill="auto"/>
        </w:tblPrEx>
        <w:trPr>
          <w:trHeight w:val="597" w:hRule="atLeast"/>
        </w:trPr>
        <w:tc>
          <w:tcPr>
            <w:tcW w:type="dxa" w:w="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Trimester</w:t>
            </w:r>
          </w:p>
        </w:tc>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Preferred Options</w:t>
            </w:r>
          </w:p>
        </w:tc>
        <w:tc>
          <w:tcPr>
            <w:tcW w:type="dxa" w:w="26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New Roman" w:hAnsi="Times New Roman"/>
                <w:b w:val="1"/>
                <w:bCs w:val="1"/>
                <w:sz w:val="24"/>
                <w:szCs w:val="24"/>
              </w:rPr>
              <w:t>Cautions / Avoid</w:t>
            </w:r>
          </w:p>
        </w:tc>
      </w:tr>
      <w:tr>
        <w:tblPrEx>
          <w:shd w:val="clear" w:color="auto" w:fill="auto"/>
        </w:tblPrEx>
        <w:trPr>
          <w:trHeight w:val="597" w:hRule="atLeast"/>
        </w:trPr>
        <w:tc>
          <w:tcPr>
            <w:tcW w:type="dxa" w:w="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1st (0-13 wks)</w:t>
            </w:r>
          </w:p>
        </w:tc>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Cephalexin 500 mg PO QID x 7 days; Amox-Clav 875/125 mg BID x7 days; Nitrofurantoin 100 mg BID x7 days (if no alternative); Fosfomycin 3 g PO once (lower tract only)</w:t>
            </w:r>
          </w:p>
        </w:tc>
        <w:tc>
          <w:tcPr>
            <w:tcW w:type="dxa" w:w="26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Avoid TMP-SMX (folate antagonism)</w:t>
            </w:r>
          </w:p>
        </w:tc>
      </w:tr>
      <w:tr>
        <w:tblPrEx>
          <w:shd w:val="clear" w:color="auto" w:fill="auto"/>
        </w:tblPrEx>
        <w:trPr>
          <w:trHeight w:val="897" w:hRule="atLeast"/>
        </w:trPr>
        <w:tc>
          <w:tcPr>
            <w:tcW w:type="dxa" w:w="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2nd (14-27 wks)</w:t>
            </w:r>
          </w:p>
        </w:tc>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Nitrofurantoin 100 mg BID x7 days; Cephalexin 500 mg QID x7 days; Amox-Clav 875/125 mg BID x7 days; TMP-SMX 160/800 mg BID x3 days (if needed)</w:t>
            </w:r>
          </w:p>
        </w:tc>
        <w:tc>
          <w:tcPr>
            <w:tcW w:type="dxa" w:w="26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Avoid quinolones &amp; tetracyclines</w:t>
            </w:r>
          </w:p>
        </w:tc>
      </w:tr>
      <w:tr>
        <w:tblPrEx>
          <w:shd w:val="clear" w:color="auto" w:fill="auto"/>
        </w:tblPrEx>
        <w:trPr>
          <w:trHeight w:val="597" w:hRule="atLeast"/>
        </w:trPr>
        <w:tc>
          <w:tcPr>
            <w:tcW w:type="dxa" w:w="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3rd (28 wks +)</w:t>
            </w:r>
          </w:p>
        </w:tc>
        <w:tc>
          <w:tcPr>
            <w:tcW w:type="dxa" w:w="60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Cephalexin or Amox-Clav preferred; Nitrofurantoin OK 36-37 wks</w:t>
            </w:r>
          </w:p>
        </w:tc>
        <w:tc>
          <w:tcPr>
            <w:tcW w:type="dxa" w:w="26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jc w:val="left"/>
            </w:pPr>
            <w:r>
              <w:rPr>
                <w:rFonts w:ascii="Times New Roman" w:hAnsi="Times New Roman"/>
                <w:sz w:val="24"/>
                <w:szCs w:val="24"/>
              </w:rPr>
              <w:t>Avoid Nitrofurantoin &gt;38 wks (labor risk) &amp; TMP-SMX near term (kernicterus)</w:t>
            </w:r>
          </w:p>
        </w:tc>
      </w:tr>
    </w:tbl>
    <w:p>
      <w:pPr>
        <w:pStyle w:val="Default"/>
        <w:suppressAutoHyphens w:val="1"/>
        <w:spacing w:before="0" w:after="240" w:line="240" w:lineRule="auto"/>
        <w:jc w:val="left"/>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152400</wp:posOffset>
            </wp:positionV>
            <wp:extent cx="21932900" cy="95351600"/>
            <wp:effectExtent l="0" t="0" r="0" b="0"/>
            <wp:wrapThrough wrapText="bothSides" distL="152400" distR="152400">
              <wp:wrapPolygon edited="1">
                <wp:start x="1651" y="380"/>
                <wp:lineTo x="1651" y="16601"/>
                <wp:lineTo x="4493" y="16622"/>
                <wp:lineTo x="4493" y="16980"/>
                <wp:lineTo x="1651" y="16980"/>
                <wp:lineTo x="1651" y="16601"/>
                <wp:lineTo x="1651" y="380"/>
                <wp:lineTo x="4769" y="380"/>
                <wp:lineTo x="4769" y="9724"/>
                <wp:lineTo x="7520" y="9724"/>
                <wp:lineTo x="7520" y="10104"/>
                <wp:lineTo x="5411" y="10088"/>
                <wp:lineTo x="5411" y="12825"/>
                <wp:lineTo x="5594" y="12846"/>
                <wp:lineTo x="6511" y="12888"/>
                <wp:lineTo x="6511" y="13247"/>
                <wp:lineTo x="3668" y="13247"/>
                <wp:lineTo x="3668" y="13711"/>
                <wp:lineTo x="6511" y="13732"/>
                <wp:lineTo x="6511" y="14091"/>
                <wp:lineTo x="3668" y="14091"/>
                <wp:lineTo x="3668" y="14555"/>
                <wp:lineTo x="6511" y="14576"/>
                <wp:lineTo x="6511" y="14934"/>
                <wp:lineTo x="4952" y="14934"/>
                <wp:lineTo x="4952" y="15293"/>
                <wp:lineTo x="6328" y="15609"/>
                <wp:lineTo x="5686" y="15737"/>
                <wp:lineTo x="5686" y="16601"/>
                <wp:lineTo x="8437" y="16601"/>
                <wp:lineTo x="8437" y="16980"/>
                <wp:lineTo x="5686" y="16959"/>
                <wp:lineTo x="5686" y="17339"/>
                <wp:lineTo x="8437" y="17339"/>
                <wp:lineTo x="8437" y="17719"/>
                <wp:lineTo x="6969" y="17708"/>
                <wp:lineTo x="6969" y="18077"/>
                <wp:lineTo x="8345" y="18394"/>
                <wp:lineTo x="6969" y="18668"/>
                <wp:lineTo x="5777" y="18352"/>
                <wp:lineTo x="6969" y="18077"/>
                <wp:lineTo x="6969" y="17708"/>
                <wp:lineTo x="5594" y="17698"/>
                <wp:lineTo x="5686" y="17339"/>
                <wp:lineTo x="5686" y="16959"/>
                <wp:lineTo x="5594" y="16959"/>
                <wp:lineTo x="5686" y="16601"/>
                <wp:lineTo x="5686" y="15737"/>
                <wp:lineTo x="5227" y="15829"/>
                <wp:lineTo x="5227" y="19385"/>
                <wp:lineTo x="8070" y="19406"/>
                <wp:lineTo x="8070" y="19765"/>
                <wp:lineTo x="5227" y="19765"/>
                <wp:lineTo x="5227" y="19385"/>
                <wp:lineTo x="5227" y="15829"/>
                <wp:lineTo x="4952" y="15884"/>
                <wp:lineTo x="3852" y="15567"/>
                <wp:lineTo x="4952" y="15293"/>
                <wp:lineTo x="4952" y="14934"/>
                <wp:lineTo x="3668" y="14934"/>
                <wp:lineTo x="3668" y="14555"/>
                <wp:lineTo x="3668" y="14091"/>
                <wp:lineTo x="3668" y="13711"/>
                <wp:lineTo x="3668" y="13247"/>
                <wp:lineTo x="3760" y="12867"/>
                <wp:lineTo x="5411" y="12846"/>
                <wp:lineTo x="5411" y="12825"/>
                <wp:lineTo x="5411" y="10088"/>
                <wp:lineTo x="4677" y="10083"/>
                <wp:lineTo x="4769" y="9724"/>
                <wp:lineTo x="4769" y="380"/>
                <wp:lineTo x="6328" y="380"/>
                <wp:lineTo x="6328" y="3734"/>
                <wp:lineTo x="9079" y="3734"/>
                <wp:lineTo x="9079" y="4113"/>
                <wp:lineTo x="6328" y="4092"/>
                <wp:lineTo x="6328" y="4577"/>
                <wp:lineTo x="9079" y="4577"/>
                <wp:lineTo x="9079" y="4957"/>
                <wp:lineTo x="7611" y="4946"/>
                <wp:lineTo x="7611" y="5421"/>
                <wp:lineTo x="8987" y="5738"/>
                <wp:lineTo x="8895" y="5756"/>
                <wp:lineTo x="8895" y="7151"/>
                <wp:lineTo x="9079" y="7172"/>
                <wp:lineTo x="10454" y="7214"/>
                <wp:lineTo x="10454" y="7573"/>
                <wp:lineTo x="8987" y="7573"/>
                <wp:lineTo x="8987" y="8037"/>
                <wp:lineTo x="10271" y="8353"/>
                <wp:lineTo x="8895" y="8627"/>
                <wp:lineTo x="8712" y="8574"/>
                <wp:lineTo x="8712" y="9724"/>
                <wp:lineTo x="11555" y="9724"/>
                <wp:lineTo x="11555" y="10104"/>
                <wp:lineTo x="8712" y="10104"/>
                <wp:lineTo x="8712" y="10568"/>
                <wp:lineTo x="11555" y="10568"/>
                <wp:lineTo x="11555" y="10948"/>
                <wp:lineTo x="8712" y="10948"/>
                <wp:lineTo x="8712" y="11412"/>
                <wp:lineTo x="11555" y="11412"/>
                <wp:lineTo x="11463" y="11791"/>
                <wp:lineTo x="10454" y="11783"/>
                <wp:lineTo x="10454" y="12825"/>
                <wp:lineTo x="10638" y="12846"/>
                <wp:lineTo x="12013" y="12888"/>
                <wp:lineTo x="12013" y="13247"/>
                <wp:lineTo x="10454" y="13247"/>
                <wp:lineTo x="10454" y="13563"/>
                <wp:lineTo x="10638" y="13584"/>
                <wp:lineTo x="11830" y="13943"/>
                <wp:lineTo x="10454" y="14196"/>
                <wp:lineTo x="9354" y="13880"/>
                <wp:lineTo x="10546" y="13584"/>
                <wp:lineTo x="10454" y="13563"/>
                <wp:lineTo x="10454" y="13247"/>
                <wp:lineTo x="9170" y="13247"/>
                <wp:lineTo x="9262" y="12867"/>
                <wp:lineTo x="10454" y="12846"/>
                <wp:lineTo x="10454" y="12825"/>
                <wp:lineTo x="10454" y="11783"/>
                <wp:lineTo x="8712" y="11770"/>
                <wp:lineTo x="8712" y="11412"/>
                <wp:lineTo x="8712" y="10948"/>
                <wp:lineTo x="8712" y="10568"/>
                <wp:lineTo x="8712" y="10104"/>
                <wp:lineTo x="8712" y="9724"/>
                <wp:lineTo x="8712" y="8574"/>
                <wp:lineTo x="8345" y="8469"/>
                <wp:lineTo x="8345" y="15293"/>
                <wp:lineTo x="11096" y="15293"/>
                <wp:lineTo x="11096" y="15673"/>
                <wp:lineTo x="10638" y="15669"/>
                <wp:lineTo x="10638" y="19385"/>
                <wp:lineTo x="13389" y="19385"/>
                <wp:lineTo x="13389" y="19765"/>
                <wp:lineTo x="10638" y="19765"/>
                <wp:lineTo x="10638" y="20123"/>
                <wp:lineTo x="13389" y="20123"/>
                <wp:lineTo x="13389" y="20503"/>
                <wp:lineTo x="10638" y="20503"/>
                <wp:lineTo x="10638" y="20862"/>
                <wp:lineTo x="13389" y="20862"/>
                <wp:lineTo x="13389" y="21241"/>
                <wp:lineTo x="10546" y="21220"/>
                <wp:lineTo x="10638" y="20862"/>
                <wp:lineTo x="10638" y="20503"/>
                <wp:lineTo x="10546" y="20503"/>
                <wp:lineTo x="10638" y="20123"/>
                <wp:lineTo x="10638" y="19765"/>
                <wp:lineTo x="10546" y="19765"/>
                <wp:lineTo x="10638" y="19385"/>
                <wp:lineTo x="10638" y="15669"/>
                <wp:lineTo x="8253" y="15652"/>
                <wp:lineTo x="8345" y="15293"/>
                <wp:lineTo x="8345" y="8469"/>
                <wp:lineTo x="7795" y="8311"/>
                <wp:lineTo x="8987" y="8037"/>
                <wp:lineTo x="8987" y="7573"/>
                <wp:lineTo x="7611" y="7573"/>
                <wp:lineTo x="7703" y="7193"/>
                <wp:lineTo x="8895" y="7172"/>
                <wp:lineTo x="8895" y="7151"/>
                <wp:lineTo x="8895" y="5756"/>
                <wp:lineTo x="7611" y="6012"/>
                <wp:lineTo x="6419" y="5695"/>
                <wp:lineTo x="7611" y="5421"/>
                <wp:lineTo x="7611" y="4946"/>
                <wp:lineTo x="6236" y="4936"/>
                <wp:lineTo x="6328" y="4577"/>
                <wp:lineTo x="6328" y="4092"/>
                <wp:lineTo x="6236" y="4092"/>
                <wp:lineTo x="6328" y="3734"/>
                <wp:lineTo x="6328" y="380"/>
                <wp:lineTo x="9629" y="380"/>
                <wp:lineTo x="12472" y="380"/>
                <wp:lineTo x="12472" y="759"/>
                <wp:lineTo x="10913" y="759"/>
                <wp:lineTo x="10913" y="1118"/>
                <wp:lineTo x="12013" y="1308"/>
                <wp:lineTo x="12197" y="1455"/>
                <wp:lineTo x="12105" y="1472"/>
                <wp:lineTo x="12105" y="2426"/>
                <wp:lineTo x="13389" y="2742"/>
                <wp:lineTo x="12105" y="2995"/>
                <wp:lineTo x="12013" y="2972"/>
                <wp:lineTo x="12013" y="12150"/>
                <wp:lineTo x="14856" y="12150"/>
                <wp:lineTo x="14764" y="12530"/>
                <wp:lineTo x="12013" y="12509"/>
                <wp:lineTo x="12013" y="12150"/>
                <wp:lineTo x="12013" y="2972"/>
                <wp:lineTo x="10913" y="2700"/>
                <wp:lineTo x="12105" y="2426"/>
                <wp:lineTo x="12105" y="1472"/>
                <wp:lineTo x="11004" y="1688"/>
                <wp:lineTo x="9812" y="1371"/>
                <wp:lineTo x="10913" y="1118"/>
                <wp:lineTo x="10913" y="759"/>
                <wp:lineTo x="9629" y="759"/>
                <wp:lineTo x="9629" y="380"/>
                <wp:lineTo x="14031" y="380"/>
                <wp:lineTo x="14031" y="7109"/>
                <wp:lineTo x="15406" y="7362"/>
                <wp:lineTo x="14214" y="7678"/>
                <wp:lineTo x="12930" y="7383"/>
                <wp:lineTo x="12930" y="8986"/>
                <wp:lineTo x="15773" y="8986"/>
                <wp:lineTo x="15773" y="9366"/>
                <wp:lineTo x="12930" y="9366"/>
                <wp:lineTo x="12930" y="9724"/>
                <wp:lineTo x="15773" y="9724"/>
                <wp:lineTo x="15773" y="10104"/>
                <wp:lineTo x="14214" y="10104"/>
                <wp:lineTo x="14214" y="10463"/>
                <wp:lineTo x="15590" y="10716"/>
                <wp:lineTo x="14306" y="11053"/>
                <wp:lineTo x="13114" y="10737"/>
                <wp:lineTo x="14214" y="10463"/>
                <wp:lineTo x="14214" y="10104"/>
                <wp:lineTo x="12930" y="10104"/>
                <wp:lineTo x="12930" y="9724"/>
                <wp:lineTo x="12930" y="9366"/>
                <wp:lineTo x="12930" y="8986"/>
                <wp:lineTo x="12930" y="7383"/>
                <wp:lineTo x="14031" y="7109"/>
                <wp:lineTo x="14031" y="380"/>
                <wp:lineTo x="14948" y="380"/>
                <wp:lineTo x="14948" y="3734"/>
                <wp:lineTo x="17790" y="3755"/>
                <wp:lineTo x="17790" y="4113"/>
                <wp:lineTo x="16323" y="4113"/>
                <wp:lineTo x="16323" y="4472"/>
                <wp:lineTo x="17607" y="4788"/>
                <wp:lineTo x="17149" y="4879"/>
                <wp:lineTo x="17149" y="6370"/>
                <wp:lineTo x="19991" y="6370"/>
                <wp:lineTo x="19900" y="6750"/>
                <wp:lineTo x="18432" y="6738"/>
                <wp:lineTo x="18432" y="7109"/>
                <wp:lineTo x="19808" y="7362"/>
                <wp:lineTo x="18708" y="7678"/>
                <wp:lineTo x="17332" y="7425"/>
                <wp:lineTo x="18432" y="7109"/>
                <wp:lineTo x="18432" y="6738"/>
                <wp:lineTo x="17149" y="6729"/>
                <wp:lineTo x="17149" y="6370"/>
                <wp:lineTo x="17149" y="4879"/>
                <wp:lineTo x="16965" y="4916"/>
                <wp:lineTo x="16965" y="8986"/>
                <wp:lineTo x="19808" y="9007"/>
                <wp:lineTo x="19716" y="9366"/>
                <wp:lineTo x="16965" y="9366"/>
                <wp:lineTo x="16965" y="8986"/>
                <wp:lineTo x="16965" y="4916"/>
                <wp:lineTo x="16232" y="5063"/>
                <wp:lineTo x="15131" y="4746"/>
                <wp:lineTo x="16323" y="4472"/>
                <wp:lineTo x="16323" y="4113"/>
                <wp:lineTo x="14948" y="4113"/>
                <wp:lineTo x="14948" y="3734"/>
                <wp:lineTo x="14948" y="380"/>
                <wp:lineTo x="1651" y="380"/>
              </wp:wrapPolygon>
            </wp:wrapThrough>
            <wp:docPr id="1073741825" name="officeArt object" descr="UTI in Pregnancy Flow Diagram.png"/>
            <wp:cNvGraphicFramePr/>
            <a:graphic xmlns:a="http://schemas.openxmlformats.org/drawingml/2006/main">
              <a:graphicData uri="http://schemas.openxmlformats.org/drawingml/2006/picture">
                <pic:pic xmlns:pic="http://schemas.openxmlformats.org/drawingml/2006/picture">
                  <pic:nvPicPr>
                    <pic:cNvPr id="1073741825" name="UTI in Pregnancy Flow Diagram.png" descr="UTI in Pregnancy Flow Diagram.png"/>
                    <pic:cNvPicPr>
                      <a:picLocks noChangeAspect="1"/>
                    </pic:cNvPicPr>
                  </pic:nvPicPr>
                  <pic:blipFill>
                    <a:blip r:embed="rId4">
                      <a:extLst/>
                    </a:blip>
                    <a:stretch>
                      <a:fillRect/>
                    </a:stretch>
                  </pic:blipFill>
                  <pic:spPr>
                    <a:xfrm>
                      <a:off x="0" y="0"/>
                      <a:ext cx="21932900" cy="95351600"/>
                    </a:xfrm>
                    <a:prstGeom prst="rect">
                      <a:avLst/>
                    </a:prstGeom>
                    <a:ln w="12700" cap="flat">
                      <a:noFill/>
                      <a:miter lim="400000"/>
                    </a:ln>
                    <a:effectLst/>
                  </pic:spPr>
                </pic:pic>
              </a:graphicData>
            </a:graphic>
          </wp:anchor>
        </w:drawing>
      </w:r>
    </w:p>
    <w:p>
      <w:pPr>
        <w:pStyle w:val="Default"/>
        <w:suppressAutoHyphens w:val="1"/>
        <w:spacing w:before="0" w:after="240" w:line="240" w:lineRule="auto"/>
        <w:jc w:val="left"/>
      </w:pPr>
      <w:r>
        <w:rPr>
          <w:rFonts w:ascii="Times New Roman" w:cs="Times New Roman" w:hAnsi="Times New Roman" w:eastAsia="Times New Roman"/>
        </w:rPr>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0"/>
  </w:abstractNum>
  <w:abstractNum w:abstractNumId="3">
    <w:multiLevelType w:val="hybridMultilevel"/>
    <w:styleLink w:val="Bullet.0"/>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 w:numId="6">
    <w:abstractNumId w:val="2"/>
    <w:lvlOverride w:ilvl="0">
      <w:startOverride w:val="1"/>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Bullet.0">
    <w:name w:val="Bullet.0"/>
    <w:pPr>
      <w:numPr>
        <w:numId w:val="4"/>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