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240" w:line="240" w:lineRule="auto"/>
        <w:jc w:val="left"/>
        <w:rPr>
          <w:rFonts w:ascii="Times New Roman" w:hAnsi="Times New Roman"/>
        </w:rPr>
      </w:pP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48"/>
          <w:szCs w:val="48"/>
          <w:rtl w:val="0"/>
          <w:lang w:val="en-US"/>
        </w:rPr>
        <w:t>Care Pathway for Gastroesophageal Reflux Disease (GERD) in Pregnancy (US Guidelines)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n-US"/>
        </w:rPr>
        <w:t>Assessment of Pregnant Patient with GERD</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Pregnant patients commonly experience GERD symptoms (heartburn and regurgitation) due to hormonal effects (progesterone-mediated relaxation of the LES) and mechanical factors from the enlarging uterus . Diagnosis of typical GERD in pregnancy is clinical, based on characteristic symptoms, without need for diagnostic testing in most cases . A detailed history should assess symptom frequency, severity, impact on nutrition, and response to any remedies tried. Physical exam typically is normal in uncomplicated GERD. Routine endoscopy or imaging is not indicated for typical heartburn in pregnancy. However, alarm features must be evaluated to exclude more serious conditions.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Alarm symptoms or red flags: GI bleeding (hematemesis or melena), persistent vomiting (beyond typical morning sickness), dysphagia or odynophagia (difficulty or pain with swallowing), chest pain not clearly related to reflux, or involuntary weight loss . The presence of any alarm symptom warrants prompt referral to a gastroenterologist for further evaluation . Endoscopic evaluation (esophagogastroduodenoscopy, EGD) is recommended in such cases (ideally in the second trimester for safety) to rule out ulcers, strictures, or other pathology . EGD can be performed safely in pregnancy with appropriate precautions and should not be delayed if alarm symptoms are present or GERD is refractory to therapy.</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n-US"/>
        </w:rPr>
        <w:t>Initial Management: Lifestyle and Non-Pharmacologic Measures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Most pregnant patients with mild GERD can be managed with conservative measures. Lifestyle and dietary modifications are first-line therapy for GERD during pregnancy . Key recommendations include:</w:t>
      </w: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 xml:space="preserve">Dietary Changes: Eat small, frequent meals and avoid large or fatty meals that precipitate reflux. Identify and avoid specific trigger foods/beverages (spicy or greasy foods, citrus, tomato, chocolate, caffeine, carbonated drinks, and peppermint) that worsen symptoms . Avoid late meals </w:t>
      </w:r>
      <w:r>
        <w:rPr>
          <w:rFonts w:ascii="Times New Roman" w:hAnsi="Times New Roman" w:hint="default"/>
          <w:rtl w:val="0"/>
        </w:rPr>
        <w:t xml:space="preserve">– </w:t>
      </w:r>
      <w:r>
        <w:rPr>
          <w:rFonts w:ascii="Times New Roman" w:hAnsi="Times New Roman"/>
          <w:rtl w:val="0"/>
          <w:lang w:val="en-US"/>
        </w:rPr>
        <w:t>do not eat within ~3 hours of bedtime .</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Body Positioning: Elevate the head of the bed by 6</w:t>
      </w:r>
      <w:r>
        <w:rPr>
          <w:rFonts w:ascii="Times New Roman" w:hAnsi="Times New Roman" w:hint="default"/>
          <w:rtl w:val="0"/>
        </w:rPr>
        <w:t>–</w:t>
      </w:r>
      <w:r>
        <w:rPr>
          <w:rFonts w:ascii="Times New Roman" w:hAnsi="Times New Roman"/>
          <w:rtl w:val="0"/>
          <w:lang w:val="it-IT"/>
        </w:rPr>
        <w:t>8 inches (15</w:t>
      </w:r>
      <w:r>
        <w:rPr>
          <w:rFonts w:ascii="Times New Roman" w:hAnsi="Times New Roman" w:hint="default"/>
          <w:rtl w:val="0"/>
        </w:rPr>
        <w:t>–</w:t>
      </w:r>
      <w:r>
        <w:rPr>
          <w:rFonts w:ascii="Times New Roman" w:hAnsi="Times New Roman"/>
          <w:rtl w:val="0"/>
          <w:lang w:val="en-US"/>
        </w:rPr>
        <w:t>20 cm) or use a wedge pillow when sleeping to reduce nocturnal reflux . Encourage left lateral decubitus sleeping position, as lying on the left side may reduce reflux episodes .</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Lifestyle: Avoid tobacco and alcohol (which are contraindicated in pregnancy regardless, and can exacerbate reflux) . Avoid tight garments that increase abdominal pressure. If the patient is overweight, limit excessive weight gain (though intentional weight loss is not recommended during pregnancy) .</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Non-Pharmacologic Remedies: Consider chewing sugar-free gum after meals to increase salivation and neutralize acid. Some patients find relief with natural remedies like ginger for associated nausea , although evidence is limited. Alginate-based antacid formulations (e.g. Gaviscon</w:t>
      </w:r>
      <w:r>
        <w:rPr>
          <w:rFonts w:ascii="Times New Roman" w:hAnsi="Times New Roman" w:hint="default"/>
          <w:rtl w:val="0"/>
        </w:rPr>
        <w:t>®</w:t>
      </w:r>
      <w:r>
        <w:rPr>
          <w:rFonts w:ascii="Times New Roman" w:hAnsi="Times New Roman"/>
          <w:rtl w:val="0"/>
          <w:lang w:val="en-US"/>
        </w:rPr>
        <w:t xml:space="preserve">) may be used </w:t>
      </w:r>
      <w:r>
        <w:rPr>
          <w:rFonts w:ascii="Times New Roman" w:hAnsi="Times New Roman" w:hint="default"/>
          <w:rtl w:val="0"/>
        </w:rPr>
        <w:t xml:space="preserve">– </w:t>
      </w:r>
      <w:r>
        <w:rPr>
          <w:rFonts w:ascii="Times New Roman" w:hAnsi="Times New Roman"/>
          <w:rtl w:val="0"/>
          <w:lang w:val="en-US"/>
        </w:rPr>
        <w:t>these form a foamy raft that reduces reflux; they are considered non-systemic and safe .</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Up to 30</w:t>
      </w:r>
      <w:r>
        <w:rPr>
          <w:rFonts w:ascii="Times New Roman" w:hAnsi="Times New Roman" w:hint="default"/>
          <w:rtl w:val="0"/>
        </w:rPr>
        <w:t>–</w:t>
      </w:r>
      <w:r>
        <w:rPr>
          <w:rFonts w:ascii="Times New Roman" w:hAnsi="Times New Roman"/>
          <w:rtl w:val="0"/>
          <w:lang w:val="en-US"/>
        </w:rPr>
        <w:t>50% of pregnant women get adequate relief from these conservative measures alone . Reassess in 1</w:t>
      </w:r>
      <w:r>
        <w:rPr>
          <w:rFonts w:ascii="Times New Roman" w:hAnsi="Times New Roman" w:hint="default"/>
          <w:rtl w:val="0"/>
        </w:rPr>
        <w:t>–</w:t>
      </w:r>
      <w:r>
        <w:rPr>
          <w:rFonts w:ascii="Times New Roman" w:hAnsi="Times New Roman"/>
          <w:rtl w:val="0"/>
          <w:lang w:val="en-US"/>
        </w:rPr>
        <w:t>2 weeks; if symptoms remain frequent or severe, proceed to pharmacologic therapy.</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n-US"/>
        </w:rPr>
        <w:t>Stepwise Pharmacologic Treatment (Medication Management)</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If lifestyle changes are insufficient to control symptoms, a step-up pharmacologic approach is recommended . The goal is to relieve maternal symptoms while minimizing fetal exposure by using the safest, lowest-impact therapies first. All medications discussed below are considered low-risk in pregnancy (mostly FDA Category B), with the exception of omeprazole (Category C) which has shown no evidence of harm in human studies . Each step should be tried for ~1</w:t>
      </w:r>
      <w:r>
        <w:rPr>
          <w:rFonts w:ascii="Times New Roman" w:hAnsi="Times New Roman" w:hint="default"/>
          <w:rtl w:val="0"/>
        </w:rPr>
        <w:t>–</w:t>
      </w:r>
      <w:r>
        <w:rPr>
          <w:rFonts w:ascii="Times New Roman" w:hAnsi="Times New Roman"/>
          <w:rtl w:val="0"/>
          <w:lang w:val="en-US"/>
        </w:rPr>
        <w:t>2 weeks (or as clinically indicated) before escalating, and earlier steps can be continued for additive benefit (e.g. patients on H2-blockers or PPIs may still use antacids for breakthrough relief ). Always confirm appropriate dosing and timing with the patient and reinforce ongoing lifestyle measures at each step.</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pt-PT"/>
        </w:rPr>
        <w:t xml:space="preserve">1. Antacids (OTC) </w:t>
      </w:r>
      <w:r>
        <w:rPr>
          <w:rFonts w:ascii="Times New Roman" w:hAnsi="Times New Roman" w:hint="default"/>
          <w:rtl w:val="0"/>
        </w:rPr>
        <w:t xml:space="preserve">– </w:t>
      </w:r>
      <w:r>
        <w:rPr>
          <w:rFonts w:ascii="Times New Roman" w:hAnsi="Times New Roman"/>
          <w:rtl w:val="0"/>
          <w:lang w:val="en-US"/>
        </w:rPr>
        <w:t>First-line medication: If lifestyle modifications do not fully relieve symptoms, start with antacids as needed . Antacids act locally to neutralize stomach acid and provide quick, short-term relief of heartburn.</w:t>
      </w: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Preferred antacids: Calcium carbonate (e.g. Tums) is recommended as first choice . Calcium-containing antacids are safe and even confer added calcium for pregnancy (which may benefit bone health and help prevent hypertensive disorders) . Calcium carbonate 500 mg chewable tablets (RxNorm 308907) can be chewed as needed (typical dose: 2</w:t>
      </w:r>
      <w:r>
        <w:rPr>
          <w:rFonts w:ascii="Times New Roman" w:hAnsi="Times New Roman" w:hint="default"/>
          <w:rtl w:val="0"/>
        </w:rPr>
        <w:t>–</w:t>
      </w:r>
      <w:r>
        <w:rPr>
          <w:rFonts w:ascii="Times New Roman" w:hAnsi="Times New Roman"/>
          <w:rtl w:val="0"/>
          <w:lang w:val="en-US"/>
        </w:rPr>
        <w:t>4 tablets after meals and at bedtime for symptoms, not to exceed package guidelines to avoid milk-alkali syndrome from excessive calcium) .</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Magnesium and aluminum-based antacids (e.g. magnesium hydroxide or aluminum hydroxide, as found in Maalox, Mylanta) are also Category B and considered safe in moderation . These can be used if needed or in combination (many OTC antacids contain both to balance constipation/diarrhea effects). Advise patients about side effects: aluminum products may cause constipation, while magnesium can cause loose stools.</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Avoid antacids containing sodium bicarbonate or magnesium trisilicate in pregnancy . Sodium bicarbonate (baking soda antacids or Alka-Seltzer) can cause maternal/fetal metabolic alkalosis and fluid overload . High-dose or prolonged use of magnesium trisilicate has been associated with fetal nephrolithiasis and respiratory issues in case reports .</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 xml:space="preserve">Antacids provide rapid relief but short duration. They can be used in addition to other medications in subsequent steps as </w:t>
      </w:r>
      <w:r>
        <w:rPr>
          <w:rFonts w:ascii="Times New Roman" w:hAnsi="Times New Roman" w:hint="default"/>
          <w:rtl w:val="1"/>
          <w:lang w:val="ar-SA" w:bidi="ar-SA"/>
        </w:rPr>
        <w:t>“</w:t>
      </w:r>
      <w:r>
        <w:rPr>
          <w:rFonts w:ascii="Times New Roman" w:hAnsi="Times New Roman"/>
          <w:rtl w:val="0"/>
          <w:lang w:val="es-ES_tradnl"/>
        </w:rPr>
        <w:t>rescue</w:t>
      </w:r>
      <w:r>
        <w:rPr>
          <w:rFonts w:ascii="Times New Roman" w:hAnsi="Times New Roman" w:hint="default"/>
          <w:rtl w:val="0"/>
        </w:rPr>
        <w:t xml:space="preserve">” </w:t>
      </w:r>
      <w:r>
        <w:rPr>
          <w:rFonts w:ascii="Times New Roman" w:hAnsi="Times New Roman"/>
          <w:rtl w:val="0"/>
          <w:lang w:val="en-US"/>
        </w:rPr>
        <w:t>for breakthrough heartburn . Ensure spacing of antacids 2+ hours apart from iron supplements or other medications to avoid interference with absorption.</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rPr>
        <w:t xml:space="preserve">2. Sucralfate </w:t>
      </w:r>
      <w:r>
        <w:rPr>
          <w:rFonts w:ascii="Times New Roman" w:hAnsi="Times New Roman" w:hint="default"/>
          <w:rtl w:val="0"/>
        </w:rPr>
        <w:t xml:space="preserve">– </w:t>
      </w:r>
      <w:r>
        <w:rPr>
          <w:rFonts w:ascii="Times New Roman" w:hAnsi="Times New Roman"/>
          <w:rtl w:val="0"/>
          <w:lang w:val="en-US"/>
        </w:rPr>
        <w:t>Add if symptoms persist on antacids: Sucralfate (Carafate) is a non-absorbed, mucosal protective agent that can be added for persistent symptoms after antacids . It forms a coating barrier on the esophageal and gastric mucosa. Sucralfate has minimal systemic absorption and is safe in pregnancy (Category B) .</w:t>
      </w: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 xml:space="preserve">Dosing: Sucralfate 1 g tablet (RxNorm 314234) by mouth three times daily is a commonly recommended regimen for GERD in pregnancy . (It may be given before meals for better mucosal adherence </w:t>
      </w:r>
      <w:r>
        <w:rPr>
          <w:rFonts w:ascii="Times New Roman" w:hAnsi="Times New Roman" w:hint="default"/>
          <w:rtl w:val="0"/>
        </w:rPr>
        <w:t xml:space="preserve">– </w:t>
      </w:r>
      <w:r>
        <w:rPr>
          <w:rFonts w:ascii="Times New Roman" w:hAnsi="Times New Roman"/>
          <w:rtl w:val="0"/>
          <w:lang w:val="en-US"/>
        </w:rPr>
        <w:t>e.g. 1 g before breakfast, lunch, and at bedtime).</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Sucralfate often provides significant symptom improvement: a trial found 90% of pregnant women on sucralfate reported relief of heartburn vs 43% on lifestyle measures alone .</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It can be continued alongside antacids (though sucralfate itself acts as a locally active agent). Advise separating sucralfate from other oral medications by 2 hours, as it may bind and reduce their absorption (e.g. thyroid hormones, certain vitamins, and other drugs) .</w:t>
      </w:r>
    </w:p>
    <w:p>
      <w:pPr>
        <w:pStyle w:val="Default"/>
        <w:numPr>
          <w:ilvl w:val="0"/>
          <w:numId w:val="2"/>
        </w:numPr>
        <w:suppressAutoHyphens w:val="1"/>
        <w:spacing w:before="0" w:after="240" w:line="240" w:lineRule="auto"/>
        <w:jc w:val="left"/>
        <w:rPr>
          <w:rFonts w:ascii="Times New Roman" w:hAnsi="Times New Roman"/>
        </w:rPr>
      </w:pPr>
      <w:r>
        <w:rPr>
          <w:rFonts w:ascii="Times New Roman" w:hAnsi="Times New Roman"/>
          <w:rtl w:val="0"/>
        </w:rPr>
        <w:t>Sucralfate</w:t>
      </w:r>
      <w:r>
        <w:rPr>
          <w:rFonts w:ascii="Times New Roman" w:hAnsi="Times New Roman" w:hint="default"/>
          <w:rtl w:val="1"/>
        </w:rPr>
        <w:t>’</w:t>
      </w:r>
      <w:r>
        <w:rPr>
          <w:rFonts w:ascii="Times New Roman" w:hAnsi="Times New Roman"/>
          <w:rtl w:val="0"/>
          <w:lang w:val="en-US"/>
        </w:rPr>
        <w:t>s main side effect is constipation (due to aluminum); systemic side effects are rare. Given its strong safety profile (essentially not absorbed), sucralfate is specifically recommended for GERD in pregnancy by experts . (Notably, outside of pregnancy, sucralfate is not routinely used for GERD due to limited efficacy, but in pregnancy its safety makes it a useful option .)</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s-ES_tradnl"/>
        </w:rPr>
        <w:t xml:space="preserve">3. Histamine-2 Receptor Antagonists (H2RAs) </w:t>
      </w:r>
      <w:r>
        <w:rPr>
          <w:rFonts w:ascii="Times New Roman" w:hAnsi="Times New Roman" w:hint="default"/>
          <w:rtl w:val="0"/>
        </w:rPr>
        <w:t xml:space="preserve">– </w:t>
      </w:r>
      <w:r>
        <w:rPr>
          <w:rFonts w:ascii="Times New Roman" w:hAnsi="Times New Roman"/>
          <w:rtl w:val="0"/>
          <w:lang w:val="en-US"/>
        </w:rPr>
        <w:t>for persistent symptoms: If symptoms are not controlled by antacids (</w:t>
      </w:r>
      <w:r>
        <w:rPr>
          <w:rFonts w:ascii="Times New Roman" w:hAnsi="Times New Roman" w:hint="default"/>
          <w:rtl w:val="1"/>
        </w:rPr>
        <w:t xml:space="preserve">± </w:t>
      </w:r>
      <w:r>
        <w:rPr>
          <w:rFonts w:ascii="Times New Roman" w:hAnsi="Times New Roman"/>
          <w:rtl w:val="0"/>
          <w:lang w:val="en-US"/>
        </w:rPr>
        <w:t>sucralfate), the next step is to add a histamine-2 receptor blocker . H2RAs reduce acid production and are considered safe in pregnancy (Category B for all agents in this class) . They have decades of use in pregnancy without teratogenic effects .</w:t>
      </w: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Famotidine is a preferred choice (Category B). Famotidine 20 mg tablet (RxNorm 310273) can be started once daily at bedtime or twice daily (morning and bedtime) depending on symptom timing. If starting with once daily, it may be escalated to 20 mg twice daily for better control. Maximum doses in pregnancy up to 40 mg twice daily (80 mg/day) have been used for severe reflux under medical supervision. Famotidine provides 10</w:t>
      </w:r>
      <w:r>
        <w:rPr>
          <w:rFonts w:ascii="Times New Roman" w:hAnsi="Times New Roman" w:hint="default"/>
          <w:rtl w:val="0"/>
        </w:rPr>
        <w:t>–</w:t>
      </w:r>
      <w:r>
        <w:rPr>
          <w:rFonts w:ascii="Times New Roman" w:hAnsi="Times New Roman"/>
          <w:rtl w:val="0"/>
          <w:lang w:val="en-US"/>
        </w:rPr>
        <w:t>12 hour acid suppression; bedtime dosing helps nocturnal heartburn.</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Other H2RAs: Cimetidine (Tagamet) 400</w:t>
      </w:r>
      <w:r>
        <w:rPr>
          <w:rFonts w:ascii="Times New Roman" w:hAnsi="Times New Roman" w:hint="default"/>
          <w:rtl w:val="0"/>
        </w:rPr>
        <w:t> </w:t>
      </w:r>
      <w:r>
        <w:rPr>
          <w:rFonts w:ascii="Times New Roman" w:hAnsi="Times New Roman"/>
          <w:rtl w:val="0"/>
          <w:lang w:val="en-US"/>
        </w:rPr>
        <w:t>mg QID or 800</w:t>
      </w:r>
      <w:r>
        <w:rPr>
          <w:rFonts w:ascii="Times New Roman" w:hAnsi="Times New Roman" w:hint="default"/>
          <w:rtl w:val="0"/>
        </w:rPr>
        <w:t> </w:t>
      </w:r>
      <w:r>
        <w:rPr>
          <w:rFonts w:ascii="Times New Roman" w:hAnsi="Times New Roman"/>
          <w:rtl w:val="0"/>
          <w:lang w:val="en-US"/>
        </w:rPr>
        <w:t>mg BID is an alternative (also Category B), but it has more drug interactions and side effects (e.g. can cause dizziness, and at high doses in animal studies had anti-androgenic effects) . Nizatidine (Axid) is another H2 blocker (Category B) but is less commonly used. Ranitidine (Zantac) was previously widely used in pregnancy and effective , but it has been withdrawn from the market (2020) due to NDMA impurity concerns . Do not use ranitidine in current practice.</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Efficacy: A controlled trial in pregnant women showed H2RAs significantly reduced heartburn: ranitidine 150</w:t>
      </w:r>
      <w:r>
        <w:rPr>
          <w:rFonts w:ascii="Times New Roman" w:hAnsi="Times New Roman" w:hint="default"/>
          <w:rtl w:val="0"/>
        </w:rPr>
        <w:t> </w:t>
      </w:r>
      <w:r>
        <w:rPr>
          <w:rFonts w:ascii="Times New Roman" w:hAnsi="Times New Roman"/>
          <w:rtl w:val="0"/>
          <w:lang w:val="en-US"/>
        </w:rPr>
        <w:t>mg BID (with antacids PRN) reduced symptoms by ~56% vs placebo . We expect famotidine BID to have similar efficacy in practice. About 70%+ of women should have improvement at this stage.</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H2RAs can be combined with antacids for breakthrough relief . (In fact, some OTC products combine famotidine with calcium carbonate and magnesium hydroxide in one chewable tablet for on-demand use.)</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Side effects of H2 blockers are uncommon; at high doses cimetidine can cause mild reversible gynecomastia or dizziness, but these are rarely an issue with short-term use in pregnancy. Famotidine is generally well tolerated.</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 xml:space="preserve">4. Proton Pump Inhibitors (PPIs) </w:t>
      </w:r>
      <w:r>
        <w:rPr>
          <w:rFonts w:ascii="Times New Roman" w:hAnsi="Times New Roman" w:hint="default"/>
          <w:rtl w:val="0"/>
        </w:rPr>
        <w:t xml:space="preserve">– </w:t>
      </w:r>
      <w:r>
        <w:rPr>
          <w:rFonts w:ascii="Times New Roman" w:hAnsi="Times New Roman"/>
          <w:rtl w:val="0"/>
          <w:lang w:val="en-US"/>
        </w:rPr>
        <w:t>for refractory or severe GERD: If symptoms remain inadequately controlled on an H2RA (plus antacids/sucralfate), or if the patient initially presents with severe GERD, a proton pump inhibitor is indicated . PPIs irreversibly block acid secretion and are the most potent therapy for GERD. Current evidence indicates PPIs are not associated with birth defects or adverse pregnancy outcomes . All PPIs except omeprazole were Category B under the old FDA system (omeprazole was Category C due to animal data, but human studies show it</w:t>
      </w:r>
      <w:r>
        <w:rPr>
          <w:rFonts w:ascii="Times New Roman" w:hAnsi="Times New Roman" w:hint="default"/>
          <w:rtl w:val="1"/>
        </w:rPr>
        <w:t>’</w:t>
      </w:r>
      <w:r>
        <w:rPr>
          <w:rFonts w:ascii="Times New Roman" w:hAnsi="Times New Roman"/>
          <w:rtl w:val="0"/>
          <w:lang w:val="en-US"/>
        </w:rPr>
        <w:t>s as safe as the others) . Thus, providers may choose a Category B PPI first-line, but if omeprazole is the only available option, it is still considered acceptable when needed .</w:t>
      </w: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Choice of PPI: Common choices in pregnancy include lansoprazole, pantoprazole, and esomeprazole (all Category B). For example, Pantoprazole 40</w:t>
      </w:r>
      <w:r>
        <w:rPr>
          <w:rFonts w:ascii="Times New Roman" w:hAnsi="Times New Roman" w:hint="default"/>
          <w:rtl w:val="0"/>
        </w:rPr>
        <w:t> </w:t>
      </w:r>
      <w:r>
        <w:rPr>
          <w:rFonts w:ascii="Times New Roman" w:hAnsi="Times New Roman"/>
          <w:rtl w:val="0"/>
          <w:lang w:val="it-IT"/>
        </w:rPr>
        <w:t>mg delayed-release tablet (RxNorm 314200) once daily or Lansoprazole 30</w:t>
      </w:r>
      <w:r>
        <w:rPr>
          <w:rFonts w:ascii="Times New Roman" w:hAnsi="Times New Roman" w:hint="default"/>
          <w:rtl w:val="0"/>
        </w:rPr>
        <w:t> </w:t>
      </w:r>
      <w:r>
        <w:rPr>
          <w:rFonts w:ascii="Times New Roman" w:hAnsi="Times New Roman"/>
          <w:rtl w:val="0"/>
          <w:lang w:val="en-US"/>
        </w:rPr>
        <w:t>mg delayed-release capsule (RxNorm 311277) once daily are typical starting regimens . Esomeprazole 20</w:t>
      </w:r>
      <w:r>
        <w:rPr>
          <w:rFonts w:ascii="Times New Roman" w:hAnsi="Times New Roman" w:hint="default"/>
          <w:rtl w:val="0"/>
        </w:rPr>
        <w:t>–</w:t>
      </w:r>
      <w:r>
        <w:rPr>
          <w:rFonts w:ascii="Times New Roman" w:hAnsi="Times New Roman"/>
          <w:rtl w:val="0"/>
        </w:rPr>
        <w:t>40</w:t>
      </w:r>
      <w:r>
        <w:rPr>
          <w:rFonts w:ascii="Times New Roman" w:hAnsi="Times New Roman" w:hint="default"/>
          <w:rtl w:val="0"/>
        </w:rPr>
        <w:t> </w:t>
      </w:r>
      <w:r>
        <w:rPr>
          <w:rFonts w:ascii="Times New Roman" w:hAnsi="Times New Roman"/>
          <w:rtl w:val="0"/>
          <w:lang w:val="en-US"/>
        </w:rPr>
        <w:t>mg (Nexium, Category B) is another option (RxCUI 606726 for 20</w:t>
      </w:r>
      <w:r>
        <w:rPr>
          <w:rFonts w:ascii="Times New Roman" w:hAnsi="Times New Roman" w:hint="default"/>
          <w:rtl w:val="0"/>
        </w:rPr>
        <w:t> </w:t>
      </w:r>
      <w:r>
        <w:rPr>
          <w:rFonts w:ascii="Times New Roman" w:hAnsi="Times New Roman"/>
          <w:rtl w:val="0"/>
        </w:rPr>
        <w:t>mg). Omeprazole (Prilosec) 20</w:t>
      </w:r>
      <w:r>
        <w:rPr>
          <w:rFonts w:ascii="Times New Roman" w:hAnsi="Times New Roman" w:hint="default"/>
          <w:rtl w:val="0"/>
        </w:rPr>
        <w:t> </w:t>
      </w:r>
      <w:r>
        <w:rPr>
          <w:rFonts w:ascii="Times New Roman" w:hAnsi="Times New Roman"/>
          <w:rtl w:val="0"/>
        </w:rPr>
        <w:t>mg (RxNorm ~</w:t>
      </w:r>
      <w:r>
        <w:rPr>
          <w:rFonts w:ascii="Times New Roman" w:hAnsi="Times New Roman" w:hint="default"/>
          <w:rtl w:val="0"/>
        </w:rPr>
        <w:t>••</w:t>
      </w:r>
      <w:r>
        <w:rPr>
          <w:rFonts w:ascii="Times New Roman" w:hAnsi="Times New Roman"/>
          <w:rtl w:val="0"/>
          <w:lang w:val="en-US"/>
        </w:rPr>
        <w:t xml:space="preserve">*) can be used if needed </w:t>
      </w:r>
      <w:r>
        <w:rPr>
          <w:rFonts w:ascii="Times New Roman" w:hAnsi="Times New Roman" w:hint="default"/>
          <w:rtl w:val="0"/>
        </w:rPr>
        <w:t xml:space="preserve">– </w:t>
      </w:r>
      <w:r>
        <w:rPr>
          <w:rFonts w:ascii="Times New Roman" w:hAnsi="Times New Roman"/>
          <w:rtl w:val="0"/>
          <w:lang w:val="en-US"/>
        </w:rPr>
        <w:t>while formally Category C, extensive studies (including &gt;800,000 pregnancies) found no increase in birth defects or adverse outcomes with omeprazole or other PPIs . Thus, the choice may depend on provider experience or formulary, but many prefer to avoid omeprazole if a B-category PPI is readily available. (Notably, lansoprazole is often cited as a preferred PPI in pregnancy .)</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Dosing: Start with once-daily dosing 30</w:t>
      </w:r>
      <w:r>
        <w:rPr>
          <w:rFonts w:ascii="Times New Roman" w:hAnsi="Times New Roman" w:hint="default"/>
          <w:rtl w:val="0"/>
        </w:rPr>
        <w:t>–</w:t>
      </w:r>
      <w:r>
        <w:rPr>
          <w:rFonts w:ascii="Times New Roman" w:hAnsi="Times New Roman"/>
          <w:rtl w:val="0"/>
          <w:lang w:val="en-US"/>
        </w:rPr>
        <w:t>60 minutes before breakfast for optimal effect . If symptoms are predominantly nocturnal, dosing before dinner may help. For persistent symptoms, PPIs can be increased to twice daily (morning and evening before meals). For example, pantoprazole 40</w:t>
      </w:r>
      <w:r>
        <w:rPr>
          <w:rFonts w:ascii="Times New Roman" w:hAnsi="Times New Roman" w:hint="default"/>
          <w:rtl w:val="0"/>
        </w:rPr>
        <w:t> </w:t>
      </w:r>
      <w:r>
        <w:rPr>
          <w:rFonts w:ascii="Times New Roman" w:hAnsi="Times New Roman"/>
          <w:rtl w:val="0"/>
          <w:lang w:val="it-IT"/>
        </w:rPr>
        <w:t>mg BID or lansoprazole 30</w:t>
      </w:r>
      <w:r>
        <w:rPr>
          <w:rFonts w:ascii="Times New Roman" w:hAnsi="Times New Roman" w:hint="default"/>
          <w:rtl w:val="0"/>
        </w:rPr>
        <w:t> </w:t>
      </w:r>
      <w:r>
        <w:rPr>
          <w:rFonts w:ascii="Times New Roman" w:hAnsi="Times New Roman"/>
          <w:rtl w:val="0"/>
          <w:lang w:val="en-US"/>
        </w:rPr>
        <w:t>mg BID can be used in refractory cases. Always use the lowest effective dose; many patients respond to daily dosing.</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 xml:space="preserve">Duration: An 8-week course of PPI therapy is typically recommended for healing erosive esophagitis or severe GERD in non-pregnant adults . In pregnancy, we treat for symptom control </w:t>
      </w:r>
      <w:r>
        <w:rPr>
          <w:rFonts w:ascii="Times New Roman" w:hAnsi="Times New Roman" w:hint="default"/>
          <w:rtl w:val="0"/>
        </w:rPr>
        <w:t xml:space="preserve">– </w:t>
      </w:r>
      <w:r>
        <w:rPr>
          <w:rFonts w:ascii="Times New Roman" w:hAnsi="Times New Roman"/>
          <w:rtl w:val="0"/>
          <w:lang w:val="en-US"/>
        </w:rPr>
        <w:t>PPIs can be continued for the remainder of pregnancy if needed, or used intermittently/on-demand after initial control if symptoms ebb and flow . There is no evidence of harm in continued use throughout pregnancy .</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Safety data: Multiple meta-analyses and cohort studies have found no significant increase in risk of congenital malformations, miscarriage, or preterm delivery with PPI use in pregnancy . This includes first-trimester exposure. Some studies noted a statistical association between acid-suppressive therapy in pregnancy and childhood asthma, but causality is unclear . Overall, PPI therapy is considered safe when clearly indicated and can dramatically improve quality of life for pregnant patients with severe GERD .</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 xml:space="preserve">Breakthrough and adjuncts: Patients on PPIs may still use antacids as needed for breakthrough symptoms (since PPIs take a day or more for full effect). Sucralfate can also be continued if it provides additional relief. Do not combine two PPIs or PPI + H2RA routinely without specialist advice; however, in refractory cases an H2RA at bedtime can sometimes be added to daytime PPI (on a temporary basis) to control nocturnal acid breakthrough </w:t>
      </w:r>
      <w:r>
        <w:rPr>
          <w:rFonts w:ascii="Times New Roman" w:hAnsi="Times New Roman" w:hint="default"/>
          <w:rtl w:val="0"/>
        </w:rPr>
        <w:t xml:space="preserve">– </w:t>
      </w:r>
      <w:r>
        <w:rPr>
          <w:rFonts w:ascii="Times New Roman" w:hAnsi="Times New Roman"/>
          <w:rtl w:val="0"/>
          <w:lang w:val="en-US"/>
        </w:rPr>
        <w:t>this should be guided by a gastroenterologist if needed.</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 xml:space="preserve">5. Refractory Cases </w:t>
      </w:r>
      <w:r>
        <w:rPr>
          <w:rFonts w:ascii="Times New Roman" w:hAnsi="Times New Roman" w:hint="default"/>
          <w:rtl w:val="0"/>
        </w:rPr>
        <w:t xml:space="preserve">– </w:t>
      </w:r>
      <w:r>
        <w:rPr>
          <w:rFonts w:ascii="Times New Roman" w:hAnsi="Times New Roman"/>
          <w:rtl w:val="0"/>
          <w:lang w:val="en-US"/>
        </w:rPr>
        <w:t>Further Options: Most pregnant patients will have relief by the time therapy escalates to a PPI. If a patient continues to have significant symptoms despite compliance with a PPI (and lifestyle measures), re-evaluate the diagnosis and consider specialist referral. Ensure that dosing is optimized (e.g., PPI timing before meals) . If truly refractory GERD is present, additional options include:</w:t>
      </w: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Add a Prokinetic Agent: Metoclopramide (Reglan) is a dopamine antagonist with prokinetic and anti-nausea properties, sometimes used in pregnancy for refractory GERD or when gastroparesis contributes. It is Category B and has established safety for short-term use in pregnancy (commonly used for hyperemesis gravidarum). Metoclopramide can increase LES tone and accelerate gastric emptying. A typical dose is 10</w:t>
      </w:r>
      <w:r>
        <w:rPr>
          <w:rFonts w:ascii="Times New Roman" w:hAnsi="Times New Roman" w:hint="default"/>
          <w:rtl w:val="0"/>
        </w:rPr>
        <w:t> </w:t>
      </w:r>
      <w:r>
        <w:rPr>
          <w:rFonts w:ascii="Times New Roman" w:hAnsi="Times New Roman"/>
          <w:rtl w:val="0"/>
          <w:lang w:val="en-US"/>
        </w:rPr>
        <w:t>mg (RxNorm 311666) before meals and at bedtime. Use is often limited to short durations due to side effects like fatigue, restlessness, or, rarely, extrapyramidal symptoms . This is considered an adjunct for severe cases not responding to acid suppression . It should be prescribed after specialist consultation if at all, and patients monitored.</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Consider H. pylori testing: If the patient has ulcer-like symptoms or persistent pain, and if not done previously, testing for Helicobacter pylori might be considered (noninvasive tests, since endoscopy is invasive). However, routine H. pylori testing in typical GERD is not indicated unless ulcer is suspected. If positive, treatment (with antibiotics and acid suppression) would ideally be postponed until after delivery, unless an ulcer is present, due to the multiple medications needed.</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Maintenance and step-down: If a patient</w:t>
      </w:r>
      <w:r>
        <w:rPr>
          <w:rFonts w:ascii="Times New Roman" w:hAnsi="Times New Roman" w:hint="default"/>
          <w:rtl w:val="1"/>
        </w:rPr>
        <w:t>’</w:t>
      </w:r>
      <w:r>
        <w:rPr>
          <w:rFonts w:ascii="Times New Roman" w:hAnsi="Times New Roman"/>
          <w:rtl w:val="0"/>
          <w:lang w:val="en-US"/>
        </w:rPr>
        <w:t>s symptoms come under control (especially on a PPI), consider if step-down therapy is feasible after a period of stability. For example, try reducing PPI to once daily (if on BID), or switching to an H2RA, etc., while maintaining lifestyle modifications. This minimises drug exposure. Many patients, however, will need to continue therapy until delivery, after which symptoms often improve. Approximately 20% of women may continue to have GERD postpartum , so plan for reassessment postpartum and transition to standard adult GERD management if needed.</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Throughout the stepwise escalation, patient education and reassurance are important. Explain that these medications are considered low-risk in pregnancy and that untreated severe GERD can adversely affect nutrition, sleep, and quality of life . The treatment aim is to relieve symptoms sufficiently to ensure maternal comfort and adequate intake, without compromising fetal health .</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n-US"/>
        </w:rPr>
        <w:t>Referral and Follow-Up</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 xml:space="preserve">Most cases of GERD in pregnancy are managed by primary care or obstetric providers with the above measures. Indications for referral to a gastroenterologist include: the presence of alarm symptoms (as discussed), refractory symptoms despite optimal therapy, uncertain diagnosis, or onset of atypical symptoms (e.g. odynophagia, or GERD symptoms accompanied by weight loss) . A gastroenterologist may consider performing an endoscopy if necessary. Endoscopy (esophagogastroduodenoscopy) is generally reserved for cases with alarm features or intractable symptoms that do not respond to the full stepwise therapy </w:t>
      </w:r>
      <w:r>
        <w:rPr>
          <w:rFonts w:ascii="Arial Unicode MS" w:cs="Arial Unicode MS" w:hAnsi="Arial Unicode MS" w:eastAsia="Arial Unicode MS" w:hint="eastAsia"/>
          <w:b w:val="0"/>
          <w:bCs w:val="0"/>
          <w:i w:val="0"/>
          <w:iCs w:val="0"/>
          <w:rtl w:val="0"/>
        </w:rPr>
        <w:t>【</w:t>
      </w:r>
      <w:r>
        <w:rPr>
          <w:rFonts w:ascii="Times New Roman" w:hAnsi="Times New Roman"/>
          <w:rtl w:val="0"/>
        </w:rPr>
        <w:t>43</w:t>
      </w:r>
      <w:r>
        <w:rPr>
          <w:rFonts w:ascii="Times New Roman" w:hAnsi="Times New Roman" w:hint="default"/>
          <w:rtl w:val="0"/>
        </w:rPr>
        <w:t>†</w:t>
      </w:r>
      <w:r>
        <w:rPr>
          <w:rFonts w:ascii="Times New Roman" w:hAnsi="Times New Roman"/>
          <w:rtl w:val="0"/>
          <w:lang w:val="en-US"/>
        </w:rPr>
        <w:t>look 0 678</w:t>
      </w:r>
      <w:r>
        <w:rPr>
          <w:rFonts w:ascii="Arial Unicode MS" w:cs="Arial Unicode MS" w:hAnsi="Arial Unicode MS" w:eastAsia="Arial Unicode MS" w:hint="eastAsia"/>
          <w:b w:val="0"/>
          <w:bCs w:val="0"/>
          <w:i w:val="0"/>
          <w:iCs w:val="0"/>
          <w:rtl w:val="0"/>
        </w:rPr>
        <w:t>】</w:t>
      </w:r>
      <w:r>
        <w:rPr>
          <w:rFonts w:ascii="Times New Roman" w:hAnsi="Times New Roman"/>
          <w:rtl w:val="0"/>
          <w:lang w:val="en-US"/>
        </w:rPr>
        <w:t>. When indicated, endoscopy can be performed during pregnancy with appropriate precautions (usually in the second trimester to minimize risks, using lower sedation doses and continuous fetal monitoring).</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Follow up with the patient frequently (e.g. every 2</w:t>
      </w:r>
      <w:r>
        <w:rPr>
          <w:rFonts w:ascii="Times New Roman" w:hAnsi="Times New Roman" w:hint="default"/>
          <w:rtl w:val="0"/>
        </w:rPr>
        <w:t>–</w:t>
      </w:r>
      <w:r>
        <w:rPr>
          <w:rFonts w:ascii="Times New Roman" w:hAnsi="Times New Roman"/>
          <w:rtl w:val="0"/>
          <w:lang w:val="en-US"/>
        </w:rPr>
        <w:t>4 weeks) to assess symptom control and adjust treatment. Ensure there are no emerging alarm signs. In cases where a PPI is initiated, confirm improvement after ~2 weeks. If inadequate, check adherence (timing before meals, etc.) and then consider dose escalation or adding adjunct therapy. Once symptoms are controlled, continue the current effective step. If the patient</w:t>
      </w:r>
      <w:r>
        <w:rPr>
          <w:rFonts w:ascii="Times New Roman" w:hAnsi="Times New Roman" w:hint="default"/>
          <w:rtl w:val="1"/>
        </w:rPr>
        <w:t>’</w:t>
      </w:r>
      <w:r>
        <w:rPr>
          <w:rFonts w:ascii="Times New Roman" w:hAnsi="Times New Roman"/>
          <w:rtl w:val="0"/>
          <w:lang w:val="en-US"/>
        </w:rPr>
        <w:t xml:space="preserve">s symptoms lessen in later pregnancy (occasionally happens as the stomach may be displaced upwards reducing heartburn, or if hormonal effects plateau), you might attempt stepping down therapy </w:t>
      </w:r>
      <w:r>
        <w:rPr>
          <w:rFonts w:ascii="Times New Roman" w:hAnsi="Times New Roman" w:hint="default"/>
          <w:rtl w:val="0"/>
        </w:rPr>
        <w:t xml:space="preserve">– </w:t>
      </w:r>
      <w:r>
        <w:rPr>
          <w:rFonts w:ascii="Times New Roman" w:hAnsi="Times New Roman"/>
          <w:rtl w:val="0"/>
          <w:lang w:val="en-US"/>
        </w:rPr>
        <w:t>but be cautious, as GERD often worsens as gestation advances (highest prevalence in third trimester) .</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Finally, plan for postpartum management. Reflux usually improves after delivery, but about 1 in 5 women may still have GERD symptoms postpartum . Those who required PPIs in pregnancy should be re-evaluated after delivery: many can step down to H2RA or lifestyle modifications at that point. If symptoms persist, they can continue PPIs and undergo any indicated diagnostic work-up (e.g. endoscopy) that was deferred during pregnancy.</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 xml:space="preserve">Summary: Pregnant patients with GERD should be managed with a step-up approach that prioritizes safety: begin with lifestyle modifications and non-systemic remedies, then use medications of increasing potency (antacids </w:t>
      </w:r>
      <w:r>
        <w:rPr>
          <w:rFonts w:ascii="Times New Roman" w:hAnsi="Times New Roman" w:hint="default"/>
          <w:rtl w:val="0"/>
        </w:rPr>
        <w:t xml:space="preserve">→ </w:t>
      </w:r>
      <w:r>
        <w:rPr>
          <w:rFonts w:ascii="Times New Roman" w:hAnsi="Times New Roman"/>
          <w:rtl w:val="0"/>
        </w:rPr>
        <w:t xml:space="preserve">sucralfate </w:t>
      </w:r>
      <w:r>
        <w:rPr>
          <w:rFonts w:ascii="Times New Roman" w:hAnsi="Times New Roman" w:hint="default"/>
          <w:rtl w:val="0"/>
        </w:rPr>
        <w:t xml:space="preserve">→ </w:t>
      </w:r>
      <w:r>
        <w:rPr>
          <w:rFonts w:ascii="Times New Roman" w:hAnsi="Times New Roman"/>
          <w:rtl w:val="0"/>
          <w:lang w:val="nl-NL"/>
        </w:rPr>
        <w:t xml:space="preserve">H2 blockers </w:t>
      </w:r>
      <w:r>
        <w:rPr>
          <w:rFonts w:ascii="Times New Roman" w:hAnsi="Times New Roman" w:hint="default"/>
          <w:rtl w:val="0"/>
        </w:rPr>
        <w:t xml:space="preserve">→ </w:t>
      </w:r>
      <w:r>
        <w:rPr>
          <w:rFonts w:ascii="Times New Roman" w:hAnsi="Times New Roman"/>
          <w:rtl w:val="0"/>
          <w:lang w:val="en-US"/>
        </w:rPr>
        <w:t xml:space="preserve">PPIs) as needed . This pathway alleviates maternal symptoms effectively in the majority of patients without harming the fetus. Vigilance for alarm features is crucial </w:t>
      </w:r>
      <w:r>
        <w:rPr>
          <w:rFonts w:ascii="Times New Roman" w:hAnsi="Times New Roman" w:hint="default"/>
          <w:rtl w:val="0"/>
        </w:rPr>
        <w:t xml:space="preserve">– </w:t>
      </w:r>
      <w:r>
        <w:rPr>
          <w:rFonts w:ascii="Times New Roman" w:hAnsi="Times New Roman"/>
          <w:rtl w:val="0"/>
          <w:lang w:val="en-US"/>
        </w:rPr>
        <w:t>alarm symptoms demand further evaluation (often endoscopy) and specialist involvement . By following this care pathway, providers can ensure both mother and baby remain healthy and comfortable throughout the pregnancy.</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fr-FR"/>
        </w:rPr>
        <w:t>Sources:</w:t>
      </w: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4"/>
        </w:numPr>
        <w:suppressAutoHyphens w:val="1"/>
        <w:spacing w:before="0" w:after="240" w:line="240" w:lineRule="auto"/>
        <w:jc w:val="left"/>
        <w:rPr>
          <w:rFonts w:ascii="Times New Roman" w:hAnsi="Times New Roman"/>
          <w:lang w:val="en-US"/>
        </w:rPr>
      </w:pPr>
      <w:r>
        <w:rPr>
          <w:rFonts w:ascii="Times New Roman" w:hAnsi="Times New Roman"/>
          <w:rtl w:val="0"/>
          <w:lang w:val="en-US"/>
        </w:rPr>
        <w:t xml:space="preserve">Katz PO, et al. ACG Clinical Guideline for the Diagnosis and Management of GERD. Am J Gastroenterol. 2022;117(1):27-56. (Key recommendations and pregnancy-specific notes) </w:t>
      </w:r>
    </w:p>
    <w:p>
      <w:pPr>
        <w:pStyle w:val="Default"/>
        <w:numPr>
          <w:ilvl w:val="0"/>
          <w:numId w:val="4"/>
        </w:numPr>
        <w:suppressAutoHyphens w:val="1"/>
        <w:spacing w:before="0" w:after="240" w:line="240" w:lineRule="auto"/>
        <w:jc w:val="left"/>
        <w:rPr>
          <w:rFonts w:ascii="Times New Roman" w:hAnsi="Times New Roman"/>
          <w:lang w:val="en-US"/>
        </w:rPr>
      </w:pPr>
      <w:r>
        <w:rPr>
          <w:rFonts w:ascii="Times New Roman" w:hAnsi="Times New Roman"/>
          <w:rtl w:val="0"/>
          <w:lang w:val="en-US"/>
        </w:rPr>
        <w:t xml:space="preserve">Altuwaijri M. Evidence-based treatment recommendations for GERD during pregnancy: A review. Medicine (Baltimore). 2022;101(35):e30487. (Open-access review </w:t>
      </w:r>
      <w:r>
        <w:rPr>
          <w:rFonts w:ascii="Times New Roman" w:hAnsi="Times New Roman" w:hint="default"/>
          <w:rtl w:val="0"/>
        </w:rPr>
        <w:t xml:space="preserve">– </w:t>
      </w:r>
      <w:r>
        <w:rPr>
          <w:rFonts w:ascii="Times New Roman" w:hAnsi="Times New Roman"/>
          <w:rtl w:val="0"/>
          <w:lang w:val="en-US"/>
        </w:rPr>
        <w:t xml:space="preserve">stepwise approach and safety data) </w:t>
      </w:r>
    </w:p>
    <w:p>
      <w:pPr>
        <w:pStyle w:val="Default"/>
        <w:numPr>
          <w:ilvl w:val="0"/>
          <w:numId w:val="4"/>
        </w:numPr>
        <w:suppressAutoHyphens w:val="1"/>
        <w:spacing w:before="0" w:after="240" w:line="240" w:lineRule="auto"/>
        <w:jc w:val="left"/>
        <w:rPr>
          <w:rFonts w:ascii="Times New Roman" w:hAnsi="Times New Roman"/>
          <w:lang w:val="de-DE"/>
        </w:rPr>
      </w:pPr>
      <w:r>
        <w:rPr>
          <w:rFonts w:ascii="Times New Roman" w:hAnsi="Times New Roman"/>
          <w:rtl w:val="0"/>
          <w:lang w:val="de-DE"/>
        </w:rPr>
        <w:t>Ali RA, Egan LJ. GERD in pregnancy. Best Pract Res Clin Gastroenterol. 2007;21(5):793</w:t>
      </w:r>
      <w:r>
        <w:rPr>
          <w:rFonts w:ascii="Times New Roman" w:hAnsi="Times New Roman" w:hint="default"/>
          <w:rtl w:val="0"/>
        </w:rPr>
        <w:t>–</w:t>
      </w:r>
      <w:r>
        <w:rPr>
          <w:rFonts w:ascii="Times New Roman" w:hAnsi="Times New Roman"/>
          <w:rtl w:val="0"/>
          <w:lang w:val="en-US"/>
        </w:rPr>
        <w:t xml:space="preserve">806. (Source of treatment algorithm adapted in figure) </w:t>
      </w:r>
      <w:r>
        <w:rPr>
          <w:rFonts w:ascii="Arial Unicode MS" w:cs="Arial Unicode MS" w:hAnsi="Arial Unicode MS" w:eastAsia="Arial Unicode MS" w:hint="eastAsia"/>
          <w:b w:val="0"/>
          <w:bCs w:val="0"/>
          <w:i w:val="0"/>
          <w:iCs w:val="0"/>
          <w:rtl w:val="0"/>
        </w:rPr>
        <w:t>【</w:t>
      </w:r>
      <w:r>
        <w:rPr>
          <w:rFonts w:ascii="Times New Roman" w:hAnsi="Times New Roman"/>
          <w:rtl w:val="0"/>
        </w:rPr>
        <w:t>43</w:t>
      </w:r>
      <w:r>
        <w:rPr>
          <w:rFonts w:ascii="Times New Roman" w:hAnsi="Times New Roman" w:hint="default"/>
          <w:rtl w:val="0"/>
        </w:rPr>
        <w:t>†</w:t>
      </w:r>
      <w:r>
        <w:rPr>
          <w:rFonts w:ascii="Times New Roman" w:hAnsi="Times New Roman"/>
          <w:rtl w:val="0"/>
          <w:lang w:val="en-US"/>
        </w:rPr>
        <w:t>look 0 678</w:t>
      </w:r>
      <w:r>
        <w:rPr>
          <w:rFonts w:ascii="Arial Unicode MS" w:cs="Arial Unicode MS" w:hAnsi="Arial Unicode MS" w:eastAsia="Arial Unicode MS" w:hint="eastAsia"/>
          <w:b w:val="0"/>
          <w:bCs w:val="0"/>
          <w:i w:val="0"/>
          <w:iCs w:val="0"/>
          <w:rtl w:val="0"/>
        </w:rPr>
        <w:t>】</w:t>
      </w:r>
    </w:p>
    <w:p>
      <w:pPr>
        <w:pStyle w:val="Default"/>
        <w:numPr>
          <w:ilvl w:val="0"/>
          <w:numId w:val="4"/>
        </w:numPr>
        <w:suppressAutoHyphens w:val="1"/>
        <w:spacing w:before="0" w:after="240" w:line="240" w:lineRule="auto"/>
        <w:jc w:val="left"/>
        <w:rPr>
          <w:rFonts w:ascii="Times New Roman" w:hAnsi="Times New Roman"/>
          <w:lang w:val="en-US"/>
        </w:rPr>
      </w:pPr>
      <w:r>
        <w:rPr>
          <w:rFonts w:ascii="Times New Roman" w:hAnsi="Times New Roman"/>
          <w:rtl w:val="0"/>
          <w:lang w:val="en-US"/>
        </w:rPr>
        <w:t xml:space="preserve">Gerson LB. Treatment of GERD During Pregnancy </w:t>
      </w:r>
      <w:r>
        <w:rPr>
          <w:rFonts w:ascii="Times New Roman" w:hAnsi="Times New Roman" w:hint="default"/>
          <w:rtl w:val="0"/>
        </w:rPr>
        <w:t xml:space="preserve">– </w:t>
      </w:r>
      <w:r>
        <w:rPr>
          <w:rFonts w:ascii="Times New Roman" w:hAnsi="Times New Roman"/>
          <w:rtl w:val="0"/>
          <w:lang w:val="en-US"/>
        </w:rPr>
        <w:t xml:space="preserve">Q&amp;A. Gastroenterology &amp; Hepatology. 2012;8(11):763-4. (Expert commentary on medication safety) </w:t>
      </w:r>
    </w:p>
    <w:p>
      <w:pPr>
        <w:pStyle w:val="Default"/>
        <w:numPr>
          <w:ilvl w:val="0"/>
          <w:numId w:val="4"/>
        </w:numPr>
        <w:suppressAutoHyphens w:val="1"/>
        <w:spacing w:before="0" w:after="240" w:line="240" w:lineRule="auto"/>
        <w:jc w:val="left"/>
        <w:rPr>
          <w:rFonts w:ascii="Times New Roman" w:hAnsi="Times New Roman"/>
          <w:lang w:val="en-US"/>
        </w:rPr>
      </w:pPr>
      <w:r>
        <w:rPr>
          <w:rFonts w:ascii="Times New Roman" w:hAnsi="Times New Roman"/>
          <w:rtl w:val="0"/>
          <w:lang w:val="en-US"/>
        </w:rPr>
        <w:t xml:space="preserve">Raja Ali RA, et al. Recent evidence on management of heartburn in pregnant and breastfeeding women. BMC Gastroenterol. 2022;22:219. (Includes efficacy of interventions and algorithm) </w:t>
      </w:r>
    </w:p>
    <w:p>
      <w:pPr>
        <w:pStyle w:val="Default"/>
        <w:numPr>
          <w:ilvl w:val="0"/>
          <w:numId w:val="4"/>
        </w:numPr>
        <w:suppressAutoHyphens w:val="1"/>
        <w:spacing w:before="0" w:after="240" w:line="240" w:lineRule="auto"/>
        <w:jc w:val="left"/>
        <w:rPr>
          <w:rFonts w:ascii="Times New Roman" w:hAnsi="Times New Roman"/>
          <w:lang w:val="en-US"/>
        </w:rPr>
      </w:pPr>
      <w:r>
        <w:rPr>
          <w:rFonts w:ascii="Times New Roman" w:hAnsi="Times New Roman"/>
          <w:rtl w:val="0"/>
          <w:lang w:val="en-US"/>
        </w:rPr>
        <w:t xml:space="preserve">ACG Patient Education: Acid Reflux (GERD) and Pregnancy. American College of Gastroenterology, 2022. (Patient-oriented summary of lifestyle and treatment measures) </w:t>
      </w:r>
    </w:p>
    <w:p>
      <w:pPr>
        <w:pStyle w:val="Default"/>
        <w:numPr>
          <w:ilvl w:val="0"/>
          <w:numId w:val="4"/>
        </w:numPr>
        <w:suppressAutoHyphens w:val="1"/>
        <w:spacing w:before="0" w:after="240" w:line="240" w:lineRule="auto"/>
        <w:jc w:val="left"/>
        <w:rPr>
          <w:rFonts w:ascii="Times New Roman" w:hAnsi="Times New Roman"/>
          <w:lang w:val="en-US"/>
        </w:rPr>
      </w:pPr>
      <w:r>
        <w:rPr>
          <w:rFonts w:ascii="Times New Roman" w:hAnsi="Times New Roman"/>
          <w:rtl w:val="0"/>
          <w:lang w:val="en-US"/>
        </w:rPr>
        <w:t xml:space="preserve">Mahadevan U, et al. AGA Clinical Practice Update on Gastrointestinal and Liver Diseases During Pregnancy. Gastroenterology. 2023. (Guidance on safe medication use in pregnancy </w:t>
      </w:r>
      <w:r>
        <w:rPr>
          <w:rFonts w:ascii="Times New Roman" w:hAnsi="Times New Roman" w:hint="default"/>
          <w:rtl w:val="0"/>
        </w:rPr>
        <w:t xml:space="preserve">– </w:t>
      </w:r>
      <w:r>
        <w:rPr>
          <w:rFonts w:ascii="Times New Roman" w:hAnsi="Times New Roman"/>
          <w:rtl w:val="0"/>
          <w:lang w:val="es-ES_tradnl"/>
        </w:rPr>
        <w:t xml:space="preserve">H2RAs, PPIs, etc.) </w:t>
      </w:r>
    </w:p>
    <w:p>
      <w:pPr>
        <w:pStyle w:val="Default"/>
        <w:numPr>
          <w:ilvl w:val="0"/>
          <w:numId w:val="4"/>
        </w:numPr>
        <w:suppressAutoHyphens w:val="1"/>
        <w:spacing w:before="0" w:after="240" w:line="240" w:lineRule="auto"/>
        <w:jc w:val="left"/>
        <w:rPr>
          <w:rFonts w:ascii="Times New Roman" w:hAnsi="Times New Roman"/>
          <w:lang w:val="en-US"/>
        </w:rPr>
      </w:pPr>
      <w:r>
        <w:rPr>
          <w:rFonts w:ascii="Times New Roman" w:hAnsi="Times New Roman"/>
          <w:rtl w:val="0"/>
          <w:lang w:val="en-US"/>
        </w:rPr>
        <w:t xml:space="preserve">Niebyl JR, et al. Treatment of GERD and Nausea in Pregnancy. Obstet Gynecol Clin North Am. 2018;45(2):591-601. (Discusses stepwise therapy, overlaps of GERD with nausea/vomiting management) </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rPr>
        <w:t>Here</w:t>
      </w:r>
      <w:r>
        <w:rPr>
          <w:rFonts w:ascii="Times New Roman" w:hAnsi="Times New Roman" w:hint="default"/>
          <w:rtl w:val="1"/>
        </w:rPr>
        <w:t>’</w:t>
      </w:r>
      <w:r>
        <w:rPr>
          <w:rFonts w:ascii="Times New Roman" w:hAnsi="Times New Roman"/>
          <w:rtl w:val="0"/>
          <w:lang w:val="en-US"/>
        </w:rPr>
        <w:t>s a text-only, stepwise flow pathway for GERD in Pregnancy (U.S. guidelines) that a clinician can follow at the point of care. It incorporates assessment, alarm-symptom referral, trimester notes, and dose-by-dose escalation with RxNorm references.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48"/>
          <w:szCs w:val="48"/>
          <w:rtl w:val="0"/>
          <w:lang w:val="de-DE"/>
        </w:rPr>
        <w:t xml:space="preserve">GERD in Pregnancy </w:t>
      </w:r>
      <w:r>
        <w:rPr>
          <w:rFonts w:ascii="Times New Roman" w:hAnsi="Times New Roman" w:hint="default"/>
          <w:b w:val="1"/>
          <w:bCs w:val="1"/>
          <w:sz w:val="48"/>
          <w:szCs w:val="48"/>
          <w:rtl w:val="0"/>
          <w:lang w:val="en-US"/>
        </w:rPr>
        <w:t xml:space="preserve">— </w:t>
      </w:r>
      <w:r>
        <w:rPr>
          <w:rFonts w:ascii="Times New Roman" w:hAnsi="Times New Roman"/>
          <w:b w:val="1"/>
          <w:bCs w:val="1"/>
          <w:sz w:val="48"/>
          <w:szCs w:val="48"/>
          <w:rtl w:val="0"/>
          <w:lang w:val="en-US"/>
        </w:rPr>
        <w:t>Text-Based Care Flow</w:t>
      </w: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n-US"/>
        </w:rPr>
        <w:t xml:space="preserve">0) At Every Visit </w:t>
      </w:r>
      <w:r>
        <w:rPr>
          <w:rFonts w:ascii="Times New Roman" w:hAnsi="Times New Roman" w:hint="default"/>
          <w:b w:val="1"/>
          <w:bCs w:val="1"/>
          <w:sz w:val="36"/>
          <w:szCs w:val="36"/>
          <w:rtl w:val="0"/>
          <w:lang w:val="en-US"/>
        </w:rPr>
        <w:t xml:space="preserve">— </w:t>
      </w:r>
      <w:r>
        <w:rPr>
          <w:rFonts w:ascii="Times New Roman" w:hAnsi="Times New Roman"/>
          <w:b w:val="1"/>
          <w:bCs w:val="1"/>
          <w:sz w:val="36"/>
          <w:szCs w:val="36"/>
          <w:rtl w:val="0"/>
          <w:lang w:val="en-US"/>
        </w:rPr>
        <w:t>Quick Screen &amp; Safety Check</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Ask: typical symptoms (heartburn, regurgitation), frequency, sleep/PO impact, current meds, adherence.</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 xml:space="preserve">Always screen for ALARM symptoms </w:t>
      </w:r>
      <w:r>
        <w:rPr>
          <w:rFonts w:ascii="Times New Roman" w:hAnsi="Times New Roman" w:hint="default"/>
          <w:rtl w:val="0"/>
        </w:rPr>
        <w:t xml:space="preserve">→ </w:t>
      </w:r>
      <w:r>
        <w:rPr>
          <w:rFonts w:ascii="Times New Roman" w:hAnsi="Times New Roman"/>
          <w:rtl w:val="0"/>
          <w:lang w:val="en-US"/>
        </w:rPr>
        <w:t>if any present, skip to Step 6 (Referral):</w:t>
      </w:r>
      <w:r>
        <w:rPr>
          <w:rFonts w:ascii="Times New Roman" w:cs="Times New Roman" w:hAnsi="Times New Roman" w:eastAsia="Times New Roman"/>
        </w:rPr>
        <w:br w:type="textWrapping"/>
      </w:r>
      <w:r>
        <w:rPr>
          <w:rFonts w:ascii="Times New Roman" w:hAnsi="Times New Roman"/>
          <w:rtl w:val="0"/>
          <w:lang w:val="en-US"/>
        </w:rPr>
        <w:t>dysphagia/odynophagia, hematemesis or melena, persistent vomiting, chest pain not typical for reflux, involuntary weight loss.</w:t>
      </w: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n-US"/>
        </w:rPr>
        <w:t>1) Initial Assessment (No alarm symptoms)</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Typical, uncomplicated reflux in pregnancy is a clinical diagnosis (no routine endoscopy/imaging).</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Identify triggers, prior remedies, trimester, and comorbidities.</w:t>
      </w: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n-US"/>
        </w:rPr>
        <w:t>2) First-Line Management (Lifestyle &amp; Non-Drug)</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Small, frequent meals; no food within ~3 hours of bedtime.</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Head-of-bed elevation 6</w:t>
      </w:r>
      <w:r>
        <w:rPr>
          <w:rFonts w:ascii="Times New Roman" w:hAnsi="Times New Roman" w:hint="default"/>
          <w:rtl w:val="0"/>
        </w:rPr>
        <w:t>–</w:t>
      </w:r>
      <w:r>
        <w:rPr>
          <w:rFonts w:ascii="Times New Roman" w:hAnsi="Times New Roman"/>
          <w:rtl w:val="0"/>
        </w:rPr>
        <w:t>8</w:t>
      </w:r>
      <w:r>
        <w:rPr>
          <w:rFonts w:ascii="Times New Roman" w:hAnsi="Times New Roman" w:hint="default"/>
          <w:rtl w:val="0"/>
        </w:rPr>
        <w:t xml:space="preserve">″ </w:t>
      </w:r>
      <w:r>
        <w:rPr>
          <w:rFonts w:ascii="Times New Roman" w:hAnsi="Times New Roman"/>
          <w:rtl w:val="0"/>
          <w:lang w:val="en-US"/>
        </w:rPr>
        <w:t>(wedge/pillows). Prefer left-lateral position for sleep.</w:t>
      </w:r>
    </w:p>
    <w:p>
      <w:pPr>
        <w:pStyle w:val="Default"/>
        <w:numPr>
          <w:ilvl w:val="0"/>
          <w:numId w:val="2"/>
        </w:numPr>
        <w:suppressAutoHyphens w:val="1"/>
        <w:spacing w:before="0" w:after="240" w:line="240" w:lineRule="auto"/>
        <w:jc w:val="left"/>
        <w:rPr>
          <w:rFonts w:ascii="Times New Roman" w:hAnsi="Times New Roman"/>
          <w:lang w:val="it-IT"/>
        </w:rPr>
      </w:pPr>
      <w:r>
        <w:rPr>
          <w:rFonts w:ascii="Times New Roman" w:hAnsi="Times New Roman"/>
          <w:rtl w:val="0"/>
          <w:lang w:val="it-IT"/>
        </w:rPr>
        <w:t>Avoid triggers: fatty/spicy, citrus/tomato, chocolate, peppermint, caffeine, carbonation.</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Avoid tight garments; limit excessive gestational weight gain; no tobacco/alcohol.</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Consider alginate-based antacid (raft former) for post-prandial or nocturnal symptoms.</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Reassess in 1</w:t>
      </w:r>
      <w:r>
        <w:rPr>
          <w:rFonts w:ascii="Times New Roman" w:hAnsi="Times New Roman" w:hint="default"/>
          <w:rtl w:val="0"/>
        </w:rPr>
        <w:t>–</w:t>
      </w:r>
      <w:r>
        <w:rPr>
          <w:rFonts w:ascii="Times New Roman" w:hAnsi="Times New Roman"/>
          <w:rtl w:val="0"/>
          <w:lang w:val="nl-NL"/>
        </w:rPr>
        <w:t>2 weeks.</w:t>
      </w:r>
      <w:r>
        <w:rPr>
          <w:rFonts w:ascii="Times New Roman" w:cs="Times New Roman" w:hAnsi="Times New Roman" w:eastAsia="Times New Roman"/>
          <w:rtl w:val="0"/>
        </w:rPr>
        <w:br w:type="textWrapping"/>
        <w:t xml:space="preserve">→ </w:t>
      </w:r>
      <w:r>
        <w:rPr>
          <w:rFonts w:ascii="Times New Roman" w:hAnsi="Times New Roman"/>
          <w:rtl w:val="0"/>
          <w:lang w:val="en-US"/>
        </w:rPr>
        <w:t>If controlled, continue.</w:t>
      </w:r>
      <w:r>
        <w:rPr>
          <w:rFonts w:ascii="Times New Roman" w:cs="Times New Roman" w:hAnsi="Times New Roman" w:eastAsia="Times New Roman"/>
          <w:rtl w:val="0"/>
        </w:rPr>
        <w:br w:type="textWrapping"/>
        <w:t xml:space="preserve">→ </w:t>
      </w:r>
      <w:r>
        <w:rPr>
          <w:rFonts w:ascii="Times New Roman" w:hAnsi="Times New Roman"/>
          <w:rtl w:val="0"/>
          <w:lang w:val="en-US"/>
        </w:rPr>
        <w:t>If persistent/bothersome, go to Step 3.</w:t>
      </w: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s-ES_tradnl"/>
        </w:rPr>
        <w:t xml:space="preserve">3) Antacids PRN (Rescue) </w:t>
      </w:r>
      <w:r>
        <w:rPr>
          <w:rFonts w:ascii="Times New Roman" w:hAnsi="Times New Roman" w:hint="default"/>
          <w:b w:val="1"/>
          <w:bCs w:val="1"/>
          <w:sz w:val="36"/>
          <w:szCs w:val="36"/>
          <w:rtl w:val="0"/>
          <w:lang w:val="en-US"/>
        </w:rPr>
        <w:t xml:space="preserve">— </w:t>
      </w:r>
      <w:r>
        <w:rPr>
          <w:rFonts w:ascii="Times New Roman" w:hAnsi="Times New Roman"/>
          <w:b w:val="1"/>
          <w:bCs w:val="1"/>
          <w:sz w:val="36"/>
          <w:szCs w:val="36"/>
          <w:rtl w:val="0"/>
          <w:lang w:val="en-US"/>
        </w:rPr>
        <w:t>Add to Lifestyle</w:t>
      </w: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Goal: rapid relief; can be continued with later steps for breakthrough.</w:t>
      </w:r>
    </w:p>
    <w:p>
      <w:pPr>
        <w:pStyle w:val="Default"/>
        <w:numPr>
          <w:ilvl w:val="0"/>
          <w:numId w:val="2"/>
        </w:numPr>
        <w:suppressAutoHyphens w:val="1"/>
        <w:spacing w:before="0" w:after="240" w:line="240" w:lineRule="auto"/>
        <w:jc w:val="left"/>
        <w:rPr>
          <w:rFonts w:ascii="Times New Roman" w:hAnsi="Times New Roman"/>
          <w:lang w:val="it-IT"/>
        </w:rPr>
      </w:pPr>
      <w:r>
        <w:rPr>
          <w:rFonts w:ascii="Times New Roman" w:hAnsi="Times New Roman"/>
          <w:rtl w:val="0"/>
          <w:lang w:val="it-IT"/>
        </w:rPr>
        <w:t xml:space="preserve">Calcium carbonate chewable (Tums) </w:t>
      </w:r>
      <w:r>
        <w:rPr>
          <w:rFonts w:ascii="Times New Roman" w:hAnsi="Times New Roman" w:hint="default"/>
          <w:rtl w:val="0"/>
          <w:lang w:val="en-US"/>
        </w:rPr>
        <w:t xml:space="preserve">— </w:t>
      </w:r>
      <w:r>
        <w:rPr>
          <w:rFonts w:ascii="Times New Roman" w:hAnsi="Times New Roman"/>
          <w:rtl w:val="0"/>
        </w:rPr>
        <w:t>RxNorm 308907</w:t>
      </w:r>
      <w:r>
        <w:rPr>
          <w:rFonts w:ascii="Times New Roman" w:cs="Times New Roman" w:hAnsi="Times New Roman" w:eastAsia="Times New Roman"/>
        </w:rPr>
        <w:br w:type="textWrapping"/>
      </w:r>
      <w:r>
        <w:rPr>
          <w:rFonts w:ascii="Times New Roman" w:hAnsi="Times New Roman"/>
          <w:rtl w:val="0"/>
        </w:rPr>
        <w:t>SIG: 500 mg chew 2</w:t>
      </w:r>
      <w:r>
        <w:rPr>
          <w:rFonts w:ascii="Times New Roman" w:hAnsi="Times New Roman" w:hint="default"/>
          <w:rtl w:val="0"/>
        </w:rPr>
        <w:t>–</w:t>
      </w:r>
      <w:r>
        <w:rPr>
          <w:rFonts w:ascii="Times New Roman" w:hAnsi="Times New Roman"/>
          <w:rtl w:val="0"/>
          <w:lang w:val="en-US"/>
        </w:rPr>
        <w:t>4 tabs after meals/HS PRN (do not exceed label max; avoid milk-alkali).</w:t>
      </w:r>
    </w:p>
    <w:p>
      <w:pPr>
        <w:pStyle w:val="Default"/>
        <w:numPr>
          <w:ilvl w:val="0"/>
          <w:numId w:val="2"/>
        </w:numPr>
        <w:suppressAutoHyphens w:val="1"/>
        <w:spacing w:before="0" w:after="240" w:line="240" w:lineRule="auto"/>
        <w:jc w:val="left"/>
        <w:rPr>
          <w:rFonts w:ascii="Times New Roman" w:hAnsi="Times New Roman"/>
          <w:lang w:val="nl-NL"/>
        </w:rPr>
      </w:pPr>
      <w:r>
        <w:rPr>
          <w:rFonts w:ascii="Times New Roman" w:hAnsi="Times New Roman"/>
          <w:rtl w:val="0"/>
          <w:lang w:val="nl-NL"/>
        </w:rPr>
        <w:t xml:space="preserve">Aluminum/Magnesium hydroxide suspension (e.g., Maalox/Mylanta) </w:t>
      </w:r>
      <w:r>
        <w:rPr>
          <w:rFonts w:ascii="Times New Roman" w:hAnsi="Times New Roman" w:hint="default"/>
          <w:rtl w:val="0"/>
          <w:lang w:val="en-US"/>
        </w:rPr>
        <w:t xml:space="preserve">— </w:t>
      </w:r>
      <w:r>
        <w:rPr>
          <w:rFonts w:ascii="Times New Roman" w:hAnsi="Times New Roman"/>
          <w:rtl w:val="0"/>
        </w:rPr>
        <w:t>RxNorm 153010</w:t>
      </w:r>
      <w:r>
        <w:rPr>
          <w:rFonts w:ascii="Times New Roman" w:cs="Times New Roman" w:hAnsi="Times New Roman" w:eastAsia="Times New Roman"/>
        </w:rPr>
        <w:br w:type="textWrapping"/>
      </w:r>
      <w:r>
        <w:rPr>
          <w:rFonts w:ascii="Times New Roman" w:hAnsi="Times New Roman"/>
          <w:rtl w:val="0"/>
        </w:rPr>
        <w:t>SIG: 10</w:t>
      </w:r>
      <w:r>
        <w:rPr>
          <w:rFonts w:ascii="Times New Roman" w:hAnsi="Times New Roman" w:hint="default"/>
          <w:rtl w:val="0"/>
        </w:rPr>
        <w:t>–</w:t>
      </w:r>
      <w:r>
        <w:rPr>
          <w:rFonts w:ascii="Times New Roman" w:hAnsi="Times New Roman"/>
          <w:rtl w:val="0"/>
          <w:lang w:val="en-US"/>
        </w:rPr>
        <w:t>20 mL PO q6h PRN (watch constipation with Al, diarrhea with Mg).</w:t>
      </w: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it-IT"/>
        </w:rPr>
        <w:t>Avoid in pregnancy: sodium bicarbonate &amp; magnesium trisilicate.</w:t>
      </w: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 xml:space="preserve">If needs daily PRN &gt;2 weeks OR nocturnal symptoms persist </w:t>
      </w:r>
      <w:r>
        <w:rPr>
          <w:rFonts w:ascii="Times New Roman" w:hAnsi="Times New Roman" w:hint="default"/>
          <w:rtl w:val="0"/>
        </w:rPr>
        <w:t xml:space="preserve">→ </w:t>
      </w:r>
      <w:r>
        <w:rPr>
          <w:rFonts w:ascii="Times New Roman" w:hAnsi="Times New Roman"/>
          <w:rtl w:val="0"/>
          <w:lang w:val="en-US"/>
        </w:rPr>
        <w:t>Step 4.</w:t>
      </w: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s-ES_tradnl"/>
        </w:rPr>
        <w:t xml:space="preserve">4) Sucralfate (Mucosal Protectant) </w:t>
      </w:r>
      <w:r>
        <w:rPr>
          <w:rFonts w:ascii="Times New Roman" w:hAnsi="Times New Roman" w:hint="default"/>
          <w:b w:val="1"/>
          <w:bCs w:val="1"/>
          <w:sz w:val="36"/>
          <w:szCs w:val="36"/>
          <w:rtl w:val="0"/>
          <w:lang w:val="en-US"/>
        </w:rPr>
        <w:t xml:space="preserve">— </w:t>
      </w:r>
      <w:r>
        <w:rPr>
          <w:rFonts w:ascii="Times New Roman" w:hAnsi="Times New Roman"/>
          <w:b w:val="1"/>
          <w:bCs w:val="1"/>
          <w:sz w:val="36"/>
          <w:szCs w:val="36"/>
          <w:rtl w:val="0"/>
          <w:lang w:val="en-US"/>
        </w:rPr>
        <w:t>Low Absorption, Pregnancy-Safe</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 xml:space="preserve">Sucralfate tablets </w:t>
      </w:r>
      <w:r>
        <w:rPr>
          <w:rFonts w:ascii="Times New Roman" w:hAnsi="Times New Roman" w:hint="default"/>
          <w:rtl w:val="0"/>
          <w:lang w:val="en-US"/>
        </w:rPr>
        <w:t xml:space="preserve">— </w:t>
      </w:r>
      <w:r>
        <w:rPr>
          <w:rFonts w:ascii="Times New Roman" w:hAnsi="Times New Roman"/>
          <w:rtl w:val="0"/>
        </w:rPr>
        <w:t>RxNorm 314234</w:t>
      </w:r>
      <w:r>
        <w:rPr>
          <w:rFonts w:ascii="Times New Roman" w:cs="Times New Roman" w:hAnsi="Times New Roman" w:eastAsia="Times New Roman"/>
        </w:rPr>
        <w:br w:type="textWrapping"/>
      </w:r>
      <w:r>
        <w:rPr>
          <w:rFonts w:ascii="Times New Roman" w:hAnsi="Times New Roman"/>
          <w:rtl w:val="0"/>
          <w:lang w:val="en-US"/>
        </w:rPr>
        <w:t>Start: 1 g BID (before meals).</w:t>
      </w:r>
      <w:r>
        <w:rPr>
          <w:rFonts w:ascii="Times New Roman" w:cs="Times New Roman" w:hAnsi="Times New Roman" w:eastAsia="Times New Roman"/>
        </w:rPr>
        <w:br w:type="textWrapping"/>
      </w:r>
      <w:r>
        <w:rPr>
          <w:rFonts w:ascii="Times New Roman" w:hAnsi="Times New Roman"/>
          <w:rtl w:val="0"/>
          <w:lang w:val="en-US"/>
        </w:rPr>
        <w:t xml:space="preserve">Escalate: 1 g TID (before meals) </w:t>
      </w:r>
      <w:r>
        <w:rPr>
          <w:rFonts w:ascii="Times New Roman" w:hAnsi="Times New Roman" w:hint="default"/>
          <w:rtl w:val="0"/>
        </w:rPr>
        <w:t xml:space="preserve">→ </w:t>
      </w:r>
      <w:r>
        <w:rPr>
          <w:rFonts w:ascii="Times New Roman" w:hAnsi="Times New Roman"/>
          <w:rtl w:val="0"/>
          <w:lang w:val="en-US"/>
        </w:rPr>
        <w:t>1 g QID (before meals + HS).</w:t>
      </w:r>
      <w:r>
        <w:rPr>
          <w:rFonts w:ascii="Times New Roman" w:cs="Times New Roman" w:hAnsi="Times New Roman" w:eastAsia="Times New Roman"/>
        </w:rPr>
        <w:br w:type="textWrapping"/>
      </w:r>
      <w:r>
        <w:rPr>
          <w:rFonts w:ascii="Times New Roman" w:hAnsi="Times New Roman"/>
          <w:rtl w:val="0"/>
          <w:lang w:val="en-US"/>
        </w:rPr>
        <w:t>Titration interval: allow 1</w:t>
      </w:r>
      <w:r>
        <w:rPr>
          <w:rFonts w:ascii="Times New Roman" w:hAnsi="Times New Roman" w:hint="default"/>
          <w:rtl w:val="0"/>
        </w:rPr>
        <w:t>–</w:t>
      </w:r>
      <w:r>
        <w:rPr>
          <w:rFonts w:ascii="Times New Roman" w:hAnsi="Times New Roman"/>
          <w:rtl w:val="0"/>
          <w:lang w:val="en-US"/>
        </w:rPr>
        <w:t>2 weeks per step.</w:t>
      </w:r>
      <w:r>
        <w:rPr>
          <w:rFonts w:ascii="Times New Roman" w:cs="Times New Roman" w:hAnsi="Times New Roman" w:eastAsia="Times New Roman"/>
        </w:rPr>
        <w:br w:type="textWrapping"/>
      </w:r>
      <w:r>
        <w:rPr>
          <w:rFonts w:ascii="Times New Roman" w:hAnsi="Times New Roman"/>
          <w:rtl w:val="0"/>
          <w:lang w:val="en-US"/>
        </w:rPr>
        <w:t xml:space="preserve">Pearls: separate from other oral meds by </w:t>
      </w:r>
      <w:r>
        <w:rPr>
          <w:rFonts w:ascii="Times New Roman" w:hAnsi="Times New Roman" w:hint="default"/>
          <w:rtl w:val="0"/>
        </w:rPr>
        <w:t>≥</w:t>
      </w:r>
      <w:r>
        <w:rPr>
          <w:rFonts w:ascii="Times New Roman" w:hAnsi="Times New Roman"/>
          <w:rtl w:val="0"/>
          <w:lang w:val="en-US"/>
        </w:rPr>
        <w:t>2 h (binding). Main AE: constipation.</w:t>
      </w: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If inadequate at QID after 1</w:t>
      </w:r>
      <w:r>
        <w:rPr>
          <w:rFonts w:ascii="Times New Roman" w:hAnsi="Times New Roman" w:hint="default"/>
          <w:rtl w:val="0"/>
        </w:rPr>
        <w:t>–</w:t>
      </w:r>
      <w:r>
        <w:rPr>
          <w:rFonts w:ascii="Times New Roman" w:hAnsi="Times New Roman"/>
          <w:rtl w:val="0"/>
          <w:lang w:val="nl-NL"/>
        </w:rPr>
        <w:t xml:space="preserve">2 weeks </w:t>
      </w:r>
      <w:r>
        <w:rPr>
          <w:rFonts w:ascii="Times New Roman" w:hAnsi="Times New Roman" w:hint="default"/>
          <w:rtl w:val="0"/>
        </w:rPr>
        <w:t xml:space="preserve">→ </w:t>
      </w:r>
      <w:r>
        <w:rPr>
          <w:rFonts w:ascii="Times New Roman" w:hAnsi="Times New Roman"/>
          <w:rtl w:val="0"/>
          <w:lang w:val="en-US"/>
        </w:rPr>
        <w:t>Step 5.</w:t>
      </w: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it-IT"/>
        </w:rPr>
        <w:t xml:space="preserve">5) Acid Suppression </w:t>
      </w:r>
      <w:r>
        <w:rPr>
          <w:rFonts w:ascii="Times New Roman" w:hAnsi="Times New Roman" w:hint="default"/>
          <w:b w:val="1"/>
          <w:bCs w:val="1"/>
          <w:sz w:val="36"/>
          <w:szCs w:val="36"/>
          <w:rtl w:val="0"/>
          <w:lang w:val="en-US"/>
        </w:rPr>
        <w:t xml:space="preserve">— </w:t>
      </w:r>
      <w:r>
        <w:rPr>
          <w:rFonts w:ascii="Times New Roman" w:hAnsi="Times New Roman"/>
          <w:b w:val="1"/>
          <w:bCs w:val="1"/>
          <w:sz w:val="36"/>
          <w:szCs w:val="36"/>
          <w:rtl w:val="0"/>
          <w:lang w:val="de-DE"/>
        </w:rPr>
        <w:t xml:space="preserve">H2RA </w:t>
      </w:r>
      <w:r>
        <w:rPr>
          <w:rFonts w:ascii="Times New Roman" w:hAnsi="Times New Roman" w:hint="default"/>
          <w:b w:val="1"/>
          <w:bCs w:val="1"/>
          <w:sz w:val="36"/>
          <w:szCs w:val="36"/>
          <w:rtl w:val="0"/>
        </w:rPr>
        <w:t xml:space="preserve">→ </w:t>
      </w:r>
      <w:r>
        <w:rPr>
          <w:rFonts w:ascii="Times New Roman" w:hAnsi="Times New Roman"/>
          <w:b w:val="1"/>
          <w:bCs w:val="1"/>
          <w:sz w:val="36"/>
          <w:szCs w:val="36"/>
          <w:rtl w:val="0"/>
        </w:rPr>
        <w:t>PPI (Step-Up)</w:t>
      </w: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s-ES_tradnl"/>
        </w:rPr>
        <w:t>5A) H2 Receptor Antagonist (preferred: famotidine)</w:t>
      </w:r>
    </w:p>
    <w:p>
      <w:pPr>
        <w:pStyle w:val="Default"/>
        <w:numPr>
          <w:ilvl w:val="0"/>
          <w:numId w:val="2"/>
        </w:numPr>
        <w:suppressAutoHyphens w:val="1"/>
        <w:spacing w:before="0" w:after="240" w:line="240" w:lineRule="auto"/>
        <w:jc w:val="left"/>
        <w:rPr>
          <w:rFonts w:ascii="Times New Roman" w:hAnsi="Times New Roman"/>
        </w:rPr>
      </w:pPr>
      <w:r>
        <w:rPr>
          <w:rFonts w:ascii="Times New Roman" w:hAnsi="Times New Roman"/>
          <w:rtl w:val="0"/>
        </w:rPr>
        <w:t xml:space="preserve">Famotidine </w:t>
      </w:r>
      <w:r>
        <w:rPr>
          <w:rFonts w:ascii="Times New Roman" w:hAnsi="Times New Roman" w:hint="default"/>
          <w:rtl w:val="0"/>
          <w:lang w:val="en-US"/>
        </w:rPr>
        <w:t xml:space="preserve">— </w:t>
      </w:r>
      <w:r>
        <w:rPr>
          <w:rFonts w:ascii="Times New Roman" w:hAnsi="Times New Roman"/>
          <w:rtl w:val="0"/>
        </w:rPr>
        <w:t>RxNorm 310273</w:t>
      </w:r>
      <w:r>
        <w:rPr>
          <w:rFonts w:ascii="Times New Roman" w:cs="Times New Roman" w:hAnsi="Times New Roman" w:eastAsia="Times New Roman"/>
        </w:rPr>
        <w:br w:type="textWrapping"/>
      </w:r>
      <w:r>
        <w:rPr>
          <w:rFonts w:ascii="Times New Roman" w:hAnsi="Times New Roman"/>
          <w:rtl w:val="0"/>
          <w:lang w:val="en-US"/>
        </w:rPr>
        <w:t>Start: 10</w:t>
      </w:r>
      <w:r>
        <w:rPr>
          <w:rFonts w:ascii="Times New Roman" w:hAnsi="Times New Roman" w:hint="default"/>
          <w:rtl w:val="0"/>
        </w:rPr>
        <w:t>–</w:t>
      </w:r>
      <w:r>
        <w:rPr>
          <w:rFonts w:ascii="Times New Roman" w:hAnsi="Times New Roman"/>
          <w:rtl w:val="0"/>
          <w:lang w:val="en-US"/>
        </w:rPr>
        <w:t>20 mg HS or 10</w:t>
      </w:r>
      <w:r>
        <w:rPr>
          <w:rFonts w:ascii="Times New Roman" w:hAnsi="Times New Roman" w:hint="default"/>
          <w:rtl w:val="0"/>
        </w:rPr>
        <w:t>–</w:t>
      </w:r>
      <w:r>
        <w:rPr>
          <w:rFonts w:ascii="Times New Roman" w:hAnsi="Times New Roman"/>
          <w:rtl w:val="0"/>
          <w:lang w:val="da-DK"/>
        </w:rPr>
        <w:t>20 mg BID (AM + HS).</w:t>
      </w:r>
      <w:r>
        <w:rPr>
          <w:rFonts w:ascii="Times New Roman" w:cs="Times New Roman" w:hAnsi="Times New Roman" w:eastAsia="Times New Roman"/>
        </w:rPr>
        <w:br w:type="textWrapping"/>
      </w:r>
      <w:r>
        <w:rPr>
          <w:rFonts w:ascii="Times New Roman" w:hAnsi="Times New Roman"/>
          <w:rtl w:val="0"/>
          <w:lang w:val="en-US"/>
        </w:rPr>
        <w:t>Escalate: to 20 mg BID if partial response after 1</w:t>
      </w:r>
      <w:r>
        <w:rPr>
          <w:rFonts w:ascii="Times New Roman" w:hAnsi="Times New Roman" w:hint="default"/>
          <w:rtl w:val="0"/>
        </w:rPr>
        <w:t>–</w:t>
      </w:r>
      <w:r>
        <w:rPr>
          <w:rFonts w:ascii="Times New Roman" w:hAnsi="Times New Roman"/>
          <w:rtl w:val="0"/>
          <w:lang w:val="nl-NL"/>
        </w:rPr>
        <w:t>2 weeks.</w:t>
      </w:r>
      <w:r>
        <w:rPr>
          <w:rFonts w:ascii="Times New Roman" w:cs="Times New Roman" w:hAnsi="Times New Roman" w:eastAsia="Times New Roman"/>
        </w:rPr>
        <w:br w:type="textWrapping"/>
      </w:r>
      <w:r>
        <w:rPr>
          <w:rFonts w:ascii="Times New Roman" w:hAnsi="Times New Roman"/>
          <w:rtl w:val="0"/>
          <w:lang w:val="en-US"/>
        </w:rPr>
        <w:t>Max commonly used: up to 40 mg BID under supervision for severe cases.</w:t>
      </w:r>
      <w:r>
        <w:rPr>
          <w:rFonts w:ascii="Times New Roman" w:cs="Times New Roman" w:hAnsi="Times New Roman" w:eastAsia="Times New Roman"/>
        </w:rPr>
        <w:br w:type="textWrapping"/>
      </w:r>
      <w:r>
        <w:rPr>
          <w:rFonts w:ascii="Times New Roman" w:hAnsi="Times New Roman"/>
          <w:rtl w:val="0"/>
          <w:lang w:val="en-US"/>
        </w:rPr>
        <w:t>Adjuncts: keep antacids PRN for breakthrough.</w:t>
      </w: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 xml:space="preserve">If persistent symptoms after </w:t>
      </w:r>
      <w:r>
        <w:rPr>
          <w:rFonts w:ascii="Times New Roman" w:hAnsi="Times New Roman" w:hint="default"/>
          <w:rtl w:val="0"/>
        </w:rPr>
        <w:t>≥</w:t>
      </w:r>
      <w:r>
        <w:rPr>
          <w:rFonts w:ascii="Times New Roman" w:hAnsi="Times New Roman"/>
          <w:rtl w:val="0"/>
          <w:lang w:val="en-US"/>
        </w:rPr>
        <w:t xml:space="preserve">2 weeks at 20 mg BID </w:t>
      </w:r>
      <w:r>
        <w:rPr>
          <w:rFonts w:ascii="Times New Roman" w:hAnsi="Times New Roman" w:hint="default"/>
          <w:rtl w:val="0"/>
        </w:rPr>
        <w:t xml:space="preserve">→ </w:t>
      </w:r>
      <w:r>
        <w:rPr>
          <w:rFonts w:ascii="Times New Roman" w:hAnsi="Times New Roman"/>
          <w:rtl w:val="0"/>
          <w:lang w:val="en-US"/>
        </w:rPr>
        <w:t>go to 5B (PPI).</w:t>
      </w: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5B) Proton Pump Inhibitor (for refractory/moderate</w:t>
      </w:r>
      <w:r>
        <w:rPr>
          <w:rFonts w:ascii="Times New Roman" w:hAnsi="Times New Roman" w:hint="default"/>
          <w:b w:val="1"/>
          <w:bCs w:val="1"/>
          <w:sz w:val="28"/>
          <w:szCs w:val="28"/>
          <w:rtl w:val="0"/>
        </w:rPr>
        <w:t>–</w:t>
      </w:r>
      <w:r>
        <w:rPr>
          <w:rFonts w:ascii="Times New Roman" w:hAnsi="Times New Roman"/>
          <w:b w:val="1"/>
          <w:bCs w:val="1"/>
          <w:sz w:val="28"/>
          <w:szCs w:val="28"/>
          <w:rtl w:val="0"/>
        </w:rPr>
        <w:t>severe)</w:t>
      </w:r>
    </w:p>
    <w:p>
      <w:pPr>
        <w:pStyle w:val="Default"/>
        <w:suppressAutoHyphens w:val="1"/>
        <w:spacing w:before="0" w:line="240" w:lineRule="auto"/>
        <w:ind w:left="300" w:hanging="300"/>
        <w:jc w:val="left"/>
        <w:rPr>
          <w:rFonts w:ascii="Times New Roman" w:cs="Times New Roman" w:hAnsi="Times New Roman" w:eastAsia="Times New Roman"/>
          <w:outline w:val="0"/>
          <w:color w:val="111111"/>
          <w:sz w:val="34"/>
          <w:szCs w:val="34"/>
          <w14:textFill>
            <w14:solidFill>
              <w14:srgbClr w14:val="111111"/>
            </w14:solidFill>
          </w14:textFill>
        </w:rPr>
      </w:pPr>
      <w:r>
        <w:rPr>
          <w:rFonts w:ascii="Times New Roman" w:hAnsi="Times New Roman"/>
          <w:outline w:val="0"/>
          <w:color w:val="111111"/>
          <w:sz w:val="34"/>
          <w:szCs w:val="34"/>
          <w:rtl w:val="0"/>
          <w:lang w:val="en-US"/>
          <w14:textFill>
            <w14:solidFill>
              <w14:srgbClr w14:val="111111"/>
            </w14:solidFill>
          </w14:textFill>
        </w:rPr>
        <w:t>Use lowest effective dose; take 30</w:t>
      </w:r>
      <w:r>
        <w:rPr>
          <w:rFonts w:ascii="Times New Roman" w:hAnsi="Times New Roman" w:hint="default"/>
          <w:outline w:val="0"/>
          <w:color w:val="111111"/>
          <w:sz w:val="34"/>
          <w:szCs w:val="34"/>
          <w:rtl w:val="0"/>
          <w14:textFill>
            <w14:solidFill>
              <w14:srgbClr w14:val="111111"/>
            </w14:solidFill>
          </w14:textFill>
        </w:rPr>
        <w:t>–</w:t>
      </w:r>
      <w:r>
        <w:rPr>
          <w:rFonts w:ascii="Times New Roman" w:hAnsi="Times New Roman"/>
          <w:outline w:val="0"/>
          <w:color w:val="111111"/>
          <w:sz w:val="34"/>
          <w:szCs w:val="34"/>
          <w:rtl w:val="0"/>
          <w:lang w:val="en-US"/>
          <w14:textFill>
            <w14:solidFill>
              <w14:srgbClr w14:val="111111"/>
            </w14:solidFill>
          </w14:textFill>
        </w:rPr>
        <w:t>60 min before meals (usually before breakfast).</w:t>
      </w:r>
    </w:p>
    <w:p>
      <w:pPr>
        <w:pStyle w:val="Default"/>
        <w:numPr>
          <w:ilvl w:val="0"/>
          <w:numId w:val="2"/>
        </w:numPr>
        <w:suppressAutoHyphens w:val="1"/>
        <w:spacing w:before="0" w:after="240" w:line="240" w:lineRule="auto"/>
        <w:jc w:val="left"/>
        <w:rPr>
          <w:rFonts w:ascii="Times New Roman" w:hAnsi="Times New Roman"/>
        </w:rPr>
      </w:pPr>
      <w:r>
        <w:rPr>
          <w:rFonts w:ascii="Times New Roman" w:hAnsi="Times New Roman"/>
          <w:rtl w:val="0"/>
        </w:rPr>
        <w:t xml:space="preserve">Pantoprazole DR tab </w:t>
      </w:r>
      <w:r>
        <w:rPr>
          <w:rFonts w:ascii="Times New Roman" w:hAnsi="Times New Roman" w:hint="default"/>
          <w:rtl w:val="0"/>
          <w:lang w:val="en-US"/>
        </w:rPr>
        <w:t xml:space="preserve">— </w:t>
      </w:r>
      <w:r>
        <w:rPr>
          <w:rFonts w:ascii="Times New Roman" w:hAnsi="Times New Roman"/>
          <w:rtl w:val="0"/>
        </w:rPr>
        <w:t>RxNorm 314200</w:t>
      </w:r>
      <w:r>
        <w:rPr>
          <w:rFonts w:ascii="Times New Roman" w:cs="Times New Roman" w:hAnsi="Times New Roman" w:eastAsia="Times New Roman"/>
        </w:rPr>
        <w:br w:type="textWrapping"/>
      </w:r>
      <w:r>
        <w:rPr>
          <w:rFonts w:ascii="Times New Roman" w:hAnsi="Times New Roman"/>
          <w:rtl w:val="0"/>
        </w:rPr>
        <w:t xml:space="preserve">Start: 40 mg qAM </w:t>
      </w:r>
      <w:r>
        <w:rPr>
          <w:rFonts w:ascii="Times New Roman" w:hAnsi="Times New Roman" w:hint="default"/>
          <w:rtl w:val="0"/>
        </w:rPr>
        <w:t xml:space="preserve">→ </w:t>
      </w:r>
      <w:r>
        <w:rPr>
          <w:rFonts w:ascii="Times New Roman" w:hAnsi="Times New Roman"/>
          <w:rtl w:val="0"/>
          <w:lang w:val="en-US"/>
        </w:rPr>
        <w:t>Escalate: 40 mg BID (AM + pre-dinner) if needed after 1</w:t>
      </w:r>
      <w:r>
        <w:rPr>
          <w:rFonts w:ascii="Times New Roman" w:hAnsi="Times New Roman" w:hint="default"/>
          <w:rtl w:val="0"/>
        </w:rPr>
        <w:t>–</w:t>
      </w:r>
      <w:r>
        <w:rPr>
          <w:rFonts w:ascii="Times New Roman" w:hAnsi="Times New Roman"/>
          <w:rtl w:val="0"/>
        </w:rPr>
        <w:t>2 wks.</w:t>
      </w:r>
    </w:p>
    <w:p>
      <w:pPr>
        <w:pStyle w:val="Default"/>
        <w:numPr>
          <w:ilvl w:val="0"/>
          <w:numId w:val="2"/>
        </w:numPr>
        <w:suppressAutoHyphens w:val="1"/>
        <w:spacing w:before="0" w:after="240" w:line="240" w:lineRule="auto"/>
        <w:jc w:val="left"/>
        <w:rPr>
          <w:rFonts w:ascii="Times New Roman" w:hAnsi="Times New Roman"/>
          <w:lang w:val="it-IT"/>
        </w:rPr>
      </w:pPr>
      <w:r>
        <w:rPr>
          <w:rFonts w:ascii="Times New Roman" w:hAnsi="Times New Roman"/>
          <w:rtl w:val="0"/>
          <w:lang w:val="it-IT"/>
        </w:rPr>
        <w:t xml:space="preserve">Lansoprazole DR cap </w:t>
      </w:r>
      <w:r>
        <w:rPr>
          <w:rFonts w:ascii="Times New Roman" w:hAnsi="Times New Roman" w:hint="default"/>
          <w:rtl w:val="0"/>
          <w:lang w:val="en-US"/>
        </w:rPr>
        <w:t xml:space="preserve">— </w:t>
      </w:r>
      <w:r>
        <w:rPr>
          <w:rFonts w:ascii="Times New Roman" w:hAnsi="Times New Roman"/>
          <w:rtl w:val="0"/>
        </w:rPr>
        <w:t>RxNorm 311277</w:t>
      </w:r>
      <w:r>
        <w:rPr>
          <w:rFonts w:ascii="Times New Roman" w:cs="Times New Roman" w:hAnsi="Times New Roman" w:eastAsia="Times New Roman"/>
        </w:rPr>
        <w:br w:type="textWrapping"/>
      </w:r>
      <w:r>
        <w:rPr>
          <w:rFonts w:ascii="Times New Roman" w:hAnsi="Times New Roman"/>
          <w:rtl w:val="0"/>
        </w:rPr>
        <w:t xml:space="preserve">Start: 30 mg qAM </w:t>
      </w:r>
      <w:r>
        <w:rPr>
          <w:rFonts w:ascii="Times New Roman" w:hAnsi="Times New Roman" w:hint="default"/>
          <w:rtl w:val="0"/>
        </w:rPr>
        <w:t xml:space="preserve">→ </w:t>
      </w:r>
      <w:r>
        <w:rPr>
          <w:rFonts w:ascii="Times New Roman" w:hAnsi="Times New Roman"/>
          <w:rtl w:val="0"/>
          <w:lang w:val="en-US"/>
        </w:rPr>
        <w:t>Escalate: 30 mg BID if needed after 1</w:t>
      </w:r>
      <w:r>
        <w:rPr>
          <w:rFonts w:ascii="Times New Roman" w:hAnsi="Times New Roman" w:hint="default"/>
          <w:rtl w:val="0"/>
        </w:rPr>
        <w:t>–</w:t>
      </w:r>
      <w:r>
        <w:rPr>
          <w:rFonts w:ascii="Times New Roman" w:hAnsi="Times New Roman"/>
          <w:rtl w:val="0"/>
        </w:rPr>
        <w:t>2 wks.</w:t>
      </w:r>
    </w:p>
    <w:p>
      <w:pPr>
        <w:pStyle w:val="Default"/>
        <w:numPr>
          <w:ilvl w:val="0"/>
          <w:numId w:val="2"/>
        </w:numPr>
        <w:suppressAutoHyphens w:val="1"/>
        <w:spacing w:before="0" w:after="240" w:line="240" w:lineRule="auto"/>
        <w:jc w:val="left"/>
        <w:rPr>
          <w:rFonts w:ascii="Times New Roman" w:hAnsi="Times New Roman"/>
          <w:lang w:val="es-ES_tradnl"/>
        </w:rPr>
      </w:pPr>
      <w:r>
        <w:rPr>
          <w:rFonts w:ascii="Times New Roman" w:hAnsi="Times New Roman"/>
          <w:rtl w:val="0"/>
          <w:lang w:val="es-ES_tradnl"/>
        </w:rPr>
        <w:t xml:space="preserve">Esomeprazole </w:t>
      </w:r>
      <w:r>
        <w:rPr>
          <w:rFonts w:ascii="Times New Roman" w:hAnsi="Times New Roman" w:hint="default"/>
          <w:rtl w:val="0"/>
          <w:lang w:val="en-US"/>
        </w:rPr>
        <w:t xml:space="preserve">— </w:t>
      </w:r>
      <w:r>
        <w:rPr>
          <w:rFonts w:ascii="Times New Roman" w:hAnsi="Times New Roman"/>
          <w:rtl w:val="0"/>
        </w:rPr>
        <w:t>RxCUIs (example 20 mg): 606726</w:t>
      </w:r>
      <w:r>
        <w:rPr>
          <w:rFonts w:ascii="Times New Roman" w:cs="Times New Roman" w:hAnsi="Times New Roman" w:eastAsia="Times New Roman"/>
        </w:rPr>
        <w:br w:type="textWrapping"/>
      </w:r>
      <w:r>
        <w:rPr>
          <w:rFonts w:ascii="Times New Roman" w:hAnsi="Times New Roman"/>
          <w:rtl w:val="0"/>
          <w:lang w:val="en-US"/>
        </w:rPr>
        <w:t>Start: 20</w:t>
      </w:r>
      <w:r>
        <w:rPr>
          <w:rFonts w:ascii="Times New Roman" w:hAnsi="Times New Roman" w:hint="default"/>
          <w:rtl w:val="0"/>
        </w:rPr>
        <w:t>–</w:t>
      </w:r>
      <w:r>
        <w:rPr>
          <w:rFonts w:ascii="Times New Roman" w:hAnsi="Times New Roman"/>
          <w:rtl w:val="0"/>
        </w:rPr>
        <w:t xml:space="preserve">40 mg qAM </w:t>
      </w:r>
      <w:r>
        <w:rPr>
          <w:rFonts w:ascii="Times New Roman" w:hAnsi="Times New Roman" w:hint="default"/>
          <w:rtl w:val="0"/>
        </w:rPr>
        <w:t xml:space="preserve">→ </w:t>
      </w:r>
      <w:r>
        <w:rPr>
          <w:rFonts w:ascii="Times New Roman" w:hAnsi="Times New Roman"/>
          <w:rtl w:val="0"/>
          <w:lang w:val="en-US"/>
        </w:rPr>
        <w:t>Escalate: 40 mg qAM or BID as needed.</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Omeprazole (acceptable if needed; human data reassuring)</w:t>
      </w:r>
      <w:r>
        <w:rPr>
          <w:rFonts w:ascii="Times New Roman" w:cs="Times New Roman" w:hAnsi="Times New Roman" w:eastAsia="Times New Roman"/>
        </w:rPr>
        <w:br w:type="textWrapping"/>
      </w:r>
      <w:r>
        <w:rPr>
          <w:rFonts w:ascii="Times New Roman" w:hAnsi="Times New Roman"/>
          <w:rtl w:val="0"/>
        </w:rPr>
        <w:t xml:space="preserve">Start: 20 mg qAM </w:t>
      </w:r>
      <w:r>
        <w:rPr>
          <w:rFonts w:ascii="Times New Roman" w:hAnsi="Times New Roman" w:hint="default"/>
          <w:rtl w:val="0"/>
        </w:rPr>
        <w:t xml:space="preserve">→ </w:t>
      </w:r>
      <w:r>
        <w:rPr>
          <w:rFonts w:ascii="Times New Roman" w:hAnsi="Times New Roman"/>
          <w:rtl w:val="0"/>
          <w:lang w:val="en-US"/>
        </w:rPr>
        <w:t>Escalate: 40 mg qAM or BID as needed. (Common RxNorms vary by product strength; e.g., 20 mg cap often ~ 207212.)</w:t>
      </w: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If still uncontrolled after optimized PPI (correct timing, adherence) for 1</w:t>
      </w:r>
      <w:r>
        <w:rPr>
          <w:rFonts w:ascii="Times New Roman" w:hAnsi="Times New Roman" w:hint="default"/>
          <w:rtl w:val="0"/>
        </w:rPr>
        <w:t>–</w:t>
      </w:r>
      <w:r>
        <w:rPr>
          <w:rFonts w:ascii="Times New Roman" w:hAnsi="Times New Roman"/>
          <w:rtl w:val="0"/>
          <w:lang w:val="nl-NL"/>
        </w:rPr>
        <w:t xml:space="preserve">2 weeks </w:t>
      </w:r>
      <w:r>
        <w:rPr>
          <w:rFonts w:ascii="Times New Roman" w:hAnsi="Times New Roman" w:hint="default"/>
          <w:rtl w:val="0"/>
        </w:rPr>
        <w:t xml:space="preserve">→ </w:t>
      </w:r>
      <w:r>
        <w:rPr>
          <w:rFonts w:ascii="Times New Roman" w:hAnsi="Times New Roman"/>
          <w:rtl w:val="0"/>
          <w:lang w:val="en-US"/>
        </w:rPr>
        <w:t>Step 6.</w:t>
      </w: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Adjunct notes:</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Antacids may be used with H2RA/PPI for breakthrough.</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Avoid routine dual acid suppression (PPI + H2RA) long-term; a bedtime H2RA add-on can be considered short-term for nocturnal breakthrough in refractory cases (specialist guidance).</w:t>
      </w: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n-US"/>
        </w:rPr>
        <w:t>6) Refractory Pathway &amp; Alarm-Symptom Referral</w:t>
      </w: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 xml:space="preserve">6A) If ALARM symptoms at any time </w:t>
      </w:r>
      <w:r>
        <w:rPr>
          <w:rFonts w:ascii="Times New Roman" w:hAnsi="Times New Roman" w:hint="default"/>
          <w:rtl w:val="0"/>
        </w:rPr>
        <w:t>→</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Urgent GI referral; consider EGD (ideally 2nd trimester; do not delay if indicated).</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Evaluate for bleeding, stricture, severe esophagitis, alternative diagnoses.</w:t>
      </w: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6B) If refractory without alarms (on optimized PPI):</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Re-confirm adherence (take 30</w:t>
      </w:r>
      <w:r>
        <w:rPr>
          <w:rFonts w:ascii="Times New Roman" w:hAnsi="Times New Roman" w:hint="default"/>
          <w:rtl w:val="0"/>
        </w:rPr>
        <w:t>–</w:t>
      </w:r>
      <w:r>
        <w:rPr>
          <w:rFonts w:ascii="Times New Roman" w:hAnsi="Times New Roman"/>
          <w:rtl w:val="0"/>
          <w:lang w:val="en-US"/>
        </w:rPr>
        <w:t>60 min pre-meal), check timing vs. triggers.</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Consider prokinetic adjunct: Metoclopramide 10 mg (RxNorm 311666) PO before meals and HS (short courses; monitor for EPS/sedation).</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Consider H. pylori only if ulcer phenotype/suspicion; defer eradication until postpartum if possible.</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GI referral for persistent symptoms despite optimized regimen.</w:t>
      </w: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n-US"/>
        </w:rPr>
        <w:t>7) Trimester &amp; Perinatal Considerations (Medication Safety)</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All steps: lifestyle is safe throughout pregnancy.</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Antacids: avoid sodium bicarbonate &amp; Mg trisilicate.</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Sucralfate: minimal absorption; safe across trimesters.</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H2RAs (famotidine preferred): well-studied; safe across trimesters.</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PPIs: human data reassuring across trimesters; choose B-category (e.g., pantoprazole/lansoprazole/esomeprazole) when feasible; omeprazole acceptable if needed.</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Peripartum: continue lowest effective regimen; no specific hold needed for H2RA/PPI; tailor to symptoms.</w:t>
      </w: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n-US"/>
        </w:rPr>
        <w:t>8) Monitoring, Step-Down, and Postpartum</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Follow-up every 2</w:t>
      </w:r>
      <w:r>
        <w:rPr>
          <w:rFonts w:ascii="Times New Roman" w:hAnsi="Times New Roman" w:hint="default"/>
          <w:rtl w:val="0"/>
        </w:rPr>
        <w:t>–</w:t>
      </w:r>
      <w:r>
        <w:rPr>
          <w:rFonts w:ascii="Times New Roman" w:hAnsi="Times New Roman"/>
          <w:rtl w:val="0"/>
          <w:lang w:val="en-US"/>
        </w:rPr>
        <w:t>4 weeks (or sooner if symptomatic changes).</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Once controlled, maintain current lowest effective step.</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 xml:space="preserve">Consider step-down (PPI </w:t>
      </w:r>
      <w:r>
        <w:rPr>
          <w:rFonts w:ascii="Times New Roman" w:hAnsi="Times New Roman" w:hint="default"/>
          <w:rtl w:val="0"/>
        </w:rPr>
        <w:t xml:space="preserve">→ </w:t>
      </w:r>
      <w:r>
        <w:rPr>
          <w:rFonts w:ascii="Times New Roman" w:hAnsi="Times New Roman"/>
          <w:rtl w:val="0"/>
          <w:lang w:val="de-DE"/>
        </w:rPr>
        <w:t xml:space="preserve">H2RA </w:t>
      </w:r>
      <w:r>
        <w:rPr>
          <w:rFonts w:ascii="Times New Roman" w:hAnsi="Times New Roman" w:hint="default"/>
          <w:rtl w:val="0"/>
        </w:rPr>
        <w:t xml:space="preserve">→ </w:t>
      </w:r>
      <w:r>
        <w:rPr>
          <w:rFonts w:ascii="Times New Roman" w:hAnsi="Times New Roman"/>
          <w:rtl w:val="0"/>
          <w:lang w:val="en-US"/>
        </w:rPr>
        <w:t>sucralfate/antacids) if stable for several weeks.</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Postpartum: many improve; reassess and de-escalate; pursue deferred diagnostics (e.g., EGD) if symptoms persist.</w:t>
      </w: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n-US"/>
        </w:rPr>
        <w:t>Quick Prescribing Reference (RxNorm &amp; SIGs)</w:t>
      </w:r>
    </w:p>
    <w:tbl>
      <w:tblPr>
        <w:tblW w:w="9359"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225"/>
        <w:gridCol w:w="2249"/>
        <w:gridCol w:w="1688"/>
        <w:gridCol w:w="2975"/>
        <w:gridCol w:w="1222"/>
      </w:tblGrid>
      <w:tr>
        <w:tblPrEx>
          <w:shd w:val="clear" w:color="auto" w:fill="auto"/>
        </w:tblPrEx>
        <w:trPr>
          <w:trHeight w:val="360" w:hRule="atLeast"/>
        </w:trPr>
        <w:tc>
          <w:tcPr>
            <w:tcW w:type="dxa" w:w="12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spacing w:after="240"/>
              <w:jc w:val="center"/>
            </w:pPr>
            <w:r>
              <w:rPr>
                <w:rFonts w:ascii="Times New Roman" w:hAnsi="Times New Roman"/>
                <w:b w:val="1"/>
                <w:bCs w:val="1"/>
                <w:sz w:val="24"/>
                <w:szCs w:val="24"/>
              </w:rPr>
              <w:t>Class</w:t>
            </w:r>
          </w:p>
        </w:tc>
        <w:tc>
          <w:tcPr>
            <w:tcW w:type="dxa" w:w="22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spacing w:after="240"/>
              <w:jc w:val="center"/>
            </w:pPr>
            <w:r>
              <w:rPr>
                <w:rFonts w:ascii="Times New Roman" w:hAnsi="Times New Roman"/>
                <w:b w:val="1"/>
                <w:bCs w:val="1"/>
                <w:sz w:val="24"/>
                <w:szCs w:val="24"/>
              </w:rPr>
              <w:t>Medication</w:t>
            </w:r>
          </w:p>
        </w:tc>
        <w:tc>
          <w:tcPr>
            <w:tcW w:type="dxa" w:w="16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spacing w:after="240"/>
              <w:jc w:val="center"/>
            </w:pPr>
            <w:r>
              <w:rPr>
                <w:rFonts w:ascii="Times New Roman" w:hAnsi="Times New Roman"/>
                <w:b w:val="1"/>
                <w:bCs w:val="1"/>
                <w:sz w:val="24"/>
                <w:szCs w:val="24"/>
              </w:rPr>
              <w:t>RxNorm</w:t>
            </w:r>
          </w:p>
        </w:tc>
        <w:tc>
          <w:tcPr>
            <w:tcW w:type="dxa" w:w="29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spacing w:after="240"/>
              <w:jc w:val="center"/>
            </w:pPr>
            <w:r>
              <w:rPr>
                <w:rFonts w:ascii="Times New Roman" w:hAnsi="Times New Roman"/>
                <w:b w:val="1"/>
                <w:bCs w:val="1"/>
                <w:sz w:val="24"/>
                <w:szCs w:val="24"/>
              </w:rPr>
              <w:t>Typical SIG (adult)</w:t>
            </w:r>
          </w:p>
        </w:tc>
        <w:tc>
          <w:tcPr>
            <w:tcW w:type="dxa" w:w="12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spacing w:after="240"/>
              <w:jc w:val="center"/>
            </w:pPr>
            <w:r>
              <w:rPr>
                <w:rFonts w:ascii="Times New Roman" w:hAnsi="Times New Roman"/>
                <w:b w:val="1"/>
                <w:bCs w:val="1"/>
                <w:sz w:val="24"/>
                <w:szCs w:val="24"/>
              </w:rPr>
              <w:t>Escalation</w:t>
            </w:r>
          </w:p>
        </w:tc>
      </w:tr>
      <w:tr>
        <w:tblPrEx>
          <w:shd w:val="clear" w:color="auto" w:fill="auto"/>
        </w:tblPrEx>
        <w:trPr>
          <w:trHeight w:val="597" w:hRule="atLeast"/>
        </w:trPr>
        <w:tc>
          <w:tcPr>
            <w:tcW w:type="dxa" w:w="12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spacing w:after="240"/>
              <w:jc w:val="left"/>
            </w:pPr>
            <w:r>
              <w:rPr>
                <w:rFonts w:ascii="Times New Roman" w:hAnsi="Times New Roman"/>
                <w:sz w:val="24"/>
                <w:szCs w:val="24"/>
              </w:rPr>
              <w:t>Antacid</w:t>
            </w:r>
          </w:p>
        </w:tc>
        <w:tc>
          <w:tcPr>
            <w:tcW w:type="dxa" w:w="22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spacing w:after="240"/>
              <w:jc w:val="left"/>
            </w:pPr>
            <w:r>
              <w:rPr>
                <w:rFonts w:ascii="Times New Roman" w:hAnsi="Times New Roman"/>
                <w:sz w:val="24"/>
                <w:szCs w:val="24"/>
              </w:rPr>
              <w:t>Calcium carbonate chewable 500 mg</w:t>
            </w:r>
          </w:p>
        </w:tc>
        <w:tc>
          <w:tcPr>
            <w:tcW w:type="dxa" w:w="16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righ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t>308907</w:t>
            </w:r>
          </w:p>
        </w:tc>
        <w:tc>
          <w:tcPr>
            <w:tcW w:type="dxa" w:w="29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spacing w:after="240"/>
              <w:jc w:val="left"/>
            </w:pPr>
            <w:r>
              <w:rPr>
                <w:rFonts w:ascii="Times New Roman" w:hAnsi="Times New Roman"/>
                <w:sz w:val="24"/>
                <w:szCs w:val="24"/>
              </w:rPr>
              <w:t>2</w:t>
            </w:r>
            <w:r>
              <w:rPr>
                <w:rFonts w:ascii="Times New Roman" w:hAnsi="Times New Roman" w:hint="default"/>
                <w:sz w:val="24"/>
                <w:szCs w:val="24"/>
              </w:rPr>
              <w:t>â€“</w:t>
            </w:r>
            <w:r>
              <w:rPr>
                <w:rFonts w:ascii="Times New Roman" w:hAnsi="Times New Roman"/>
                <w:sz w:val="24"/>
                <w:szCs w:val="24"/>
              </w:rPr>
              <w:t>4 tabs after meals/HS PRN (</w:t>
            </w:r>
            <w:r>
              <w:rPr>
                <w:rFonts w:ascii="Times New Roman" w:hAnsi="Times New Roman" w:hint="default"/>
                <w:sz w:val="24"/>
                <w:szCs w:val="24"/>
              </w:rPr>
              <w:t xml:space="preserve">â‰¤ </w:t>
            </w:r>
            <w:r>
              <w:rPr>
                <w:rFonts w:ascii="Times New Roman" w:hAnsi="Times New Roman"/>
                <w:sz w:val="24"/>
                <w:szCs w:val="24"/>
              </w:rPr>
              <w:t>label max)</w:t>
            </w:r>
          </w:p>
        </w:tc>
        <w:tc>
          <w:tcPr>
            <w:tcW w:type="dxa" w:w="12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spacing w:after="240"/>
              <w:jc w:val="left"/>
            </w:pPr>
            <w:r>
              <w:rPr>
                <w:rFonts w:ascii="Times New Roman" w:hAnsi="Times New Roman" w:hint="default"/>
                <w:sz w:val="24"/>
                <w:szCs w:val="24"/>
              </w:rPr>
              <w:t>â€”</w:t>
            </w:r>
          </w:p>
        </w:tc>
      </w:tr>
      <w:tr>
        <w:tblPrEx>
          <w:shd w:val="clear" w:color="auto" w:fill="auto"/>
        </w:tblPrEx>
        <w:trPr>
          <w:trHeight w:val="360" w:hRule="atLeast"/>
        </w:trPr>
        <w:tc>
          <w:tcPr>
            <w:tcW w:type="dxa" w:w="12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spacing w:after="240"/>
              <w:jc w:val="left"/>
            </w:pPr>
            <w:r>
              <w:rPr>
                <w:rFonts w:ascii="Times New Roman" w:hAnsi="Times New Roman"/>
                <w:sz w:val="24"/>
                <w:szCs w:val="24"/>
              </w:rPr>
              <w:t>Antacid</w:t>
            </w:r>
          </w:p>
        </w:tc>
        <w:tc>
          <w:tcPr>
            <w:tcW w:type="dxa" w:w="22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spacing w:after="240"/>
              <w:jc w:val="left"/>
            </w:pPr>
            <w:r>
              <w:rPr>
                <w:rFonts w:ascii="Times New Roman" w:hAnsi="Times New Roman"/>
                <w:sz w:val="24"/>
                <w:szCs w:val="24"/>
              </w:rPr>
              <w:t>Al/Mg hydroxide suspension</w:t>
            </w:r>
          </w:p>
        </w:tc>
        <w:tc>
          <w:tcPr>
            <w:tcW w:type="dxa" w:w="16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righ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t>153010</w:t>
            </w:r>
          </w:p>
        </w:tc>
        <w:tc>
          <w:tcPr>
            <w:tcW w:type="dxa" w:w="29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spacing w:after="240"/>
              <w:jc w:val="left"/>
            </w:pPr>
            <w:r>
              <w:rPr>
                <w:rFonts w:ascii="Times New Roman" w:hAnsi="Times New Roman"/>
                <w:sz w:val="24"/>
                <w:szCs w:val="24"/>
              </w:rPr>
              <w:t>10</w:t>
            </w:r>
            <w:r>
              <w:rPr>
                <w:rFonts w:ascii="Times New Roman" w:hAnsi="Times New Roman" w:hint="default"/>
                <w:sz w:val="24"/>
                <w:szCs w:val="24"/>
              </w:rPr>
              <w:t>â€“</w:t>
            </w:r>
            <w:r>
              <w:rPr>
                <w:rFonts w:ascii="Times New Roman" w:hAnsi="Times New Roman"/>
                <w:sz w:val="24"/>
                <w:szCs w:val="24"/>
              </w:rPr>
              <w:t>20 mL PO q6h PRN</w:t>
            </w:r>
          </w:p>
        </w:tc>
        <w:tc>
          <w:tcPr>
            <w:tcW w:type="dxa" w:w="12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spacing w:after="240"/>
              <w:jc w:val="left"/>
            </w:pPr>
            <w:r>
              <w:rPr>
                <w:rFonts w:ascii="Times New Roman" w:hAnsi="Times New Roman" w:hint="default"/>
                <w:sz w:val="24"/>
                <w:szCs w:val="24"/>
              </w:rPr>
              <w:t>â€”</w:t>
            </w:r>
          </w:p>
        </w:tc>
      </w:tr>
      <w:tr>
        <w:tblPrEx>
          <w:shd w:val="clear" w:color="auto" w:fill="auto"/>
        </w:tblPrEx>
        <w:trPr>
          <w:trHeight w:val="360" w:hRule="atLeast"/>
        </w:trPr>
        <w:tc>
          <w:tcPr>
            <w:tcW w:type="dxa" w:w="12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spacing w:after="240"/>
              <w:jc w:val="left"/>
            </w:pPr>
            <w:r>
              <w:rPr>
                <w:rFonts w:ascii="Times New Roman" w:hAnsi="Times New Roman"/>
                <w:sz w:val="24"/>
                <w:szCs w:val="24"/>
              </w:rPr>
              <w:t>Raft</w:t>
            </w:r>
          </w:p>
        </w:tc>
        <w:tc>
          <w:tcPr>
            <w:tcW w:type="dxa" w:w="22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spacing w:after="240"/>
              <w:jc w:val="left"/>
            </w:pPr>
            <w:r>
              <w:rPr>
                <w:rFonts w:ascii="Times New Roman" w:hAnsi="Times New Roman"/>
                <w:sz w:val="24"/>
                <w:szCs w:val="24"/>
              </w:rPr>
              <w:t>Alginate (OTC)</w:t>
            </w:r>
          </w:p>
        </w:tc>
        <w:tc>
          <w:tcPr>
            <w:tcW w:type="dxa" w:w="16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spacing w:after="240"/>
              <w:jc w:val="left"/>
            </w:pPr>
            <w:r>
              <w:rPr>
                <w:rFonts w:ascii="Times New Roman" w:hAnsi="Times New Roman"/>
                <w:sz w:val="24"/>
                <w:szCs w:val="24"/>
              </w:rPr>
              <w:t>(varies)</w:t>
            </w:r>
          </w:p>
        </w:tc>
        <w:tc>
          <w:tcPr>
            <w:tcW w:type="dxa" w:w="29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spacing w:after="240"/>
              <w:jc w:val="left"/>
            </w:pPr>
            <w:r>
              <w:rPr>
                <w:rFonts w:ascii="Times New Roman" w:hAnsi="Times New Roman"/>
                <w:sz w:val="24"/>
                <w:szCs w:val="24"/>
              </w:rPr>
              <w:t>Per label after meals/HS</w:t>
            </w:r>
          </w:p>
        </w:tc>
        <w:tc>
          <w:tcPr>
            <w:tcW w:type="dxa" w:w="12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spacing w:after="240"/>
              <w:jc w:val="left"/>
            </w:pPr>
            <w:r>
              <w:rPr>
                <w:rFonts w:ascii="Times New Roman" w:hAnsi="Times New Roman" w:hint="default"/>
                <w:sz w:val="24"/>
                <w:szCs w:val="24"/>
              </w:rPr>
              <w:t>â€”</w:t>
            </w:r>
          </w:p>
        </w:tc>
      </w:tr>
      <w:tr>
        <w:tblPrEx>
          <w:shd w:val="clear" w:color="auto" w:fill="auto"/>
        </w:tblPrEx>
        <w:trPr>
          <w:trHeight w:val="360" w:hRule="atLeast"/>
        </w:trPr>
        <w:tc>
          <w:tcPr>
            <w:tcW w:type="dxa" w:w="12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spacing w:after="240"/>
              <w:jc w:val="left"/>
            </w:pPr>
            <w:r>
              <w:rPr>
                <w:rFonts w:ascii="Times New Roman" w:hAnsi="Times New Roman"/>
                <w:sz w:val="24"/>
                <w:szCs w:val="24"/>
              </w:rPr>
              <w:t>Mucosal protectant</w:t>
            </w:r>
          </w:p>
        </w:tc>
        <w:tc>
          <w:tcPr>
            <w:tcW w:type="dxa" w:w="22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spacing w:after="240"/>
              <w:jc w:val="left"/>
            </w:pPr>
            <w:r>
              <w:rPr>
                <w:rFonts w:ascii="Times New Roman" w:hAnsi="Times New Roman"/>
                <w:sz w:val="24"/>
                <w:szCs w:val="24"/>
              </w:rPr>
              <w:t>Sucralfate 1 g tab</w:t>
            </w:r>
          </w:p>
        </w:tc>
        <w:tc>
          <w:tcPr>
            <w:tcW w:type="dxa" w:w="16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righ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t>314234</w:t>
            </w:r>
          </w:p>
        </w:tc>
        <w:tc>
          <w:tcPr>
            <w:tcW w:type="dxa" w:w="29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spacing w:after="240"/>
              <w:jc w:val="left"/>
            </w:pPr>
            <w:r>
              <w:rPr>
                <w:rFonts w:ascii="Times New Roman" w:hAnsi="Times New Roman"/>
                <w:sz w:val="24"/>
                <w:szCs w:val="24"/>
              </w:rPr>
              <w:t xml:space="preserve">1 g BID before meals </w:t>
            </w:r>
            <w:r>
              <w:rPr>
                <w:rFonts w:ascii="Times New Roman" w:hAnsi="Times New Roman" w:hint="default"/>
                <w:sz w:val="24"/>
                <w:szCs w:val="24"/>
              </w:rPr>
              <w:t xml:space="preserve">â†’ </w:t>
            </w:r>
            <w:r>
              <w:rPr>
                <w:rFonts w:ascii="Times New Roman" w:hAnsi="Times New Roman"/>
                <w:sz w:val="24"/>
                <w:szCs w:val="24"/>
              </w:rPr>
              <w:t xml:space="preserve">TID </w:t>
            </w:r>
            <w:r>
              <w:rPr>
                <w:rFonts w:ascii="Times New Roman" w:hAnsi="Times New Roman" w:hint="default"/>
                <w:sz w:val="24"/>
                <w:szCs w:val="24"/>
              </w:rPr>
              <w:t xml:space="preserve">â†’ </w:t>
            </w:r>
            <w:r>
              <w:rPr>
                <w:rFonts w:ascii="Times New Roman" w:hAnsi="Times New Roman"/>
                <w:sz w:val="24"/>
                <w:szCs w:val="24"/>
              </w:rPr>
              <w:t>QID (</w:t>
            </w:r>
            <w:r>
              <w:rPr>
                <w:rFonts w:ascii="Times New Roman" w:hAnsi="Times New Roman" w:hint="default"/>
                <w:sz w:val="24"/>
                <w:szCs w:val="24"/>
              </w:rPr>
              <w:t xml:space="preserve">Â± </w:t>
            </w:r>
            <w:r>
              <w:rPr>
                <w:rFonts w:ascii="Times New Roman" w:hAnsi="Times New Roman"/>
                <w:sz w:val="24"/>
                <w:szCs w:val="24"/>
              </w:rPr>
              <w:t>HS)</w:t>
            </w:r>
          </w:p>
        </w:tc>
        <w:tc>
          <w:tcPr>
            <w:tcW w:type="dxa" w:w="12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spacing w:after="240"/>
              <w:jc w:val="left"/>
            </w:pPr>
            <w:r>
              <w:rPr>
                <w:rFonts w:ascii="Times New Roman" w:hAnsi="Times New Roman"/>
                <w:sz w:val="24"/>
                <w:szCs w:val="24"/>
              </w:rPr>
              <w:t>1</w:t>
            </w:r>
            <w:r>
              <w:rPr>
                <w:rFonts w:ascii="Times New Roman" w:hAnsi="Times New Roman" w:hint="default"/>
                <w:sz w:val="24"/>
                <w:szCs w:val="24"/>
              </w:rPr>
              <w:t>â€“</w:t>
            </w:r>
            <w:r>
              <w:rPr>
                <w:rFonts w:ascii="Times New Roman" w:hAnsi="Times New Roman"/>
                <w:sz w:val="24"/>
                <w:szCs w:val="24"/>
              </w:rPr>
              <w:t>2 wks/step</w:t>
            </w:r>
          </w:p>
        </w:tc>
      </w:tr>
      <w:tr>
        <w:tblPrEx>
          <w:shd w:val="clear" w:color="auto" w:fill="auto"/>
        </w:tblPrEx>
        <w:trPr>
          <w:trHeight w:val="360" w:hRule="atLeast"/>
        </w:trPr>
        <w:tc>
          <w:tcPr>
            <w:tcW w:type="dxa" w:w="12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spacing w:after="240"/>
              <w:jc w:val="left"/>
            </w:pPr>
            <w:r>
              <w:rPr>
                <w:rFonts w:ascii="Times New Roman" w:hAnsi="Times New Roman"/>
                <w:sz w:val="24"/>
                <w:szCs w:val="24"/>
              </w:rPr>
              <w:t>H2RA</w:t>
            </w:r>
          </w:p>
        </w:tc>
        <w:tc>
          <w:tcPr>
            <w:tcW w:type="dxa" w:w="22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spacing w:after="240"/>
              <w:jc w:val="left"/>
            </w:pPr>
            <w:r>
              <w:rPr>
                <w:rFonts w:ascii="Times New Roman" w:hAnsi="Times New Roman"/>
                <w:sz w:val="24"/>
                <w:szCs w:val="24"/>
              </w:rPr>
              <w:t>Famotidine</w:t>
            </w:r>
          </w:p>
        </w:tc>
        <w:tc>
          <w:tcPr>
            <w:tcW w:type="dxa" w:w="16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righ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t>310273</w:t>
            </w:r>
          </w:p>
        </w:tc>
        <w:tc>
          <w:tcPr>
            <w:tcW w:type="dxa" w:w="29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spacing w:after="240"/>
              <w:jc w:val="left"/>
            </w:pPr>
            <w:r>
              <w:rPr>
                <w:rFonts w:ascii="Times New Roman" w:hAnsi="Times New Roman"/>
                <w:sz w:val="24"/>
                <w:szCs w:val="24"/>
              </w:rPr>
              <w:t>10</w:t>
            </w:r>
            <w:r>
              <w:rPr>
                <w:rFonts w:ascii="Times New Roman" w:hAnsi="Times New Roman" w:hint="default"/>
                <w:sz w:val="24"/>
                <w:szCs w:val="24"/>
              </w:rPr>
              <w:t>â€“</w:t>
            </w:r>
            <w:r>
              <w:rPr>
                <w:rFonts w:ascii="Times New Roman" w:hAnsi="Times New Roman"/>
                <w:sz w:val="24"/>
                <w:szCs w:val="24"/>
              </w:rPr>
              <w:t>20 mg HS or BID</w:t>
            </w:r>
          </w:p>
        </w:tc>
        <w:tc>
          <w:tcPr>
            <w:tcW w:type="dxa" w:w="12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spacing w:after="240"/>
              <w:jc w:val="left"/>
            </w:pPr>
            <w:r>
              <w:rPr>
                <w:rFonts w:ascii="Times New Roman" w:hAnsi="Times New Roman" w:hint="default"/>
                <w:sz w:val="24"/>
                <w:szCs w:val="24"/>
              </w:rPr>
              <w:t xml:space="preserve">â†‘ </w:t>
            </w:r>
            <w:r>
              <w:rPr>
                <w:rFonts w:ascii="Times New Roman" w:hAnsi="Times New Roman"/>
                <w:sz w:val="24"/>
                <w:szCs w:val="24"/>
              </w:rPr>
              <w:t>to 20 mg BID</w:t>
            </w:r>
          </w:p>
        </w:tc>
      </w:tr>
      <w:tr>
        <w:tblPrEx>
          <w:shd w:val="clear" w:color="auto" w:fill="auto"/>
        </w:tblPrEx>
        <w:trPr>
          <w:trHeight w:val="360" w:hRule="atLeast"/>
        </w:trPr>
        <w:tc>
          <w:tcPr>
            <w:tcW w:type="dxa" w:w="12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spacing w:after="240"/>
              <w:jc w:val="left"/>
            </w:pPr>
            <w:r>
              <w:rPr>
                <w:rFonts w:ascii="Times New Roman" w:hAnsi="Times New Roman"/>
                <w:sz w:val="24"/>
                <w:szCs w:val="24"/>
              </w:rPr>
              <w:t>PPI</w:t>
            </w:r>
          </w:p>
        </w:tc>
        <w:tc>
          <w:tcPr>
            <w:tcW w:type="dxa" w:w="22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spacing w:after="240"/>
              <w:jc w:val="left"/>
            </w:pPr>
            <w:r>
              <w:rPr>
                <w:rFonts w:ascii="Times New Roman" w:hAnsi="Times New Roman"/>
                <w:sz w:val="24"/>
                <w:szCs w:val="24"/>
              </w:rPr>
              <w:t>Pantoprazole DR</w:t>
            </w:r>
          </w:p>
        </w:tc>
        <w:tc>
          <w:tcPr>
            <w:tcW w:type="dxa" w:w="16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righ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t>314200</w:t>
            </w:r>
          </w:p>
        </w:tc>
        <w:tc>
          <w:tcPr>
            <w:tcW w:type="dxa" w:w="29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spacing w:after="240"/>
              <w:jc w:val="left"/>
            </w:pPr>
            <w:r>
              <w:rPr>
                <w:rFonts w:ascii="Times New Roman" w:hAnsi="Times New Roman"/>
                <w:sz w:val="24"/>
                <w:szCs w:val="24"/>
              </w:rPr>
              <w:t>40 mg qAM</w:t>
            </w:r>
          </w:p>
        </w:tc>
        <w:tc>
          <w:tcPr>
            <w:tcW w:type="dxa" w:w="12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spacing w:after="240"/>
              <w:jc w:val="left"/>
            </w:pPr>
            <w:r>
              <w:rPr>
                <w:rFonts w:ascii="Times New Roman" w:hAnsi="Times New Roman"/>
                <w:sz w:val="24"/>
                <w:szCs w:val="24"/>
              </w:rPr>
              <w:t>40 mg BID</w:t>
            </w:r>
          </w:p>
        </w:tc>
      </w:tr>
      <w:tr>
        <w:tblPrEx>
          <w:shd w:val="clear" w:color="auto" w:fill="auto"/>
        </w:tblPrEx>
        <w:trPr>
          <w:trHeight w:val="360" w:hRule="atLeast"/>
        </w:trPr>
        <w:tc>
          <w:tcPr>
            <w:tcW w:type="dxa" w:w="12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spacing w:after="240"/>
              <w:jc w:val="left"/>
            </w:pPr>
            <w:r>
              <w:rPr>
                <w:rFonts w:ascii="Times New Roman" w:hAnsi="Times New Roman"/>
                <w:sz w:val="24"/>
                <w:szCs w:val="24"/>
              </w:rPr>
              <w:t>PPI</w:t>
            </w:r>
          </w:p>
        </w:tc>
        <w:tc>
          <w:tcPr>
            <w:tcW w:type="dxa" w:w="22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spacing w:after="240"/>
              <w:jc w:val="left"/>
            </w:pPr>
            <w:r>
              <w:rPr>
                <w:rFonts w:ascii="Times New Roman" w:hAnsi="Times New Roman"/>
                <w:sz w:val="24"/>
                <w:szCs w:val="24"/>
              </w:rPr>
              <w:t>Lansoprazole DR</w:t>
            </w:r>
          </w:p>
        </w:tc>
        <w:tc>
          <w:tcPr>
            <w:tcW w:type="dxa" w:w="16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righ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t>311277</w:t>
            </w:r>
          </w:p>
        </w:tc>
        <w:tc>
          <w:tcPr>
            <w:tcW w:type="dxa" w:w="29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spacing w:after="240"/>
              <w:jc w:val="left"/>
            </w:pPr>
            <w:r>
              <w:rPr>
                <w:rFonts w:ascii="Times New Roman" w:hAnsi="Times New Roman"/>
                <w:sz w:val="24"/>
                <w:szCs w:val="24"/>
              </w:rPr>
              <w:t>30 mg qAM</w:t>
            </w:r>
          </w:p>
        </w:tc>
        <w:tc>
          <w:tcPr>
            <w:tcW w:type="dxa" w:w="12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spacing w:after="240"/>
              <w:jc w:val="left"/>
            </w:pPr>
            <w:r>
              <w:rPr>
                <w:rFonts w:ascii="Times New Roman" w:hAnsi="Times New Roman"/>
                <w:sz w:val="24"/>
                <w:szCs w:val="24"/>
              </w:rPr>
              <w:t>30 mg BID</w:t>
            </w:r>
          </w:p>
        </w:tc>
      </w:tr>
      <w:tr>
        <w:tblPrEx>
          <w:shd w:val="clear" w:color="auto" w:fill="auto"/>
        </w:tblPrEx>
        <w:trPr>
          <w:trHeight w:val="360" w:hRule="atLeast"/>
        </w:trPr>
        <w:tc>
          <w:tcPr>
            <w:tcW w:type="dxa" w:w="12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spacing w:after="240"/>
              <w:jc w:val="left"/>
            </w:pPr>
            <w:r>
              <w:rPr>
                <w:rFonts w:ascii="Times New Roman" w:hAnsi="Times New Roman"/>
                <w:sz w:val="24"/>
                <w:szCs w:val="24"/>
              </w:rPr>
              <w:t>PPI</w:t>
            </w:r>
          </w:p>
        </w:tc>
        <w:tc>
          <w:tcPr>
            <w:tcW w:type="dxa" w:w="22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spacing w:after="240"/>
              <w:jc w:val="left"/>
            </w:pPr>
            <w:r>
              <w:rPr>
                <w:rFonts w:ascii="Times New Roman" w:hAnsi="Times New Roman"/>
                <w:sz w:val="24"/>
                <w:szCs w:val="24"/>
              </w:rPr>
              <w:t>Esomeprazole</w:t>
            </w:r>
          </w:p>
        </w:tc>
        <w:tc>
          <w:tcPr>
            <w:tcW w:type="dxa" w:w="16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spacing w:after="240"/>
              <w:jc w:val="left"/>
            </w:pPr>
            <w:r>
              <w:rPr>
                <w:rFonts w:ascii="Times New Roman" w:hAnsi="Times New Roman"/>
                <w:sz w:val="24"/>
                <w:szCs w:val="24"/>
              </w:rPr>
              <w:t>606726 (20 mg ex.)</w:t>
            </w:r>
          </w:p>
        </w:tc>
        <w:tc>
          <w:tcPr>
            <w:tcW w:type="dxa" w:w="29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spacing w:after="240"/>
              <w:jc w:val="left"/>
            </w:pPr>
            <w:r>
              <w:rPr>
                <w:rFonts w:ascii="Times New Roman" w:hAnsi="Times New Roman"/>
                <w:sz w:val="24"/>
                <w:szCs w:val="24"/>
              </w:rPr>
              <w:t>20</w:t>
            </w:r>
            <w:r>
              <w:rPr>
                <w:rFonts w:ascii="Times New Roman" w:hAnsi="Times New Roman" w:hint="default"/>
                <w:sz w:val="24"/>
                <w:szCs w:val="24"/>
              </w:rPr>
              <w:t>â€“</w:t>
            </w:r>
            <w:r>
              <w:rPr>
                <w:rFonts w:ascii="Times New Roman" w:hAnsi="Times New Roman"/>
                <w:sz w:val="24"/>
                <w:szCs w:val="24"/>
              </w:rPr>
              <w:t>40 mg qAM</w:t>
            </w:r>
          </w:p>
        </w:tc>
        <w:tc>
          <w:tcPr>
            <w:tcW w:type="dxa" w:w="12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spacing w:after="240"/>
              <w:jc w:val="left"/>
            </w:pPr>
            <w:r>
              <w:rPr>
                <w:rFonts w:ascii="Times New Roman" w:hAnsi="Times New Roman" w:hint="default"/>
                <w:sz w:val="24"/>
                <w:szCs w:val="24"/>
              </w:rPr>
              <w:t xml:space="preserve">â†‘ </w:t>
            </w:r>
            <w:r>
              <w:rPr>
                <w:rFonts w:ascii="Times New Roman" w:hAnsi="Times New Roman"/>
                <w:sz w:val="24"/>
                <w:szCs w:val="24"/>
              </w:rPr>
              <w:t>dose or BID</w:t>
            </w:r>
          </w:p>
        </w:tc>
      </w:tr>
      <w:tr>
        <w:tblPrEx>
          <w:shd w:val="clear" w:color="auto" w:fill="auto"/>
        </w:tblPrEx>
        <w:trPr>
          <w:trHeight w:val="597" w:hRule="atLeast"/>
        </w:trPr>
        <w:tc>
          <w:tcPr>
            <w:tcW w:type="dxa" w:w="12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spacing w:after="240"/>
              <w:jc w:val="left"/>
            </w:pPr>
            <w:r>
              <w:rPr>
                <w:rFonts w:ascii="Times New Roman" w:hAnsi="Times New Roman"/>
                <w:sz w:val="24"/>
                <w:szCs w:val="24"/>
              </w:rPr>
              <w:t>PPI</w:t>
            </w:r>
          </w:p>
        </w:tc>
        <w:tc>
          <w:tcPr>
            <w:tcW w:type="dxa" w:w="22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spacing w:after="240"/>
              <w:jc w:val="left"/>
            </w:pPr>
            <w:r>
              <w:rPr>
                <w:rFonts w:ascii="Times New Roman" w:hAnsi="Times New Roman"/>
                <w:sz w:val="24"/>
                <w:szCs w:val="24"/>
              </w:rPr>
              <w:t>Omeprazole</w:t>
            </w:r>
          </w:p>
        </w:tc>
        <w:tc>
          <w:tcPr>
            <w:tcW w:type="dxa" w:w="16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spacing w:after="240"/>
              <w:jc w:val="left"/>
            </w:pPr>
            <w:r>
              <w:rPr>
                <w:rFonts w:ascii="Times New Roman" w:hAnsi="Times New Roman"/>
                <w:sz w:val="24"/>
                <w:szCs w:val="24"/>
              </w:rPr>
              <w:t>(e.g. 20 mg cap ~ 207212)*</w:t>
            </w:r>
          </w:p>
        </w:tc>
        <w:tc>
          <w:tcPr>
            <w:tcW w:type="dxa" w:w="29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spacing w:after="240"/>
              <w:jc w:val="left"/>
            </w:pPr>
            <w:r>
              <w:rPr>
                <w:rFonts w:ascii="Times New Roman" w:hAnsi="Times New Roman"/>
                <w:sz w:val="24"/>
                <w:szCs w:val="24"/>
              </w:rPr>
              <w:t>20 mg qAM</w:t>
            </w:r>
          </w:p>
        </w:tc>
        <w:tc>
          <w:tcPr>
            <w:tcW w:type="dxa" w:w="12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spacing w:after="240"/>
              <w:jc w:val="left"/>
            </w:pPr>
            <w:r>
              <w:rPr>
                <w:rFonts w:ascii="Times New Roman" w:hAnsi="Times New Roman"/>
                <w:sz w:val="24"/>
                <w:szCs w:val="24"/>
              </w:rPr>
              <w:t>40 mg qAM or BID</w:t>
            </w:r>
          </w:p>
        </w:tc>
      </w:tr>
      <w:tr>
        <w:tblPrEx>
          <w:shd w:val="clear" w:color="auto" w:fill="auto"/>
        </w:tblPrEx>
        <w:trPr>
          <w:trHeight w:val="597" w:hRule="atLeast"/>
        </w:trPr>
        <w:tc>
          <w:tcPr>
            <w:tcW w:type="dxa" w:w="12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spacing w:after="240"/>
              <w:jc w:val="left"/>
            </w:pPr>
            <w:r>
              <w:rPr>
                <w:rFonts w:ascii="Times New Roman" w:hAnsi="Times New Roman"/>
                <w:sz w:val="24"/>
                <w:szCs w:val="24"/>
              </w:rPr>
              <w:t>Prokinetic (adjunct)</w:t>
            </w:r>
          </w:p>
        </w:tc>
        <w:tc>
          <w:tcPr>
            <w:tcW w:type="dxa" w:w="22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spacing w:after="240"/>
              <w:jc w:val="left"/>
            </w:pPr>
            <w:r>
              <w:rPr>
                <w:rFonts w:ascii="Times New Roman" w:hAnsi="Times New Roman"/>
                <w:sz w:val="24"/>
                <w:szCs w:val="24"/>
              </w:rPr>
              <w:t>Metoclopramide</w:t>
            </w:r>
          </w:p>
        </w:tc>
        <w:tc>
          <w:tcPr>
            <w:tcW w:type="dxa" w:w="16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righ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t>311666</w:t>
            </w:r>
          </w:p>
        </w:tc>
        <w:tc>
          <w:tcPr>
            <w:tcW w:type="dxa" w:w="29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spacing w:after="240"/>
              <w:jc w:val="left"/>
            </w:pPr>
            <w:r>
              <w:rPr>
                <w:rFonts w:ascii="Times New Roman" w:hAnsi="Times New Roman"/>
                <w:sz w:val="24"/>
                <w:szCs w:val="24"/>
              </w:rPr>
              <w:t>10 mg PO AC &amp; HS (short course)</w:t>
            </w:r>
          </w:p>
        </w:tc>
        <w:tc>
          <w:tcPr>
            <w:tcW w:type="dxa" w:w="12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spacing w:after="240"/>
              <w:jc w:val="left"/>
            </w:pPr>
            <w:r>
              <w:rPr>
                <w:rFonts w:ascii="Times New Roman" w:hAnsi="Times New Roman" w:hint="default"/>
                <w:sz w:val="24"/>
                <w:szCs w:val="24"/>
              </w:rPr>
              <w:t>â€”</w:t>
            </w:r>
          </w:p>
        </w:tc>
      </w:tr>
    </w:tbl>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 RxNorms may vary by product/strength; verify in your EHR/formulary.</w:t>
      </w: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When to Escalate (Time Anchors)</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 xml:space="preserve">After lifestyle </w:t>
      </w:r>
      <w:r>
        <w:rPr>
          <w:rFonts w:ascii="Times New Roman" w:hAnsi="Times New Roman" w:hint="default"/>
          <w:rtl w:val="1"/>
        </w:rPr>
        <w:t xml:space="preserve">± </w:t>
      </w:r>
      <w:r>
        <w:rPr>
          <w:rFonts w:ascii="Times New Roman" w:hAnsi="Times New Roman"/>
          <w:rtl w:val="0"/>
          <w:lang w:val="es-ES_tradnl"/>
        </w:rPr>
        <w:t>antacids: 1</w:t>
      </w:r>
      <w:r>
        <w:rPr>
          <w:rFonts w:ascii="Times New Roman" w:hAnsi="Times New Roman" w:hint="default"/>
          <w:rtl w:val="0"/>
        </w:rPr>
        <w:t>–</w:t>
      </w:r>
      <w:r>
        <w:rPr>
          <w:rFonts w:ascii="Times New Roman" w:hAnsi="Times New Roman"/>
          <w:rtl w:val="0"/>
          <w:lang w:val="en-US"/>
        </w:rPr>
        <w:t>2 weeks if persistent.</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At each dose step (sucralfate/H2RA/PPI): trial 1</w:t>
      </w:r>
      <w:r>
        <w:rPr>
          <w:rFonts w:ascii="Times New Roman" w:hAnsi="Times New Roman" w:hint="default"/>
          <w:rtl w:val="0"/>
        </w:rPr>
        <w:t>–</w:t>
      </w:r>
      <w:r>
        <w:rPr>
          <w:rFonts w:ascii="Times New Roman" w:hAnsi="Times New Roman"/>
          <w:rtl w:val="0"/>
          <w:lang w:val="en-US"/>
        </w:rPr>
        <w:t>2 weeks before next step.</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Immediate referral if alarms occur at any time.</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pPr>
      <w:r>
        <w:rPr>
          <w:rFonts w:ascii="Times New Roman" w:cs="Times New Roman" w:hAnsi="Times New Roman" w:eastAsia="Times New Roman"/>
        </w:rPr>
        <w:drawing xmlns:a="http://schemas.openxmlformats.org/drawingml/2006/main">
          <wp:anchor distT="152400" distB="152400" distL="152400" distR="152400" simplePos="0" relativeHeight="251659264" behindDoc="0" locked="0" layoutInCell="1" allowOverlap="1">
            <wp:simplePos x="0" y="0"/>
            <wp:positionH relativeFrom="margin">
              <wp:posOffset>-6350</wp:posOffset>
            </wp:positionH>
            <wp:positionV relativeFrom="line">
              <wp:posOffset>152400</wp:posOffset>
            </wp:positionV>
            <wp:extent cx="13995400" cy="79502000"/>
            <wp:effectExtent l="0" t="0" r="0" b="0"/>
            <wp:wrapThrough wrapText="bothSides" distL="152400" distR="152400">
              <wp:wrapPolygon edited="1">
                <wp:start x="2636" y="443"/>
                <wp:lineTo x="2636" y="2911"/>
                <wp:lineTo x="7070" y="2932"/>
                <wp:lineTo x="7070" y="19807"/>
                <wp:lineTo x="11503" y="19828"/>
                <wp:lineTo x="11383" y="20271"/>
                <wp:lineTo x="7070" y="20271"/>
                <wp:lineTo x="7070" y="20693"/>
                <wp:lineTo x="11503" y="20693"/>
                <wp:lineTo x="11383" y="21157"/>
                <wp:lineTo x="7070" y="21136"/>
                <wp:lineTo x="7070" y="20693"/>
                <wp:lineTo x="7070" y="20271"/>
                <wp:lineTo x="7070" y="19807"/>
                <wp:lineTo x="7070" y="2932"/>
                <wp:lineTo x="6950" y="3354"/>
                <wp:lineTo x="2516" y="3333"/>
                <wp:lineTo x="2636" y="2911"/>
                <wp:lineTo x="2636" y="443"/>
                <wp:lineTo x="3355" y="443"/>
                <wp:lineTo x="7669" y="443"/>
                <wp:lineTo x="7669" y="907"/>
                <wp:lineTo x="5392" y="896"/>
                <wp:lineTo x="5392" y="1329"/>
                <wp:lineTo x="7429" y="1645"/>
                <wp:lineTo x="5632" y="2025"/>
                <wp:lineTo x="3475" y="1709"/>
                <wp:lineTo x="5392" y="1329"/>
                <wp:lineTo x="5392" y="896"/>
                <wp:lineTo x="3235" y="886"/>
                <wp:lineTo x="3355" y="443"/>
                <wp:lineTo x="8867" y="443"/>
                <wp:lineTo x="8867" y="2911"/>
                <wp:lineTo x="13301" y="2911"/>
                <wp:lineTo x="13301" y="3354"/>
                <wp:lineTo x="10904" y="3354"/>
                <wp:lineTo x="10904" y="3797"/>
                <wp:lineTo x="13061" y="4113"/>
                <wp:lineTo x="10904" y="4493"/>
                <wp:lineTo x="10545" y="4417"/>
                <wp:lineTo x="10545" y="5358"/>
                <wp:lineTo x="14978" y="5358"/>
                <wp:lineTo x="14858" y="5822"/>
                <wp:lineTo x="12582" y="5810"/>
                <wp:lineTo x="12582" y="6244"/>
                <wp:lineTo x="14738" y="6560"/>
                <wp:lineTo x="12941" y="6940"/>
                <wp:lineTo x="11024" y="6658"/>
                <wp:lineTo x="11024" y="12045"/>
                <wp:lineTo x="15457" y="12045"/>
                <wp:lineTo x="15457" y="12488"/>
                <wp:lineTo x="11144" y="12488"/>
                <wp:lineTo x="11144" y="12909"/>
                <wp:lineTo x="15457" y="12930"/>
                <wp:lineTo x="15457" y="13373"/>
                <wp:lineTo x="11024" y="13373"/>
                <wp:lineTo x="11024" y="13795"/>
                <wp:lineTo x="15457" y="13795"/>
                <wp:lineTo x="15457" y="14259"/>
                <wp:lineTo x="13181" y="14248"/>
                <wp:lineTo x="13181" y="14681"/>
                <wp:lineTo x="15218" y="14998"/>
                <wp:lineTo x="13420" y="15377"/>
                <wp:lineTo x="13061" y="15324"/>
                <wp:lineTo x="13061" y="16263"/>
                <wp:lineTo x="17494" y="16263"/>
                <wp:lineTo x="17494" y="16706"/>
                <wp:lineTo x="13181" y="16706"/>
                <wp:lineTo x="13181" y="17128"/>
                <wp:lineTo x="17494" y="17149"/>
                <wp:lineTo x="17494" y="17592"/>
                <wp:lineTo x="15218" y="17592"/>
                <wp:lineTo x="15218" y="18014"/>
                <wp:lineTo x="17255" y="18394"/>
                <wp:lineTo x="16536" y="18505"/>
                <wp:lineTo x="16536" y="19238"/>
                <wp:lineTo x="16656" y="19533"/>
                <wp:lineTo x="18094" y="19554"/>
                <wp:lineTo x="16656" y="19554"/>
                <wp:lineTo x="16536" y="19659"/>
                <wp:lineTo x="16536" y="19554"/>
                <wp:lineTo x="14738" y="19546"/>
                <wp:lineTo x="14738" y="19807"/>
                <wp:lineTo x="19172" y="19828"/>
                <wp:lineTo x="19052" y="20271"/>
                <wp:lineTo x="14738" y="20250"/>
                <wp:lineTo x="14738" y="20693"/>
                <wp:lineTo x="19172" y="20714"/>
                <wp:lineTo x="19052" y="21157"/>
                <wp:lineTo x="14619" y="21136"/>
                <wp:lineTo x="14738" y="20693"/>
                <wp:lineTo x="14738" y="20250"/>
                <wp:lineTo x="14619" y="20250"/>
                <wp:lineTo x="14738" y="19807"/>
                <wp:lineTo x="14738" y="19546"/>
                <wp:lineTo x="11144" y="19533"/>
                <wp:lineTo x="16536" y="19533"/>
                <wp:lineTo x="16536" y="19238"/>
                <wp:lineTo x="16536" y="18505"/>
                <wp:lineTo x="15218" y="18710"/>
                <wp:lineTo x="13301" y="18352"/>
                <wp:lineTo x="15218" y="18014"/>
                <wp:lineTo x="15218" y="17592"/>
                <wp:lineTo x="13061" y="17592"/>
                <wp:lineTo x="13181" y="17128"/>
                <wp:lineTo x="13181" y="16706"/>
                <wp:lineTo x="13061" y="16706"/>
                <wp:lineTo x="13061" y="16263"/>
                <wp:lineTo x="13061" y="15324"/>
                <wp:lineTo x="11264" y="15061"/>
                <wp:lineTo x="13181" y="14681"/>
                <wp:lineTo x="13181" y="14248"/>
                <wp:lineTo x="11024" y="14238"/>
                <wp:lineTo x="11024" y="13795"/>
                <wp:lineTo x="11024" y="13373"/>
                <wp:lineTo x="11144" y="12909"/>
                <wp:lineTo x="11144" y="12488"/>
                <wp:lineTo x="11024" y="12488"/>
                <wp:lineTo x="11024" y="12045"/>
                <wp:lineTo x="11024" y="6658"/>
                <wp:lineTo x="10784" y="6623"/>
                <wp:lineTo x="12582" y="6244"/>
                <wp:lineTo x="12582" y="5810"/>
                <wp:lineTo x="10545" y="5801"/>
                <wp:lineTo x="10545" y="5358"/>
                <wp:lineTo x="10545" y="4417"/>
                <wp:lineTo x="9107" y="4113"/>
                <wp:lineTo x="10904" y="3797"/>
                <wp:lineTo x="10904" y="3354"/>
                <wp:lineTo x="8867" y="3354"/>
                <wp:lineTo x="8867" y="2911"/>
                <wp:lineTo x="8867" y="443"/>
                <wp:lineTo x="15098" y="443"/>
                <wp:lineTo x="15098" y="7530"/>
                <wp:lineTo x="15218" y="7805"/>
                <wp:lineTo x="17375" y="7826"/>
                <wp:lineTo x="17375" y="8269"/>
                <wp:lineTo x="13061" y="8269"/>
                <wp:lineTo x="13061" y="8691"/>
                <wp:lineTo x="17375" y="8712"/>
                <wp:lineTo x="17375" y="9155"/>
                <wp:lineTo x="12941" y="9155"/>
                <wp:lineTo x="12941" y="9577"/>
                <wp:lineTo x="17375" y="9577"/>
                <wp:lineTo x="17375" y="10041"/>
                <wp:lineTo x="15098" y="10030"/>
                <wp:lineTo x="15098" y="10462"/>
                <wp:lineTo x="17135" y="10779"/>
                <wp:lineTo x="15338" y="11159"/>
                <wp:lineTo x="13181" y="10842"/>
                <wp:lineTo x="15098" y="10462"/>
                <wp:lineTo x="15098" y="10030"/>
                <wp:lineTo x="12941" y="10020"/>
                <wp:lineTo x="12941" y="9577"/>
                <wp:lineTo x="12941" y="9155"/>
                <wp:lineTo x="13061" y="8691"/>
                <wp:lineTo x="13061" y="8269"/>
                <wp:lineTo x="12941" y="8269"/>
                <wp:lineTo x="13061" y="7805"/>
                <wp:lineTo x="14978" y="7784"/>
                <wp:lineTo x="15098" y="7530"/>
                <wp:lineTo x="15098" y="443"/>
                <wp:lineTo x="2636" y="443"/>
              </wp:wrapPolygon>
            </wp:wrapThrough>
            <wp:docPr id="1073741825" name="officeArt object" descr="GERD in Pregnancy Care Flow.png"/>
            <wp:cNvGraphicFramePr/>
            <a:graphic xmlns:a="http://schemas.openxmlformats.org/drawingml/2006/main">
              <a:graphicData uri="http://schemas.openxmlformats.org/drawingml/2006/picture">
                <pic:pic xmlns:pic="http://schemas.openxmlformats.org/drawingml/2006/picture">
                  <pic:nvPicPr>
                    <pic:cNvPr id="1073741825" name="GERD in Pregnancy Care Flow.png" descr="GERD in Pregnancy Care Flow.png"/>
                    <pic:cNvPicPr>
                      <a:picLocks noChangeAspect="1"/>
                    </pic:cNvPicPr>
                  </pic:nvPicPr>
                  <pic:blipFill>
                    <a:blip r:embed="rId4">
                      <a:extLst/>
                    </a:blip>
                    <a:stretch>
                      <a:fillRect/>
                    </a:stretch>
                  </pic:blipFill>
                  <pic:spPr>
                    <a:xfrm>
                      <a:off x="0" y="0"/>
                      <a:ext cx="13995400" cy="79502000"/>
                    </a:xfrm>
                    <a:prstGeom prst="rect">
                      <a:avLst/>
                    </a:prstGeom>
                    <a:ln w="12700" cap="flat">
                      <a:noFill/>
                      <a:miter lim="400000"/>
                    </a:ln>
                    <a:effectLst/>
                  </pic:spPr>
                </pic:pic>
              </a:graphicData>
            </a:graphic>
          </wp:anchor>
        </w:drawing>
      </w:r>
    </w:p>
    <w:sectPr>
      <w:headerReference w:type="default" r:id="rId5"/>
      <w:footerReference w:type="default" r:id="rId6"/>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2">
    <w:multiLevelType w:val="hybridMultilevel"/>
    <w:numStyleLink w:val="Numbered"/>
  </w:abstractNum>
  <w:abstractNum w:abstractNumId="3">
    <w:multiLevelType w:val="hybridMultilevel"/>
    <w:styleLink w:val="Numbered"/>
    <w:lvl w:ilvl="0">
      <w:start w:val="1"/>
      <w:numFmt w:val="decimal"/>
      <w:suff w:val="tab"/>
      <w:lvlText w:val="%1."/>
      <w:lvlJc w:val="left"/>
      <w:pPr>
        <w:ind w:left="72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numbering" w:styleId="Bullet">
    <w:name w:val="Bullet"/>
    <w:pPr>
      <w:numPr>
        <w:numId w:val="1"/>
      </w:numPr>
    </w:pPr>
  </w:style>
  <w:style w:type="numbering" w:styleId="Numbered">
    <w:name w:val="Numbered"/>
    <w:pPr>
      <w:numPr>
        <w:numId w:val="3"/>
      </w:numPr>
    </w:p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