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433A" w14:textId="176B87BB" w:rsidR="00481FAF" w:rsidRDefault="00241838">
      <w:pPr>
        <w:rPr>
          <w:sz w:val="20"/>
          <w:szCs w:val="20"/>
        </w:rPr>
      </w:pPr>
      <w:r w:rsidRPr="00241838">
        <w:rPr>
          <w:sz w:val="20"/>
          <w:szCs w:val="20"/>
        </w:rPr>
        <w:t>The</w:t>
      </w:r>
      <w:r>
        <w:rPr>
          <w:sz w:val="20"/>
          <w:szCs w:val="20"/>
        </w:rPr>
        <w:t xml:space="preserve"> reconstruction loss $L(x, x^)</w:t>
      </w:r>
    </w:p>
    <w:p w14:paraId="1342C636" w14:textId="36D343B2" w:rsidR="00241838" w:rsidRPr="00241838" w:rsidRDefault="00241838">
      <w:pPr>
        <w:rPr>
          <w:sz w:val="20"/>
          <w:szCs w:val="20"/>
        </w:rPr>
      </w:pPr>
      <w:r>
        <w:rPr>
          <w:sz w:val="20"/>
          <w:szCs w:val="20"/>
        </w:rPr>
        <w:t>The former term encourages our model to be sensitive to inputs, and the latter discourages overfitting. A scaling parameter is typically in</w:t>
      </w:r>
      <w:bookmarkStart w:id="0" w:name="_GoBack"/>
      <w:bookmarkEnd w:id="0"/>
      <w:r>
        <w:rPr>
          <w:sz w:val="20"/>
          <w:szCs w:val="20"/>
        </w:rPr>
        <w:t xml:space="preserve">cluded in front of the </w:t>
      </w:r>
    </w:p>
    <w:sectPr w:rsidR="00241838" w:rsidRPr="0024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21"/>
    <w:rsid w:val="00241838"/>
    <w:rsid w:val="004F3321"/>
    <w:rsid w:val="00614C0C"/>
    <w:rsid w:val="0098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9830"/>
  <w15:chartTrackingRefBased/>
  <w15:docId w15:val="{3B30BF34-FAA1-4E9C-9DB3-9F575248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White</dc:creator>
  <cp:keywords/>
  <dc:description/>
  <cp:lastModifiedBy>Dom White</cp:lastModifiedBy>
  <cp:revision>2</cp:revision>
  <dcterms:created xsi:type="dcterms:W3CDTF">2020-02-24T22:19:00Z</dcterms:created>
  <dcterms:modified xsi:type="dcterms:W3CDTF">2020-02-24T22:21:00Z</dcterms:modified>
</cp:coreProperties>
</file>