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4414" w14:textId="77777777" w:rsidR="00481FAF" w:rsidRPr="00B56AF6" w:rsidRDefault="00CE56C1" w:rsidP="00CE56C1">
      <w:pPr>
        <w:jc w:val="both"/>
        <w:rPr>
          <w:b/>
          <w:bCs/>
          <w:sz w:val="32"/>
          <w:szCs w:val="32"/>
        </w:rPr>
      </w:pPr>
      <w:bookmarkStart w:id="0" w:name="_Hlk36720234"/>
      <w:r w:rsidRPr="00B56AF6">
        <w:rPr>
          <w:b/>
          <w:bCs/>
          <w:sz w:val="32"/>
          <w:szCs w:val="32"/>
        </w:rPr>
        <w:t>Experimentation</w:t>
      </w:r>
    </w:p>
    <w:bookmarkEnd w:id="0"/>
    <w:p w14:paraId="156D914E" w14:textId="77777777" w:rsidR="00812EC7" w:rsidRPr="00812EC7" w:rsidRDefault="00812EC7" w:rsidP="00CE56C1">
      <w:pPr>
        <w:jc w:val="both"/>
        <w:rPr>
          <w:b/>
          <w:bCs/>
          <w:sz w:val="24"/>
          <w:szCs w:val="24"/>
        </w:rPr>
      </w:pPr>
      <w:r>
        <w:rPr>
          <w:b/>
          <w:bCs/>
          <w:sz w:val="24"/>
          <w:szCs w:val="24"/>
        </w:rPr>
        <w:t>Overview</w:t>
      </w:r>
    </w:p>
    <w:p w14:paraId="5E997B67" w14:textId="484EEC14" w:rsidR="00812EC7" w:rsidRPr="00812EC7" w:rsidRDefault="00CE56C1" w:rsidP="00CE56C1">
      <w:pPr>
        <w:jc w:val="both"/>
        <w:rPr>
          <w:sz w:val="20"/>
          <w:szCs w:val="20"/>
        </w:rPr>
      </w:pPr>
      <w:r>
        <w:rPr>
          <w:sz w:val="20"/>
          <w:szCs w:val="20"/>
        </w:rPr>
        <w:t xml:space="preserve">To test the data, a wide range of models </w:t>
      </w:r>
      <w:r w:rsidR="000410D1">
        <w:rPr>
          <w:sz w:val="20"/>
          <w:szCs w:val="20"/>
        </w:rPr>
        <w:t>are</w:t>
      </w:r>
      <w:r>
        <w:rPr>
          <w:sz w:val="20"/>
          <w:szCs w:val="20"/>
        </w:rPr>
        <w:t xml:space="preserve"> used. In each, their usage is compared to uses previously identified in the literature. The concept behind the model is explained and the method used is detailed.</w:t>
      </w:r>
      <w:r w:rsidR="00812EC7">
        <w:rPr>
          <w:sz w:val="20"/>
          <w:szCs w:val="20"/>
        </w:rPr>
        <w:t xml:space="preserve"> Results are then thoroughly discussed.</w:t>
      </w:r>
      <w:r w:rsidR="000410D1">
        <w:rPr>
          <w:sz w:val="20"/>
          <w:szCs w:val="20"/>
        </w:rPr>
        <w:t xml:space="preserve"> Both classification – whether or not a train is delayed – and regression – by </w:t>
      </w:r>
      <w:r w:rsidR="000410D1">
        <w:rPr>
          <w:i/>
          <w:iCs/>
          <w:sz w:val="20"/>
          <w:szCs w:val="20"/>
        </w:rPr>
        <w:t>how much</w:t>
      </w:r>
      <w:r w:rsidR="000410D1">
        <w:rPr>
          <w:sz w:val="20"/>
          <w:szCs w:val="20"/>
        </w:rPr>
        <w:t xml:space="preserve"> a train is delayed – are addressed. Finally, the influence of weather will be tested.</w:t>
      </w:r>
      <w:r w:rsidR="00812EC7">
        <w:rPr>
          <w:sz w:val="20"/>
          <w:szCs w:val="20"/>
        </w:rPr>
        <w:t xml:space="preserve"> </w:t>
      </w:r>
    </w:p>
    <w:p w14:paraId="41200DC3" w14:textId="77777777" w:rsidR="00812EC7" w:rsidRDefault="00812EC7" w:rsidP="00CE56C1">
      <w:pPr>
        <w:jc w:val="both"/>
        <w:rPr>
          <w:b/>
          <w:bCs/>
          <w:sz w:val="24"/>
          <w:szCs w:val="24"/>
        </w:rPr>
      </w:pPr>
      <w:r>
        <w:rPr>
          <w:b/>
          <w:bCs/>
          <w:sz w:val="24"/>
          <w:szCs w:val="24"/>
        </w:rPr>
        <w:t>Pre-processing</w:t>
      </w:r>
    </w:p>
    <w:p w14:paraId="05BCC889" w14:textId="380F8F93" w:rsidR="00812EC7" w:rsidRDefault="00F04A8D" w:rsidP="00CE56C1">
      <w:pPr>
        <w:jc w:val="both"/>
        <w:rPr>
          <w:sz w:val="20"/>
          <w:szCs w:val="20"/>
        </w:rPr>
      </w:pPr>
      <w:bookmarkStart w:id="1" w:name="_Hlk36720185"/>
      <w:r>
        <w:rPr>
          <w:sz w:val="20"/>
          <w:szCs w:val="20"/>
        </w:rPr>
        <w:t>Pre</w:t>
      </w:r>
      <w:r w:rsidR="00812EC7">
        <w:rPr>
          <w:sz w:val="20"/>
          <w:szCs w:val="20"/>
        </w:rPr>
        <w:t xml:space="preserve">-processing is necessary before using the data output from the LOAD stage. </w:t>
      </w:r>
      <w:r>
        <w:rPr>
          <w:sz w:val="20"/>
          <w:szCs w:val="20"/>
        </w:rPr>
        <w:t>T</w:t>
      </w:r>
      <w:r w:rsidR="00812EC7">
        <w:rPr>
          <w:sz w:val="20"/>
          <w:szCs w:val="20"/>
        </w:rPr>
        <w:t>his mostly takes the form of encoding categorical variables</w:t>
      </w:r>
      <w:r>
        <w:rPr>
          <w:sz w:val="20"/>
          <w:szCs w:val="20"/>
        </w:rPr>
        <w:t xml:space="preserve">, </w:t>
      </w:r>
      <w:r w:rsidR="00812EC7">
        <w:rPr>
          <w:sz w:val="20"/>
          <w:szCs w:val="20"/>
        </w:rPr>
        <w:t>dropping unnecessary columns</w:t>
      </w:r>
      <w:r>
        <w:rPr>
          <w:sz w:val="20"/>
          <w:szCs w:val="20"/>
        </w:rPr>
        <w:t>, and setting datatypes to save space.</w:t>
      </w:r>
    </w:p>
    <w:p w14:paraId="07BF3408" w14:textId="02E7A995" w:rsidR="009E547E" w:rsidRDefault="009E547E" w:rsidP="00CE56C1">
      <w:pPr>
        <w:jc w:val="both"/>
        <w:rPr>
          <w:sz w:val="20"/>
          <w:szCs w:val="20"/>
        </w:rPr>
      </w:pPr>
      <w:r>
        <w:rPr>
          <w:sz w:val="20"/>
          <w:szCs w:val="20"/>
        </w:rPr>
        <w:t xml:space="preserve">Special attention is paid to datetimes, as they are likely to have significant influence. </w:t>
      </w:r>
      <w:r w:rsidR="00F04A8D">
        <w:rPr>
          <w:sz w:val="20"/>
          <w:szCs w:val="20"/>
        </w:rPr>
        <w:t xml:space="preserve">Dates are split into their respective parts: year, month, day, day of week. Hour and minutes are encoded into a single minutes variable. Different variables are used for both origin and destination. </w:t>
      </w:r>
      <w:r>
        <w:rPr>
          <w:sz w:val="20"/>
          <w:szCs w:val="20"/>
        </w:rPr>
        <w:t>These are encoded cyclically</w:t>
      </w:r>
      <w:r w:rsidR="00F04A8D">
        <w:rPr>
          <w:rStyle w:val="FootnoteReference"/>
          <w:sz w:val="20"/>
          <w:szCs w:val="20"/>
        </w:rPr>
        <w:footnoteReference w:id="1"/>
      </w:r>
      <w:r w:rsidR="00F04A8D">
        <w:rPr>
          <w:sz w:val="20"/>
          <w:szCs w:val="20"/>
        </w:rPr>
        <w:t xml:space="preserve"> by converting a single column to two: one for </w:t>
      </w:r>
      <m:oMath>
        <m:r>
          <w:rPr>
            <w:rFonts w:ascii="Cambria Math" w:hAnsi="Cambria Math"/>
            <w:sz w:val="20"/>
            <w:szCs w:val="20"/>
          </w:rPr>
          <m:t>sin</m:t>
        </m:r>
      </m:oMath>
      <w:r w:rsidR="00F04A8D">
        <w:rPr>
          <w:sz w:val="20"/>
          <w:szCs w:val="20"/>
        </w:rPr>
        <w:t xml:space="preserve"> and the other for </w:t>
      </w:r>
      <m:oMath>
        <m:r>
          <w:rPr>
            <w:rFonts w:ascii="Cambria Math" w:hAnsi="Cambria Math"/>
            <w:sz w:val="20"/>
            <w:szCs w:val="20"/>
          </w:rPr>
          <m:t>cos</m:t>
        </m:r>
      </m:oMath>
      <w:r w:rsidR="00F04A8D">
        <w:rPr>
          <w:sz w:val="20"/>
          <w:szCs w:val="20"/>
        </w:rPr>
        <w:t xml:space="preserve">. In this way a variable is encoded as a unit circle, so Monday and Sunday are adjacent, for instance, as are 11pm (23 hours) and 12am (0 hours). </w:t>
      </w:r>
    </w:p>
    <w:p w14:paraId="7957583A" w14:textId="10F9EA1C" w:rsidR="000410D1" w:rsidRPr="00F04A8D" w:rsidRDefault="000410D1" w:rsidP="00CE56C1">
      <w:pPr>
        <w:jc w:val="both"/>
        <w:rPr>
          <w:sz w:val="20"/>
          <w:szCs w:val="20"/>
        </w:rPr>
      </w:pPr>
      <w:r>
        <w:rPr>
          <w:sz w:val="20"/>
          <w:szCs w:val="20"/>
        </w:rPr>
        <w:t xml:space="preserve">Two target columns are then constructed using the difference between the scheduled arrival time (STA) and actual arrival time (ATA). The first, whether or not a train is delayed, is used for classification. The second, the amount by which a train is delayed, is used for regression. Erroneous values are also discarded. In about 1% of records, a error in the ETL pipeline resulted in ATAs a day </w:t>
      </w:r>
      <w:r>
        <w:rPr>
          <w:i/>
          <w:iCs/>
          <w:sz w:val="20"/>
          <w:szCs w:val="20"/>
        </w:rPr>
        <w:t>before</w:t>
      </w:r>
      <w:r>
        <w:rPr>
          <w:sz w:val="20"/>
          <w:szCs w:val="20"/>
        </w:rPr>
        <w:t xml:space="preserve"> STAs. This occurred on a small number of trains that run over two days.</w:t>
      </w:r>
    </w:p>
    <w:p w14:paraId="3665E951" w14:textId="5E96E88C" w:rsidR="00812EC7" w:rsidRDefault="00F04A8D" w:rsidP="00CE56C1">
      <w:pPr>
        <w:jc w:val="both"/>
        <w:rPr>
          <w:sz w:val="20"/>
          <w:szCs w:val="20"/>
        </w:rPr>
      </w:pPr>
      <w:r>
        <w:rPr>
          <w:sz w:val="20"/>
          <w:szCs w:val="20"/>
        </w:rPr>
        <w:t>Some element of locality is also likely to improve results. Categorically</w:t>
      </w:r>
      <w:r w:rsidR="00812EC7">
        <w:rPr>
          <w:sz w:val="20"/>
          <w:szCs w:val="20"/>
        </w:rPr>
        <w:t xml:space="preserve"> encoding</w:t>
      </w:r>
      <w:r>
        <w:rPr>
          <w:sz w:val="20"/>
          <w:szCs w:val="20"/>
        </w:rPr>
        <w:t xml:space="preserve"> origin and destination</w:t>
      </w:r>
      <w:r w:rsidR="00812EC7">
        <w:rPr>
          <w:sz w:val="20"/>
          <w:szCs w:val="20"/>
        </w:rPr>
        <w:t xml:space="preserve"> TIPLOCs is impractical, as there are approximately 80,000. Nor is there any structure to their designations. Instead, their corresponding STANOX area is used. There are 89 STANOX areas</w:t>
      </w:r>
      <w:r w:rsidR="00812EC7">
        <w:rPr>
          <w:rStyle w:val="FootnoteReference"/>
          <w:sz w:val="20"/>
          <w:szCs w:val="20"/>
        </w:rPr>
        <w:footnoteReference w:id="2"/>
      </w:r>
      <w:r w:rsidR="00812EC7">
        <w:rPr>
          <w:sz w:val="20"/>
          <w:szCs w:val="20"/>
        </w:rPr>
        <w:t xml:space="preserve">, </w:t>
      </w:r>
      <w:r>
        <w:rPr>
          <w:sz w:val="20"/>
          <w:szCs w:val="20"/>
        </w:rPr>
        <w:t xml:space="preserve">proxies for </w:t>
      </w:r>
      <w:r w:rsidR="00812EC7">
        <w:rPr>
          <w:sz w:val="20"/>
          <w:szCs w:val="20"/>
        </w:rPr>
        <w:t>geographical areas.</w:t>
      </w:r>
    </w:p>
    <w:p w14:paraId="5E641B6C" w14:textId="7A460CE9" w:rsidR="000410D1" w:rsidRDefault="000410D1" w:rsidP="00CE56C1">
      <w:pPr>
        <w:jc w:val="both"/>
        <w:rPr>
          <w:sz w:val="20"/>
          <w:szCs w:val="20"/>
        </w:rPr>
      </w:pPr>
      <w:r>
        <w:rPr>
          <w:sz w:val="20"/>
          <w:szCs w:val="20"/>
        </w:rPr>
        <w:t xml:space="preserve">Dropped columns are mostly IDs, and those used to construct the columns discussed above. The actual time of departure (ATD) must also be dropped, as it could not be known in real-life data ahead of time. Also dropped are three metadata columns with too many </w:t>
      </w:r>
      <w:proofErr w:type="spellStart"/>
      <w:r>
        <w:rPr>
          <w:sz w:val="20"/>
          <w:szCs w:val="20"/>
        </w:rPr>
        <w:t>NaN</w:t>
      </w:r>
      <w:proofErr w:type="spellEnd"/>
      <w:r>
        <w:rPr>
          <w:sz w:val="20"/>
          <w:szCs w:val="20"/>
        </w:rPr>
        <w:t xml:space="preserve"> values: </w:t>
      </w:r>
      <w:r>
        <w:rPr>
          <w:i/>
          <w:iCs/>
          <w:sz w:val="20"/>
          <w:szCs w:val="20"/>
        </w:rPr>
        <w:t>sleepers</w:t>
      </w:r>
      <w:r>
        <w:rPr>
          <w:sz w:val="20"/>
          <w:szCs w:val="20"/>
        </w:rPr>
        <w:t xml:space="preserve">, </w:t>
      </w:r>
      <w:r>
        <w:rPr>
          <w:i/>
          <w:iCs/>
          <w:sz w:val="20"/>
          <w:szCs w:val="20"/>
        </w:rPr>
        <w:t>reservations</w:t>
      </w:r>
      <w:r>
        <w:rPr>
          <w:sz w:val="20"/>
          <w:szCs w:val="20"/>
        </w:rPr>
        <w:t xml:space="preserve">, and </w:t>
      </w:r>
      <w:r>
        <w:rPr>
          <w:i/>
          <w:iCs/>
          <w:sz w:val="20"/>
          <w:szCs w:val="20"/>
        </w:rPr>
        <w:t>branding</w:t>
      </w:r>
      <w:r>
        <w:rPr>
          <w:sz w:val="20"/>
          <w:szCs w:val="20"/>
        </w:rPr>
        <w:t xml:space="preserve">. </w:t>
      </w:r>
    </w:p>
    <w:p w14:paraId="2DB0C629" w14:textId="77777777" w:rsidR="00223682" w:rsidRDefault="000410D1" w:rsidP="00CE56C1">
      <w:pPr>
        <w:jc w:val="both"/>
        <w:rPr>
          <w:sz w:val="20"/>
          <w:szCs w:val="20"/>
        </w:rPr>
      </w:pPr>
      <w:r>
        <w:rPr>
          <w:sz w:val="20"/>
          <w:szCs w:val="20"/>
        </w:rPr>
        <w:t>Finally, the following column</w:t>
      </w:r>
      <w:r w:rsidR="00040741">
        <w:rPr>
          <w:sz w:val="20"/>
          <w:szCs w:val="20"/>
        </w:rPr>
        <w:t>s</w:t>
      </w:r>
      <w:r>
        <w:rPr>
          <w:sz w:val="20"/>
          <w:szCs w:val="20"/>
        </w:rPr>
        <w:t xml:space="preserve"> are one-hot encoded: </w:t>
      </w:r>
      <w:r>
        <w:rPr>
          <w:i/>
          <w:iCs/>
          <w:sz w:val="20"/>
          <w:szCs w:val="20"/>
        </w:rPr>
        <w:t xml:space="preserve">status, category, </w:t>
      </w:r>
      <w:proofErr w:type="spellStart"/>
      <w:r>
        <w:rPr>
          <w:i/>
          <w:iCs/>
          <w:sz w:val="20"/>
          <w:szCs w:val="20"/>
        </w:rPr>
        <w:t>power_type</w:t>
      </w:r>
      <w:proofErr w:type="spellEnd"/>
      <w:r>
        <w:rPr>
          <w:i/>
          <w:iCs/>
          <w:sz w:val="20"/>
          <w:szCs w:val="20"/>
        </w:rPr>
        <w:t xml:space="preserve">, </w:t>
      </w:r>
      <w:proofErr w:type="spellStart"/>
      <w:r>
        <w:rPr>
          <w:i/>
          <w:iCs/>
          <w:sz w:val="20"/>
          <w:szCs w:val="20"/>
        </w:rPr>
        <w:t>timing_load</w:t>
      </w:r>
      <w:proofErr w:type="spellEnd"/>
      <w:r>
        <w:rPr>
          <w:i/>
          <w:iCs/>
          <w:sz w:val="20"/>
          <w:szCs w:val="20"/>
        </w:rPr>
        <w:t xml:space="preserve">, </w:t>
      </w:r>
      <w:proofErr w:type="spellStart"/>
      <w:r>
        <w:rPr>
          <w:i/>
          <w:iCs/>
          <w:sz w:val="20"/>
          <w:szCs w:val="20"/>
        </w:rPr>
        <w:t>ATOC_code</w:t>
      </w:r>
      <w:proofErr w:type="spellEnd"/>
      <w:r>
        <w:rPr>
          <w:i/>
          <w:iCs/>
          <w:sz w:val="20"/>
          <w:szCs w:val="20"/>
        </w:rPr>
        <w:t xml:space="preserve">, seating, </w:t>
      </w:r>
      <w:proofErr w:type="spellStart"/>
      <w:r>
        <w:rPr>
          <w:i/>
          <w:iCs/>
          <w:sz w:val="20"/>
          <w:szCs w:val="20"/>
        </w:rPr>
        <w:t>origin_stanox_area</w:t>
      </w:r>
      <w:proofErr w:type="spellEnd"/>
      <w:r>
        <w:rPr>
          <w:i/>
          <w:iCs/>
          <w:sz w:val="20"/>
          <w:szCs w:val="20"/>
        </w:rPr>
        <w:t xml:space="preserve">, </w:t>
      </w:r>
      <w:r>
        <w:rPr>
          <w:sz w:val="20"/>
          <w:szCs w:val="20"/>
        </w:rPr>
        <w:t xml:space="preserve">and </w:t>
      </w:r>
      <w:r>
        <w:rPr>
          <w:i/>
          <w:iCs/>
          <w:sz w:val="20"/>
          <w:szCs w:val="20"/>
        </w:rPr>
        <w:t>destination</w:t>
      </w:r>
      <w:r>
        <w:rPr>
          <w:i/>
          <w:iCs/>
          <w:sz w:val="20"/>
          <w:szCs w:val="20"/>
        </w:rPr>
        <w:softHyphen/>
        <w:t>_</w:t>
      </w:r>
      <w:proofErr w:type="spellStart"/>
      <w:r>
        <w:rPr>
          <w:i/>
          <w:iCs/>
          <w:sz w:val="20"/>
          <w:szCs w:val="20"/>
        </w:rPr>
        <w:t>stanox_area</w:t>
      </w:r>
      <w:proofErr w:type="spellEnd"/>
      <w:r>
        <w:rPr>
          <w:sz w:val="20"/>
          <w:szCs w:val="20"/>
        </w:rPr>
        <w:t xml:space="preserve">. </w:t>
      </w:r>
      <w:r w:rsidR="00040741">
        <w:rPr>
          <w:i/>
          <w:iCs/>
          <w:sz w:val="20"/>
          <w:szCs w:val="20"/>
        </w:rPr>
        <w:t xml:space="preserve">characteristic </w:t>
      </w:r>
      <w:r w:rsidR="00040741">
        <w:rPr>
          <w:sz w:val="20"/>
          <w:szCs w:val="20"/>
        </w:rPr>
        <w:t xml:space="preserve">and </w:t>
      </w:r>
      <w:r w:rsidR="00040741" w:rsidRPr="00040741">
        <w:rPr>
          <w:i/>
          <w:iCs/>
          <w:sz w:val="20"/>
          <w:szCs w:val="20"/>
        </w:rPr>
        <w:t>catering</w:t>
      </w:r>
      <w:r w:rsidR="00040741">
        <w:rPr>
          <w:i/>
          <w:iCs/>
          <w:sz w:val="20"/>
          <w:szCs w:val="20"/>
        </w:rPr>
        <w:t xml:space="preserve"> </w:t>
      </w:r>
      <w:r w:rsidR="00040741">
        <w:rPr>
          <w:sz w:val="20"/>
          <w:szCs w:val="20"/>
        </w:rPr>
        <w:t xml:space="preserve">were encoded during schedule parsing in the TRANSFORM stage. </w:t>
      </w:r>
    </w:p>
    <w:p w14:paraId="3DA1D87B" w14:textId="2B0303AD" w:rsidR="000410D1" w:rsidRDefault="00040741" w:rsidP="00CE56C1">
      <w:pPr>
        <w:jc w:val="both"/>
        <w:rPr>
          <w:sz w:val="20"/>
          <w:szCs w:val="20"/>
        </w:rPr>
      </w:pPr>
      <w:r>
        <w:rPr>
          <w:sz w:val="20"/>
          <w:szCs w:val="20"/>
        </w:rPr>
        <w:t>Numeric variables (</w:t>
      </w:r>
      <w:r>
        <w:rPr>
          <w:i/>
          <w:iCs/>
          <w:sz w:val="20"/>
          <w:szCs w:val="20"/>
        </w:rPr>
        <w:t>length, speed,</w:t>
      </w:r>
      <w:r>
        <w:rPr>
          <w:sz w:val="20"/>
          <w:szCs w:val="20"/>
        </w:rPr>
        <w:t xml:space="preserve"> and all generated datetime columns) are then scaled to between 0 and 1. </w:t>
      </w:r>
      <w:r w:rsidR="00B56AF6">
        <w:rPr>
          <w:sz w:val="20"/>
          <w:szCs w:val="20"/>
        </w:rPr>
        <w:t xml:space="preserve">The datatype of each column is then minimised. For the majority, </w:t>
      </w:r>
      <w:r w:rsidR="00B56AF6">
        <w:rPr>
          <w:i/>
          <w:iCs/>
          <w:sz w:val="20"/>
          <w:szCs w:val="20"/>
        </w:rPr>
        <w:t>np.</w:t>
      </w:r>
      <w:r w:rsidR="00B56AF6" w:rsidRPr="00040741">
        <w:rPr>
          <w:i/>
          <w:iCs/>
          <w:sz w:val="20"/>
          <w:szCs w:val="20"/>
        </w:rPr>
        <w:t>uint8</w:t>
      </w:r>
      <w:r w:rsidR="00B56AF6">
        <w:rPr>
          <w:sz w:val="20"/>
          <w:szCs w:val="20"/>
        </w:rPr>
        <w:t xml:space="preserve"> is used. </w:t>
      </w:r>
      <w:r w:rsidR="000410D1" w:rsidRPr="00B56AF6">
        <w:rPr>
          <w:sz w:val="20"/>
          <w:szCs w:val="20"/>
        </w:rPr>
        <w:t>The</w:t>
      </w:r>
      <w:r w:rsidR="000410D1">
        <w:rPr>
          <w:sz w:val="20"/>
          <w:szCs w:val="20"/>
        </w:rPr>
        <w:t xml:space="preserve"> resulting dataset comprises </w:t>
      </w:r>
      <w:r w:rsidR="00223682">
        <w:rPr>
          <w:sz w:val="20"/>
          <w:szCs w:val="20"/>
        </w:rPr>
        <w:t>over 5 million</w:t>
      </w:r>
      <w:r w:rsidR="000410D1">
        <w:rPr>
          <w:sz w:val="20"/>
          <w:szCs w:val="20"/>
        </w:rPr>
        <w:t xml:space="preserve"> rows and </w:t>
      </w:r>
      <w:r w:rsidR="00223682">
        <w:rPr>
          <w:sz w:val="20"/>
          <w:szCs w:val="20"/>
        </w:rPr>
        <w:t>284</w:t>
      </w:r>
      <w:r w:rsidR="000410D1">
        <w:rPr>
          <w:sz w:val="20"/>
          <w:szCs w:val="20"/>
        </w:rPr>
        <w:t xml:space="preserve"> columns. </w:t>
      </w:r>
    </w:p>
    <w:bookmarkEnd w:id="1"/>
    <w:p w14:paraId="0FD9833D" w14:textId="55CD1F77" w:rsidR="00B56AF6" w:rsidRPr="00696541" w:rsidRDefault="00B56AF6" w:rsidP="00CE56C1">
      <w:pPr>
        <w:jc w:val="both"/>
        <w:rPr>
          <w:b/>
          <w:bCs/>
          <w:sz w:val="28"/>
          <w:szCs w:val="28"/>
        </w:rPr>
      </w:pPr>
      <w:r w:rsidRPr="00696541">
        <w:rPr>
          <w:b/>
          <w:bCs/>
          <w:sz w:val="28"/>
          <w:szCs w:val="28"/>
        </w:rPr>
        <w:t>Metrics</w:t>
      </w:r>
    </w:p>
    <w:p w14:paraId="393D0A92" w14:textId="1E652982" w:rsidR="00B56AF6" w:rsidRPr="00696541" w:rsidRDefault="00696541" w:rsidP="00CE56C1">
      <w:pPr>
        <w:jc w:val="both"/>
        <w:rPr>
          <w:b/>
          <w:bCs/>
          <w:sz w:val="24"/>
          <w:szCs w:val="24"/>
        </w:rPr>
      </w:pPr>
      <w:r w:rsidRPr="00696541">
        <w:rPr>
          <w:b/>
          <w:bCs/>
          <w:sz w:val="24"/>
          <w:szCs w:val="24"/>
        </w:rPr>
        <w:t>Classification</w:t>
      </w:r>
    </w:p>
    <w:p w14:paraId="4D50E868" w14:textId="33E7AFD2" w:rsidR="00B56AF6" w:rsidRDefault="00B56AF6" w:rsidP="00B56AF6">
      <w:pPr>
        <w:jc w:val="both"/>
        <w:rPr>
          <w:sz w:val="20"/>
          <w:szCs w:val="20"/>
        </w:rPr>
      </w:pPr>
      <w:bookmarkStart w:id="2" w:name="_Hlk36720985"/>
      <w:r>
        <w:rPr>
          <w:sz w:val="20"/>
          <w:szCs w:val="20"/>
        </w:rPr>
        <w:t>Accuracy is a misleading metric for imbalanced datasets. Approximately 7% of trains are delayed; models can simply always predict ‘not delayed’ to achieve roughly 93% accuracy, and duly learn to do so</w:t>
      </w:r>
      <w:r w:rsidR="00696541">
        <w:rPr>
          <w:sz w:val="20"/>
          <w:szCs w:val="20"/>
        </w:rPr>
        <w:t>. This is known as the accuracy paradox.</w:t>
      </w:r>
      <w:r>
        <w:rPr>
          <w:sz w:val="20"/>
          <w:szCs w:val="20"/>
        </w:rPr>
        <w:t xml:space="preserve"> Instead, </w:t>
      </w:r>
      <w:r w:rsidR="00696541">
        <w:rPr>
          <w:sz w:val="20"/>
          <w:szCs w:val="20"/>
        </w:rPr>
        <w:t>other metrics</w:t>
      </w:r>
      <w:r>
        <w:rPr>
          <w:rFonts w:eastAsiaTheme="minorEastAsia"/>
          <w:sz w:val="20"/>
          <w:szCs w:val="20"/>
        </w:rPr>
        <w:t xml:space="preserve"> should be used. </w:t>
      </w:r>
      <w:r>
        <w:rPr>
          <w:i/>
          <w:iCs/>
          <w:sz w:val="20"/>
          <w:szCs w:val="20"/>
        </w:rPr>
        <w:t>Precision</w:t>
      </w:r>
      <w:r>
        <w:rPr>
          <w:sz w:val="20"/>
          <w:szCs w:val="20"/>
        </w:rPr>
        <w:t xml:space="preserve"> is the ability of the classifier not to label as positive a sample that is negative. </w:t>
      </w:r>
      <w:r>
        <w:rPr>
          <w:i/>
          <w:iCs/>
          <w:sz w:val="20"/>
          <w:szCs w:val="20"/>
        </w:rPr>
        <w:t>Recall</w:t>
      </w:r>
      <w:r>
        <w:rPr>
          <w:sz w:val="20"/>
          <w:szCs w:val="20"/>
        </w:rPr>
        <w:t xml:space="preserve"> is the ability of the classifier to find all positive samples.</w:t>
      </w:r>
      <w:r w:rsidR="004A77FF">
        <w:rPr>
          <w:sz w:val="20"/>
          <w:szCs w:val="20"/>
        </w:rPr>
        <w:t xml:space="preserve"> The fraction of samples from a class which are correctly predicted by the model.</w:t>
      </w:r>
      <w:r w:rsidR="00696541">
        <w:rPr>
          <w:sz w:val="20"/>
          <w:szCs w:val="20"/>
        </w:rPr>
        <w:t xml:space="preserve"> There is a natural trade-off between the two.</w:t>
      </w:r>
    </w:p>
    <w:p w14:paraId="32BEAA84" w14:textId="37F5D60D" w:rsidR="004A77FF" w:rsidRPr="00CF012A" w:rsidRDefault="004A77FF" w:rsidP="004A77FF">
      <w:pPr>
        <w:jc w:val="both"/>
        <w:rPr>
          <w:sz w:val="20"/>
          <w:szCs w:val="20"/>
        </w:rPr>
      </w:pPr>
      <m:oMathPara>
        <m:oMath>
          <m:r>
            <w:rPr>
              <w:rFonts w:ascii="Cambria Math" w:hAnsi="Cambria Math"/>
              <w:sz w:val="20"/>
              <w:szCs w:val="20"/>
            </w:rPr>
            <w:lastRenderedPageBreak/>
            <m:t xml:space="preserve">accuracy= </m:t>
          </m:r>
          <m:f>
            <m:fPr>
              <m:ctrlPr>
                <w:rPr>
                  <w:rFonts w:ascii="Cambria Math" w:hAnsi="Cambria Math"/>
                  <w:i/>
                  <w:sz w:val="20"/>
                  <w:szCs w:val="20"/>
                </w:rPr>
              </m:ctrlPr>
            </m:fPr>
            <m:num>
              <m:r>
                <w:rPr>
                  <w:rFonts w:ascii="Cambria Math" w:hAnsi="Cambria Math"/>
                  <w:sz w:val="20"/>
                  <w:szCs w:val="20"/>
                </w:rPr>
                <m:t>tp+tn</m:t>
              </m:r>
            </m:num>
            <m:den>
              <m:r>
                <w:rPr>
                  <w:rFonts w:ascii="Cambria Math" w:hAnsi="Cambria Math"/>
                  <w:sz w:val="20"/>
                  <w:szCs w:val="20"/>
                </w:rPr>
                <m:t>tp+fp+tn+fn</m:t>
              </m:r>
            </m:den>
          </m:f>
        </m:oMath>
      </m:oMathPara>
    </w:p>
    <w:p w14:paraId="017EE0A1" w14:textId="77777777" w:rsidR="004A77FF" w:rsidRDefault="004A77FF" w:rsidP="00B56AF6">
      <w:pPr>
        <w:jc w:val="both"/>
        <w:rPr>
          <w:sz w:val="20"/>
          <w:szCs w:val="20"/>
        </w:rPr>
      </w:pPr>
    </w:p>
    <w:p w14:paraId="33F0CA47" w14:textId="77777777" w:rsidR="00B56AF6" w:rsidRDefault="00B56AF6" w:rsidP="00B56AF6">
      <w:pPr>
        <w:jc w:val="both"/>
        <w:rPr>
          <w:sz w:val="20"/>
          <w:szCs w:val="20"/>
        </w:rPr>
      </w:pPr>
    </w:p>
    <w:p w14:paraId="378CE03B" w14:textId="77777777" w:rsidR="00B56AF6" w:rsidRPr="00CF012A" w:rsidRDefault="00B56AF6" w:rsidP="00B56AF6">
      <w:pPr>
        <w:jc w:val="both"/>
        <w:rPr>
          <w:sz w:val="20"/>
          <w:szCs w:val="20"/>
        </w:rPr>
      </w:pPr>
      <m:oMathPara>
        <m:oMath>
          <m:r>
            <w:rPr>
              <w:rFonts w:ascii="Cambria Math" w:hAnsi="Cambria Math"/>
              <w:sz w:val="20"/>
              <w:szCs w:val="20"/>
            </w:rPr>
            <m:t xml:space="preserve">precision= </m:t>
          </m:r>
          <m:f>
            <m:fPr>
              <m:ctrlPr>
                <w:rPr>
                  <w:rFonts w:ascii="Cambria Math" w:hAnsi="Cambria Math"/>
                  <w:i/>
                  <w:sz w:val="20"/>
                  <w:szCs w:val="20"/>
                </w:rPr>
              </m:ctrlPr>
            </m:fPr>
            <m:num>
              <m:r>
                <w:rPr>
                  <w:rFonts w:ascii="Cambria Math" w:hAnsi="Cambria Math"/>
                  <w:sz w:val="20"/>
                  <w:szCs w:val="20"/>
                </w:rPr>
                <m:t>tp+fp</m:t>
              </m:r>
            </m:num>
            <m:den>
              <m:r>
                <w:rPr>
                  <w:rFonts w:ascii="Cambria Math" w:hAnsi="Cambria Math"/>
                  <w:sz w:val="20"/>
                  <w:szCs w:val="20"/>
                </w:rPr>
                <m:t>fp</m:t>
              </m:r>
            </m:den>
          </m:f>
        </m:oMath>
      </m:oMathPara>
    </w:p>
    <w:p w14:paraId="32831A7D" w14:textId="77777777" w:rsidR="00B56AF6" w:rsidRPr="00CF012A" w:rsidRDefault="00B56AF6" w:rsidP="00B56AF6">
      <w:pPr>
        <w:jc w:val="both"/>
        <w:rPr>
          <w:sz w:val="20"/>
          <w:szCs w:val="20"/>
        </w:rPr>
      </w:pPr>
    </w:p>
    <w:p w14:paraId="6A9C0C31" w14:textId="5A50E5CD" w:rsidR="00B56AF6" w:rsidRPr="004A77FF" w:rsidRDefault="00B56AF6" w:rsidP="00B56AF6">
      <w:pPr>
        <w:jc w:val="both"/>
        <w:rPr>
          <w:rFonts w:eastAsiaTheme="minorEastAsia"/>
          <w:sz w:val="20"/>
          <w:szCs w:val="20"/>
        </w:rPr>
      </w:pPr>
      <m:oMathPara>
        <m:oMath>
          <m:r>
            <w:rPr>
              <w:rFonts w:ascii="Cambria Math" w:hAnsi="Cambria Math"/>
              <w:sz w:val="20"/>
              <w:szCs w:val="20"/>
            </w:rPr>
            <m:t xml:space="preserve">recall= </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m:oMathPara>
    </w:p>
    <w:p w14:paraId="6C8CD37E" w14:textId="70DCF7C6" w:rsidR="004A77FF" w:rsidRDefault="004A77FF" w:rsidP="00B56AF6">
      <w:pPr>
        <w:jc w:val="both"/>
        <w:rPr>
          <w:sz w:val="20"/>
          <w:szCs w:val="20"/>
        </w:rPr>
      </w:pPr>
    </w:p>
    <w:p w14:paraId="56A3044E" w14:textId="525226E1" w:rsidR="004A77FF" w:rsidRPr="004A77FF" w:rsidRDefault="00740298" w:rsidP="004A77FF">
      <w:pPr>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m:rPr>
                  <m:sty m:val="p"/>
                </m:rPr>
                <w:rPr>
                  <w:rFonts w:ascii="Cambria Math" w:hAnsi="Cambria Math"/>
                  <w:sz w:val="20"/>
                  <w:szCs w:val="20"/>
                </w:rPr>
                <m:t>Β</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precision∙recall</m:t>
              </m:r>
            </m:num>
            <m:den>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precision+recall</m:t>
                  </m:r>
                </m:e>
              </m:d>
            </m:den>
          </m:f>
        </m:oMath>
      </m:oMathPara>
    </w:p>
    <w:p w14:paraId="681A5E5D" w14:textId="77777777" w:rsidR="004A77FF" w:rsidRPr="00A932BE" w:rsidRDefault="004A77FF" w:rsidP="00B56AF6">
      <w:pPr>
        <w:jc w:val="both"/>
        <w:rPr>
          <w:sz w:val="20"/>
          <w:szCs w:val="20"/>
        </w:rPr>
      </w:pPr>
    </w:p>
    <w:p w14:paraId="2CA9AFFE" w14:textId="34AA7828" w:rsidR="00B56AF6" w:rsidRDefault="00B56AF6" w:rsidP="00B56AF6">
      <w:pPr>
        <w:jc w:val="both"/>
        <w:rPr>
          <w:rFonts w:eastAsiaTheme="minorEastAsia"/>
          <w:sz w:val="20"/>
          <w:szCs w:val="20"/>
        </w:rPr>
      </w:pPr>
      <w:r>
        <w:rPr>
          <w:sz w:val="20"/>
          <w:szCs w:val="20"/>
        </w:rPr>
        <w:t xml:space="preserve">The </w:t>
      </w:r>
      <m:oMath>
        <m:r>
          <w:rPr>
            <w:rFonts w:ascii="Cambria Math" w:hAnsi="Cambria Math"/>
            <w:sz w:val="20"/>
            <w:szCs w:val="20"/>
          </w:rPr>
          <m:t>F</m:t>
        </m:r>
      </m:oMath>
      <w:r>
        <w:rPr>
          <w:rFonts w:eastAsiaTheme="minorEastAsia"/>
          <w:sz w:val="20"/>
          <w:szCs w:val="20"/>
        </w:rPr>
        <w:t>-measure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and</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xml:space="preserve"> measures) are a weighted harmonic mean of precision and recall. A</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measure reaches its best value at 1 and its worst score at 0. With </w:t>
      </w:r>
      <m:oMath>
        <m:r>
          <w:rPr>
            <w:rFonts w:ascii="Cambria Math" w:eastAsiaTheme="minorEastAsia" w:hAnsi="Cambria Math"/>
            <w:sz w:val="20"/>
            <w:szCs w:val="20"/>
          </w:rPr>
          <m:t>β=1</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and the recall and precision are equally important.</w:t>
      </w:r>
      <w:r w:rsidR="00696541">
        <w:rPr>
          <w:rFonts w:eastAsiaTheme="minorEastAsia"/>
          <w:sz w:val="20"/>
          <w:szCs w:val="20"/>
        </w:rPr>
        <w:t xml:space="preserve"> </w:t>
      </w:r>
      <w:r>
        <w:rPr>
          <w:rFonts w:eastAsiaTheme="minorEastAsia"/>
          <w:sz w:val="20"/>
          <w:szCs w:val="20"/>
        </w:rPr>
        <w:t>True positives, false positives, true negatives, and false negatives may be succinctly represented in a confusion matrix</w:t>
      </w:r>
      <w:r w:rsidR="00696541">
        <w:rPr>
          <w:rFonts w:eastAsiaTheme="minorEastAsia"/>
          <w:sz w:val="20"/>
          <w:szCs w:val="20"/>
        </w:rPr>
        <w:t xml:space="preserve"> and visualised using heatmaps.</w:t>
      </w:r>
    </w:p>
    <w:p w14:paraId="54550992" w14:textId="49B7FBE2" w:rsidR="00696541" w:rsidRDefault="004A77FF" w:rsidP="00B56AF6">
      <w:pPr>
        <w:jc w:val="both"/>
        <w:rPr>
          <w:rFonts w:eastAsiaTheme="minorEastAsia"/>
          <w:sz w:val="20"/>
          <w:szCs w:val="20"/>
        </w:rPr>
      </w:pPr>
      <w:r>
        <w:rPr>
          <w:rFonts w:eastAsiaTheme="minorEastAsia"/>
          <w:sz w:val="20"/>
          <w:szCs w:val="20"/>
        </w:rPr>
        <w:t>The receiver operating characteristics (ROC) curve is a plot which shows the performance of a binary classifier as a function of its cut-off threshold (the true positive rate against the false positive rate for various thresholds)</w:t>
      </w:r>
      <w:r w:rsidR="00B62588">
        <w:rPr>
          <w:rFonts w:eastAsiaTheme="minorEastAsia"/>
          <w:sz w:val="20"/>
          <w:szCs w:val="20"/>
        </w:rPr>
        <w:t>.</w:t>
      </w:r>
    </w:p>
    <w:bookmarkEnd w:id="2"/>
    <w:p w14:paraId="67F6E04B" w14:textId="2F023088" w:rsidR="00B56AF6" w:rsidRDefault="00696541" w:rsidP="00CE56C1">
      <w:pPr>
        <w:jc w:val="both"/>
        <w:rPr>
          <w:b/>
          <w:bCs/>
          <w:sz w:val="24"/>
          <w:szCs w:val="24"/>
        </w:rPr>
      </w:pPr>
      <w:r>
        <w:rPr>
          <w:b/>
          <w:bCs/>
          <w:sz w:val="24"/>
          <w:szCs w:val="24"/>
        </w:rPr>
        <w:t>Regression</w:t>
      </w:r>
    </w:p>
    <w:p w14:paraId="020C8CAE" w14:textId="2287D585" w:rsidR="00696541" w:rsidRDefault="00696541" w:rsidP="00CE56C1">
      <w:pPr>
        <w:jc w:val="both"/>
        <w:rPr>
          <w:sz w:val="20"/>
          <w:szCs w:val="20"/>
        </w:rPr>
      </w:pPr>
      <w:r>
        <w:rPr>
          <w:sz w:val="20"/>
          <w:szCs w:val="20"/>
        </w:rPr>
        <w:t>Regression metrics include the mean absolute error (MAE), root mean squared error (RMSE)</w:t>
      </w:r>
      <w:r w:rsidR="004A77FF">
        <w:rPr>
          <w:sz w:val="20"/>
          <w:szCs w:val="20"/>
        </w:rPr>
        <w:t>, mean squared error (MSE), R-Squared (R</w:t>
      </w:r>
      <w:r w:rsidR="004A77FF">
        <w:rPr>
          <w:sz w:val="20"/>
          <w:szCs w:val="20"/>
          <w:vertAlign w:val="superscript"/>
        </w:rPr>
        <w:t>2</w:t>
      </w:r>
      <w:r w:rsidR="004A77FF">
        <w:rPr>
          <w:sz w:val="20"/>
          <w:szCs w:val="20"/>
        </w:rPr>
        <w:t>), mean squared percentage error (MSPE), mean absolute percentage error (MAPE), and root mean squared logarithmic error (RMSLE).</w:t>
      </w:r>
    </w:p>
    <w:p w14:paraId="3DBDA250" w14:textId="3DBB0BA9" w:rsidR="004A77FF" w:rsidRPr="004A77FF" w:rsidRDefault="004A77FF" w:rsidP="00CE56C1">
      <w:pPr>
        <w:jc w:val="both"/>
        <w:rPr>
          <w:sz w:val="20"/>
          <w:szCs w:val="20"/>
        </w:rPr>
      </w:pPr>
      <w:r>
        <w:rPr>
          <w:sz w:val="20"/>
          <w:szCs w:val="20"/>
        </w:rPr>
        <w:t xml:space="preserve">We will need the models for these metrics, alas. But we can pickle them once trained, because that’s the expensive part. </w:t>
      </w:r>
    </w:p>
    <w:p w14:paraId="4CF84D83" w14:textId="6FE1A12D" w:rsidR="004A77FF" w:rsidRPr="00696541" w:rsidRDefault="004A77FF" w:rsidP="00CE56C1">
      <w:pPr>
        <w:jc w:val="both"/>
        <w:rPr>
          <w:sz w:val="20"/>
          <w:szCs w:val="20"/>
        </w:rPr>
      </w:pPr>
      <w:r>
        <w:rPr>
          <w:sz w:val="20"/>
          <w:szCs w:val="20"/>
        </w:rPr>
        <w:t xml:space="preserve">MAE is more robust to outliers. </w:t>
      </w:r>
    </w:p>
    <w:p w14:paraId="5DD997E4" w14:textId="659AD57A" w:rsidR="00B56AF6" w:rsidRDefault="00696541" w:rsidP="00CE56C1">
      <w:pPr>
        <w:jc w:val="both"/>
        <w:rPr>
          <w:sz w:val="20"/>
          <w:szCs w:val="20"/>
        </w:rPr>
      </w:pPr>
      <w:r>
        <w:rPr>
          <w:sz w:val="20"/>
          <w:szCs w:val="20"/>
        </w:rPr>
        <w:t xml:space="preserve">RMSE is more sensitive to outliers. </w:t>
      </w:r>
    </w:p>
    <w:p w14:paraId="75E2D53C" w14:textId="77777777" w:rsidR="00B56AF6" w:rsidRPr="00B56AF6" w:rsidRDefault="00B56AF6" w:rsidP="00CE56C1">
      <w:pPr>
        <w:jc w:val="both"/>
        <w:rPr>
          <w:sz w:val="20"/>
          <w:szCs w:val="20"/>
        </w:rPr>
      </w:pPr>
    </w:p>
    <w:p w14:paraId="2A4DC508" w14:textId="044DE87C" w:rsidR="00E936C6" w:rsidRPr="00B56AF6" w:rsidRDefault="00B56AF6" w:rsidP="00CE56C1">
      <w:pPr>
        <w:jc w:val="both"/>
        <w:rPr>
          <w:b/>
          <w:bCs/>
          <w:sz w:val="28"/>
          <w:szCs w:val="28"/>
        </w:rPr>
      </w:pPr>
      <w:r>
        <w:rPr>
          <w:b/>
          <w:bCs/>
          <w:sz w:val="28"/>
          <w:szCs w:val="28"/>
        </w:rPr>
        <w:t>Classification</w:t>
      </w:r>
    </w:p>
    <w:p w14:paraId="048C8B64" w14:textId="3076C39C" w:rsidR="00A932BE" w:rsidRDefault="00A932BE" w:rsidP="00CE56C1">
      <w:pPr>
        <w:jc w:val="both"/>
        <w:rPr>
          <w:sz w:val="20"/>
          <w:szCs w:val="20"/>
        </w:rPr>
      </w:pPr>
      <w:r>
        <w:rPr>
          <w:sz w:val="20"/>
          <w:szCs w:val="20"/>
        </w:rPr>
        <w:t>Initial results</w:t>
      </w:r>
      <w:r w:rsidR="00DB77C1">
        <w:rPr>
          <w:sz w:val="20"/>
          <w:szCs w:val="20"/>
        </w:rPr>
        <w:t xml:space="preserve"> (using only two days’ worth of data)</w:t>
      </w:r>
      <w:r>
        <w:rPr>
          <w:sz w:val="20"/>
          <w:szCs w:val="20"/>
        </w:rPr>
        <w:t xml:space="preserve"> were very promising: better than 90% accuracy </w:t>
      </w:r>
      <w:r w:rsidR="00B56AF6">
        <w:rPr>
          <w:sz w:val="20"/>
          <w:szCs w:val="20"/>
        </w:rPr>
        <w:t>using</w:t>
      </w:r>
      <w:r>
        <w:rPr>
          <w:sz w:val="20"/>
          <w:szCs w:val="20"/>
        </w:rPr>
        <w:t xml:space="preserve"> out-of-the-box </w:t>
      </w:r>
      <w:proofErr w:type="spellStart"/>
      <w:r>
        <w:rPr>
          <w:sz w:val="20"/>
          <w:szCs w:val="20"/>
        </w:rPr>
        <w:t>sklearn</w:t>
      </w:r>
      <w:proofErr w:type="spellEnd"/>
      <w:r>
        <w:rPr>
          <w:sz w:val="20"/>
          <w:szCs w:val="20"/>
        </w:rPr>
        <w:t xml:space="preserve"> </w:t>
      </w:r>
      <w:r w:rsidR="00B56AF6">
        <w:rPr>
          <w:sz w:val="20"/>
          <w:szCs w:val="20"/>
        </w:rPr>
        <w:t>classification</w:t>
      </w:r>
      <w:r>
        <w:rPr>
          <w:sz w:val="20"/>
          <w:szCs w:val="20"/>
        </w:rPr>
        <w:t xml:space="preserve"> models. This is misleading, however. Approximately 7% of trains are delayed. The models have simply learned to predict ‘not delayed’</w:t>
      </w:r>
      <w:r w:rsidR="00B56AF6">
        <w:rPr>
          <w:sz w:val="20"/>
          <w:szCs w:val="20"/>
        </w:rPr>
        <w:t xml:space="preserve">. Accuracy is a misleading metric for imbalanced datasets; instead, recall, precision and </w:t>
      </w:r>
      <m:oMath>
        <m:r>
          <w:rPr>
            <w:rFonts w:ascii="Cambria Math" w:hAnsi="Cambria Math"/>
            <w:sz w:val="20"/>
            <w:szCs w:val="20"/>
          </w:rPr>
          <m:t>F</m:t>
        </m:r>
      </m:oMath>
      <w:r w:rsidR="00B56AF6">
        <w:rPr>
          <w:rFonts w:eastAsiaTheme="minorEastAsia"/>
          <w:sz w:val="20"/>
          <w:szCs w:val="20"/>
        </w:rPr>
        <w:t>-measure should be used.</w:t>
      </w:r>
      <w:bookmarkStart w:id="3" w:name="_GoBack"/>
      <w:bookmarkEnd w:id="3"/>
    </w:p>
    <w:p w14:paraId="00916F16" w14:textId="77777777" w:rsidR="00B56AF6" w:rsidRDefault="00B56AF6" w:rsidP="00CE56C1">
      <w:pPr>
        <w:jc w:val="both"/>
        <w:rPr>
          <w:sz w:val="20"/>
          <w:szCs w:val="20"/>
        </w:rPr>
      </w:pPr>
    </w:p>
    <w:p w14:paraId="6FD4EF52" w14:textId="77777777" w:rsidR="00B56AF6" w:rsidRDefault="00B56AF6" w:rsidP="00CE56C1">
      <w:pPr>
        <w:jc w:val="both"/>
        <w:rPr>
          <w:sz w:val="20"/>
          <w:szCs w:val="20"/>
        </w:rPr>
      </w:pPr>
    </w:p>
    <w:p w14:paraId="03A51E72" w14:textId="77777777" w:rsidR="00B56AF6" w:rsidRDefault="00B56AF6" w:rsidP="00CE56C1">
      <w:pPr>
        <w:jc w:val="both"/>
        <w:rPr>
          <w:sz w:val="20"/>
          <w:szCs w:val="20"/>
        </w:rPr>
      </w:pPr>
    </w:p>
    <w:p w14:paraId="080AC087" w14:textId="70F5449C" w:rsidR="00B56AF6" w:rsidRDefault="00B56AF6" w:rsidP="00CE56C1">
      <w:pPr>
        <w:jc w:val="both"/>
        <w:rPr>
          <w:sz w:val="20"/>
          <w:szCs w:val="20"/>
        </w:rPr>
      </w:pPr>
    </w:p>
    <w:p w14:paraId="0C561255" w14:textId="5D09EB84" w:rsidR="00696541" w:rsidRDefault="00696541" w:rsidP="00CE56C1">
      <w:pPr>
        <w:jc w:val="both"/>
        <w:rPr>
          <w:sz w:val="20"/>
          <w:szCs w:val="20"/>
        </w:rPr>
      </w:pPr>
    </w:p>
    <w:p w14:paraId="609D2056" w14:textId="06EE66FA" w:rsidR="00696541" w:rsidRDefault="00696541" w:rsidP="00CE56C1">
      <w:pPr>
        <w:jc w:val="both"/>
        <w:rPr>
          <w:sz w:val="20"/>
          <w:szCs w:val="20"/>
        </w:rPr>
      </w:pPr>
    </w:p>
    <w:p w14:paraId="02F12F3C" w14:textId="79ADBCED" w:rsidR="00696541" w:rsidRDefault="00696541" w:rsidP="00CE56C1">
      <w:pPr>
        <w:jc w:val="both"/>
        <w:rPr>
          <w:sz w:val="20"/>
          <w:szCs w:val="20"/>
        </w:rPr>
      </w:pPr>
    </w:p>
    <w:p w14:paraId="1935CFC8" w14:textId="4070E3A1" w:rsidR="00696541" w:rsidRDefault="00696541" w:rsidP="00CE56C1">
      <w:pPr>
        <w:jc w:val="both"/>
        <w:rPr>
          <w:sz w:val="20"/>
          <w:szCs w:val="20"/>
        </w:rPr>
      </w:pPr>
    </w:p>
    <w:p w14:paraId="45D96544" w14:textId="400EAA02" w:rsidR="00696541" w:rsidRDefault="00696541" w:rsidP="00CE56C1">
      <w:pPr>
        <w:jc w:val="both"/>
        <w:rPr>
          <w:sz w:val="20"/>
          <w:szCs w:val="20"/>
        </w:rPr>
      </w:pPr>
    </w:p>
    <w:p w14:paraId="0D9CF36F" w14:textId="5933A198" w:rsidR="00696541" w:rsidRDefault="00696541" w:rsidP="00CE56C1">
      <w:pPr>
        <w:jc w:val="both"/>
        <w:rPr>
          <w:sz w:val="20"/>
          <w:szCs w:val="20"/>
        </w:rPr>
      </w:pPr>
    </w:p>
    <w:p w14:paraId="2CCB2DDE" w14:textId="09AB7BD6" w:rsidR="00696541" w:rsidRDefault="00696541" w:rsidP="00CE56C1">
      <w:pPr>
        <w:jc w:val="both"/>
        <w:rPr>
          <w:sz w:val="20"/>
          <w:szCs w:val="20"/>
        </w:rPr>
      </w:pPr>
    </w:p>
    <w:p w14:paraId="12BA8096" w14:textId="17E3A4AE" w:rsidR="00696541" w:rsidRDefault="00696541" w:rsidP="00CE56C1">
      <w:pPr>
        <w:jc w:val="both"/>
        <w:rPr>
          <w:sz w:val="20"/>
          <w:szCs w:val="20"/>
        </w:rPr>
      </w:pPr>
    </w:p>
    <w:p w14:paraId="133164CE" w14:textId="68F4F226" w:rsidR="00696541" w:rsidRDefault="00696541" w:rsidP="00CE56C1">
      <w:pPr>
        <w:jc w:val="both"/>
        <w:rPr>
          <w:sz w:val="20"/>
          <w:szCs w:val="20"/>
        </w:rPr>
      </w:pPr>
    </w:p>
    <w:p w14:paraId="17FA884E" w14:textId="014BCC6A" w:rsidR="00696541" w:rsidRDefault="00696541" w:rsidP="00CE56C1">
      <w:pPr>
        <w:jc w:val="both"/>
        <w:rPr>
          <w:sz w:val="20"/>
          <w:szCs w:val="20"/>
        </w:rPr>
      </w:pPr>
    </w:p>
    <w:p w14:paraId="53EDBB33" w14:textId="62337250" w:rsidR="00696541" w:rsidRDefault="00696541" w:rsidP="00CE56C1">
      <w:pPr>
        <w:jc w:val="both"/>
        <w:rPr>
          <w:sz w:val="20"/>
          <w:szCs w:val="20"/>
        </w:rPr>
      </w:pPr>
    </w:p>
    <w:p w14:paraId="6AB543BF" w14:textId="46F4EAAD" w:rsidR="00696541" w:rsidRDefault="00696541" w:rsidP="00CE56C1">
      <w:pPr>
        <w:jc w:val="both"/>
        <w:rPr>
          <w:sz w:val="20"/>
          <w:szCs w:val="20"/>
        </w:rPr>
      </w:pPr>
    </w:p>
    <w:p w14:paraId="3CDBC517" w14:textId="77777777" w:rsidR="00696541" w:rsidRDefault="00696541" w:rsidP="00CE56C1">
      <w:pPr>
        <w:jc w:val="both"/>
        <w:rPr>
          <w:sz w:val="20"/>
          <w:szCs w:val="20"/>
        </w:rPr>
      </w:pPr>
    </w:p>
    <w:p w14:paraId="59F2321B" w14:textId="77777777" w:rsidR="00B56AF6" w:rsidRDefault="00B56AF6" w:rsidP="00CE56C1">
      <w:pPr>
        <w:jc w:val="both"/>
        <w:rPr>
          <w:sz w:val="20"/>
          <w:szCs w:val="20"/>
        </w:rPr>
      </w:pPr>
    </w:p>
    <w:p w14:paraId="1ECC39BF" w14:textId="1F88B0C5" w:rsidR="00A932BE" w:rsidRDefault="00A932BE" w:rsidP="00CE56C1">
      <w:pPr>
        <w:jc w:val="both"/>
        <w:rPr>
          <w:sz w:val="20"/>
          <w:szCs w:val="20"/>
        </w:rPr>
      </w:pPr>
      <w:r>
        <w:rPr>
          <w:sz w:val="20"/>
          <w:szCs w:val="20"/>
        </w:rPr>
        <w:t xml:space="preserve">That said, decision trees often perform well on unbalanced datasets, and did so here. </w:t>
      </w:r>
    </w:p>
    <w:p w14:paraId="3D39EFD7" w14:textId="77777777" w:rsidR="00C75FCE" w:rsidRDefault="00C75FCE" w:rsidP="00C75FCE">
      <w:pPr>
        <w:jc w:val="both"/>
        <w:rPr>
          <w:sz w:val="20"/>
          <w:szCs w:val="20"/>
        </w:rPr>
      </w:pPr>
      <w:r>
        <w:rPr>
          <w:sz w:val="20"/>
          <w:szCs w:val="20"/>
        </w:rPr>
        <w:t>For nominal: one-hot, hashing, leave-one-out, target. Avoid one-hot for high cardinality columns and decision-tree based algorithms.</w:t>
      </w:r>
    </w:p>
    <w:p w14:paraId="72B2E64A" w14:textId="77777777" w:rsidR="00C75FCE" w:rsidRDefault="00C75FCE" w:rsidP="00C75FCE">
      <w:pPr>
        <w:jc w:val="both"/>
        <w:rPr>
          <w:sz w:val="20"/>
          <w:szCs w:val="20"/>
        </w:rPr>
      </w:pPr>
      <w:r>
        <w:rPr>
          <w:sz w:val="20"/>
          <w:szCs w:val="20"/>
        </w:rPr>
        <w:t>For ordinal: binary, one-hot, leave-one-out, target</w:t>
      </w:r>
    </w:p>
    <w:p w14:paraId="5439A742" w14:textId="77777777" w:rsidR="00C75FCE" w:rsidRDefault="00C75FCE" w:rsidP="00C75FCE">
      <w:pPr>
        <w:jc w:val="both"/>
        <w:rPr>
          <w:sz w:val="20"/>
          <w:szCs w:val="20"/>
        </w:rPr>
      </w:pPr>
    </w:p>
    <w:p w14:paraId="42D26AEA" w14:textId="77777777" w:rsidR="00C75FCE" w:rsidRDefault="00C75FCE" w:rsidP="00C75FCE">
      <w:pPr>
        <w:jc w:val="both"/>
        <w:rPr>
          <w:sz w:val="20"/>
          <w:szCs w:val="20"/>
        </w:rPr>
      </w:pPr>
      <w:r>
        <w:rPr>
          <w:sz w:val="20"/>
          <w:szCs w:val="20"/>
        </w:rPr>
        <w:t xml:space="preserve">Nominal: no order. </w:t>
      </w:r>
    </w:p>
    <w:p w14:paraId="1D5C67FB" w14:textId="77777777" w:rsidR="00C75FCE" w:rsidRDefault="00C75FCE" w:rsidP="00C75FCE">
      <w:pPr>
        <w:jc w:val="both"/>
        <w:rPr>
          <w:sz w:val="20"/>
          <w:szCs w:val="20"/>
        </w:rPr>
      </w:pPr>
      <w:r>
        <w:rPr>
          <w:sz w:val="20"/>
          <w:szCs w:val="20"/>
        </w:rPr>
        <w:t>Ordinal: order.</w:t>
      </w:r>
    </w:p>
    <w:p w14:paraId="7D0DBAE8" w14:textId="77777777" w:rsidR="00C75FCE" w:rsidRDefault="00C75FCE" w:rsidP="00C75FCE">
      <w:pPr>
        <w:jc w:val="both"/>
        <w:rPr>
          <w:sz w:val="20"/>
          <w:szCs w:val="20"/>
        </w:rPr>
      </w:pPr>
      <w:r>
        <w:rPr>
          <w:sz w:val="20"/>
          <w:szCs w:val="20"/>
        </w:rPr>
        <w:t xml:space="preserve">Use target / leave-one-out. Preferentially the later. Avoids contamination. Useful for nominal and ordinal data. Classification. </w:t>
      </w:r>
    </w:p>
    <w:p w14:paraId="67B104CB" w14:textId="521671B0" w:rsidR="00B56AF6" w:rsidRDefault="00B56AF6" w:rsidP="00CE56C1">
      <w:pPr>
        <w:jc w:val="both"/>
        <w:rPr>
          <w:b/>
          <w:bCs/>
          <w:sz w:val="24"/>
          <w:szCs w:val="24"/>
        </w:rPr>
      </w:pPr>
      <w:r>
        <w:rPr>
          <w:b/>
          <w:bCs/>
          <w:sz w:val="24"/>
          <w:szCs w:val="24"/>
        </w:rPr>
        <w:t>Decision trees</w:t>
      </w:r>
    </w:p>
    <w:p w14:paraId="4214492D" w14:textId="0190EDF3" w:rsidR="00B56AF6" w:rsidRDefault="00B56AF6" w:rsidP="00CE56C1">
      <w:pPr>
        <w:jc w:val="both"/>
        <w:rPr>
          <w:sz w:val="20"/>
          <w:szCs w:val="20"/>
        </w:rPr>
      </w:pPr>
      <w:r>
        <w:rPr>
          <w:sz w:val="20"/>
          <w:szCs w:val="20"/>
        </w:rPr>
        <w:t xml:space="preserve">Decision trees reputedly suffer from one-hot encodings. </w:t>
      </w:r>
    </w:p>
    <w:p w14:paraId="30053D93" w14:textId="7577F370" w:rsidR="00040741" w:rsidRDefault="00040741" w:rsidP="00CE56C1">
      <w:pPr>
        <w:jc w:val="both"/>
        <w:rPr>
          <w:sz w:val="20"/>
          <w:szCs w:val="20"/>
        </w:rPr>
      </w:pPr>
      <w:r>
        <w:rPr>
          <w:sz w:val="20"/>
          <w:szCs w:val="20"/>
        </w:rPr>
        <w:t xml:space="preserve">Characteristic and catering have to be one-hot encoded; it is their natural representation. </w:t>
      </w:r>
    </w:p>
    <w:p w14:paraId="3ED54819" w14:textId="173BB875" w:rsidR="004A77FF" w:rsidRDefault="004A77FF" w:rsidP="00CE56C1">
      <w:pPr>
        <w:jc w:val="both"/>
        <w:rPr>
          <w:sz w:val="20"/>
          <w:szCs w:val="20"/>
        </w:rPr>
      </w:pPr>
    </w:p>
    <w:p w14:paraId="69201E05" w14:textId="102C8487" w:rsidR="004A77FF" w:rsidRDefault="004A77FF" w:rsidP="00CE56C1">
      <w:pPr>
        <w:jc w:val="both"/>
        <w:rPr>
          <w:sz w:val="20"/>
          <w:szCs w:val="20"/>
        </w:rPr>
      </w:pPr>
    </w:p>
    <w:p w14:paraId="16E4F94D" w14:textId="693CB2AC" w:rsidR="004A77FF" w:rsidRDefault="004A77FF" w:rsidP="00CE56C1">
      <w:pPr>
        <w:jc w:val="both"/>
        <w:rPr>
          <w:sz w:val="20"/>
          <w:szCs w:val="20"/>
        </w:rPr>
      </w:pPr>
    </w:p>
    <w:p w14:paraId="589F570F" w14:textId="73DBCDD6" w:rsidR="004A77FF" w:rsidRDefault="004A77FF" w:rsidP="00CE56C1">
      <w:pPr>
        <w:jc w:val="both"/>
        <w:rPr>
          <w:sz w:val="20"/>
          <w:szCs w:val="20"/>
        </w:rPr>
      </w:pPr>
    </w:p>
    <w:p w14:paraId="52748074" w14:textId="5A70C9C4" w:rsidR="004A77FF" w:rsidRDefault="004A77FF" w:rsidP="00CE56C1">
      <w:pPr>
        <w:jc w:val="both"/>
        <w:rPr>
          <w:sz w:val="20"/>
          <w:szCs w:val="20"/>
        </w:rPr>
      </w:pPr>
    </w:p>
    <w:p w14:paraId="33F9460F" w14:textId="7D018FD4" w:rsidR="004A77FF" w:rsidRDefault="004A77FF" w:rsidP="00CE56C1">
      <w:pPr>
        <w:jc w:val="both"/>
        <w:rPr>
          <w:sz w:val="20"/>
          <w:szCs w:val="20"/>
        </w:rPr>
      </w:pPr>
    </w:p>
    <w:p w14:paraId="3FF7A4D0" w14:textId="1A7A8F83" w:rsidR="004A77FF" w:rsidRDefault="004A77FF" w:rsidP="00CE56C1">
      <w:pPr>
        <w:jc w:val="both"/>
        <w:rPr>
          <w:sz w:val="20"/>
          <w:szCs w:val="20"/>
        </w:rPr>
      </w:pPr>
    </w:p>
    <w:p w14:paraId="6AE06729" w14:textId="3DE2702E" w:rsidR="004A77FF" w:rsidRDefault="004A77FF" w:rsidP="00CE56C1">
      <w:pPr>
        <w:jc w:val="both"/>
        <w:rPr>
          <w:sz w:val="20"/>
          <w:szCs w:val="20"/>
        </w:rPr>
      </w:pPr>
    </w:p>
    <w:p w14:paraId="32F657EC" w14:textId="2F97CFF4" w:rsidR="004A77FF" w:rsidRDefault="004A77FF" w:rsidP="00CE56C1">
      <w:pPr>
        <w:jc w:val="both"/>
        <w:rPr>
          <w:sz w:val="20"/>
          <w:szCs w:val="20"/>
        </w:rPr>
      </w:pPr>
    </w:p>
    <w:p w14:paraId="6E118799" w14:textId="318BEF1F" w:rsidR="004A77FF" w:rsidRDefault="004A77FF" w:rsidP="00CE56C1">
      <w:pPr>
        <w:jc w:val="both"/>
        <w:rPr>
          <w:sz w:val="20"/>
          <w:szCs w:val="20"/>
        </w:rPr>
      </w:pPr>
    </w:p>
    <w:p w14:paraId="60613986" w14:textId="0CE8AB8A" w:rsidR="004A77FF" w:rsidRDefault="004A77FF" w:rsidP="00CE56C1">
      <w:pPr>
        <w:jc w:val="both"/>
        <w:rPr>
          <w:sz w:val="20"/>
          <w:szCs w:val="20"/>
        </w:rPr>
      </w:pPr>
    </w:p>
    <w:p w14:paraId="55098926" w14:textId="69DF6399" w:rsidR="004A77FF" w:rsidRDefault="004A77FF" w:rsidP="00CE56C1">
      <w:pPr>
        <w:jc w:val="both"/>
        <w:rPr>
          <w:sz w:val="20"/>
          <w:szCs w:val="20"/>
        </w:rPr>
      </w:pPr>
    </w:p>
    <w:p w14:paraId="39FCDAE5" w14:textId="346655C3" w:rsidR="004A77FF" w:rsidRDefault="004A77FF" w:rsidP="00CE56C1">
      <w:pPr>
        <w:jc w:val="both"/>
        <w:rPr>
          <w:sz w:val="20"/>
          <w:szCs w:val="20"/>
        </w:rPr>
      </w:pPr>
    </w:p>
    <w:p w14:paraId="54F4FA1F" w14:textId="552C60C3" w:rsidR="004A77FF" w:rsidRDefault="004A77FF" w:rsidP="00CE56C1">
      <w:pPr>
        <w:jc w:val="both"/>
        <w:rPr>
          <w:sz w:val="20"/>
          <w:szCs w:val="20"/>
        </w:rPr>
      </w:pPr>
    </w:p>
    <w:p w14:paraId="2288E917" w14:textId="7962DF6F" w:rsidR="004A77FF" w:rsidRDefault="004A77FF" w:rsidP="00CE56C1">
      <w:pPr>
        <w:jc w:val="both"/>
        <w:rPr>
          <w:sz w:val="20"/>
          <w:szCs w:val="20"/>
        </w:rPr>
      </w:pPr>
    </w:p>
    <w:p w14:paraId="61229B7C" w14:textId="07B3CF20" w:rsidR="004A77FF" w:rsidRDefault="004A77FF" w:rsidP="00CE56C1">
      <w:pPr>
        <w:jc w:val="both"/>
        <w:rPr>
          <w:sz w:val="20"/>
          <w:szCs w:val="20"/>
        </w:rPr>
      </w:pPr>
    </w:p>
    <w:p w14:paraId="181DA165" w14:textId="43C55DF5" w:rsidR="004A77FF" w:rsidRDefault="004A77FF" w:rsidP="00CE56C1">
      <w:pPr>
        <w:jc w:val="both"/>
        <w:rPr>
          <w:sz w:val="20"/>
          <w:szCs w:val="20"/>
        </w:rPr>
      </w:pPr>
    </w:p>
    <w:p w14:paraId="05B257AD" w14:textId="25DA28E5" w:rsidR="004A77FF" w:rsidRDefault="004A77FF" w:rsidP="00CE56C1">
      <w:pPr>
        <w:jc w:val="both"/>
        <w:rPr>
          <w:sz w:val="20"/>
          <w:szCs w:val="20"/>
        </w:rPr>
      </w:pPr>
    </w:p>
    <w:p w14:paraId="3D5F90A4" w14:textId="3BC78125" w:rsidR="004A77FF" w:rsidRPr="004A77FF" w:rsidRDefault="004A77FF" w:rsidP="00CE56C1">
      <w:pPr>
        <w:jc w:val="both"/>
        <w:rPr>
          <w:b/>
          <w:bCs/>
          <w:sz w:val="24"/>
          <w:szCs w:val="24"/>
        </w:rPr>
      </w:pPr>
      <w:r w:rsidRPr="004A77FF">
        <w:rPr>
          <w:b/>
          <w:bCs/>
          <w:sz w:val="24"/>
          <w:szCs w:val="24"/>
        </w:rPr>
        <w:t>Sources</w:t>
      </w:r>
    </w:p>
    <w:p w14:paraId="6FB23192" w14:textId="3D6F9672" w:rsidR="004A77FF" w:rsidRDefault="00740298" w:rsidP="004A77FF">
      <w:pPr>
        <w:pStyle w:val="ListParagraph"/>
        <w:numPr>
          <w:ilvl w:val="0"/>
          <w:numId w:val="1"/>
        </w:numPr>
        <w:jc w:val="both"/>
        <w:rPr>
          <w:sz w:val="20"/>
          <w:szCs w:val="20"/>
        </w:rPr>
      </w:pPr>
      <w:hyperlink r:id="rId8" w:history="1">
        <w:r w:rsidR="00B62588" w:rsidRPr="00A70AAF">
          <w:rPr>
            <w:rStyle w:val="Hyperlink"/>
            <w:sz w:val="20"/>
            <w:szCs w:val="20"/>
          </w:rPr>
          <w:t>https://towardsdatascience.com/20-popular-machine-learning-metrics-part-1-classification-regression-evaluation-metrics-1ca3e282a2ce</w:t>
        </w:r>
      </w:hyperlink>
    </w:p>
    <w:p w14:paraId="6FF8B5BD" w14:textId="6FF8FAB4" w:rsidR="00B62588" w:rsidRPr="004A77FF" w:rsidRDefault="00B62588" w:rsidP="004A77FF">
      <w:pPr>
        <w:pStyle w:val="ListParagraph"/>
        <w:numPr>
          <w:ilvl w:val="0"/>
          <w:numId w:val="1"/>
        </w:numPr>
        <w:jc w:val="both"/>
        <w:rPr>
          <w:sz w:val="20"/>
          <w:szCs w:val="20"/>
        </w:rPr>
      </w:pPr>
      <w:r w:rsidRPr="00B62588">
        <w:rPr>
          <w:sz w:val="20"/>
          <w:szCs w:val="20"/>
        </w:rPr>
        <w:t>https://medium.com/@george.drakos62/how-to-select-the-right-evaluation-metric-for-machine-learning-models-part-1-regrression-metrics-3606e25beae0</w:t>
      </w:r>
    </w:p>
    <w:sectPr w:rsidR="00B62588" w:rsidRPr="004A7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19E72" w14:textId="77777777" w:rsidR="00740298" w:rsidRDefault="00740298" w:rsidP="00812EC7">
      <w:pPr>
        <w:spacing w:after="0" w:line="240" w:lineRule="auto"/>
      </w:pPr>
      <w:r>
        <w:separator/>
      </w:r>
    </w:p>
  </w:endnote>
  <w:endnote w:type="continuationSeparator" w:id="0">
    <w:p w14:paraId="2C0B1944" w14:textId="77777777" w:rsidR="00740298" w:rsidRDefault="00740298" w:rsidP="0081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09E09" w14:textId="77777777" w:rsidR="00740298" w:rsidRDefault="00740298" w:rsidP="00812EC7">
      <w:pPr>
        <w:spacing w:after="0" w:line="240" w:lineRule="auto"/>
      </w:pPr>
      <w:r>
        <w:separator/>
      </w:r>
    </w:p>
  </w:footnote>
  <w:footnote w:type="continuationSeparator" w:id="0">
    <w:p w14:paraId="1B82E8CF" w14:textId="77777777" w:rsidR="00740298" w:rsidRDefault="00740298" w:rsidP="00812EC7">
      <w:pPr>
        <w:spacing w:after="0" w:line="240" w:lineRule="auto"/>
      </w:pPr>
      <w:r>
        <w:continuationSeparator/>
      </w:r>
    </w:p>
  </w:footnote>
  <w:footnote w:id="1">
    <w:p w14:paraId="60D84643" w14:textId="2ECE144A" w:rsidR="00F04A8D" w:rsidRDefault="00F04A8D">
      <w:pPr>
        <w:pStyle w:val="FootnoteText"/>
      </w:pPr>
      <w:r>
        <w:rPr>
          <w:rStyle w:val="FootnoteReference"/>
        </w:rPr>
        <w:footnoteRef/>
      </w:r>
      <w:r>
        <w:t xml:space="preserve"> </w:t>
      </w:r>
      <w:r w:rsidRPr="00F04A8D">
        <w:t>https://ianlondon.github.io/blog/encoding-cyclical-features-24hour-time/</w:t>
      </w:r>
    </w:p>
  </w:footnote>
  <w:footnote w:id="2">
    <w:p w14:paraId="7D68F4F5" w14:textId="77777777" w:rsidR="00812EC7" w:rsidRDefault="00812EC7">
      <w:pPr>
        <w:pStyle w:val="FootnoteText"/>
      </w:pPr>
      <w:r>
        <w:rPr>
          <w:rStyle w:val="FootnoteReference"/>
        </w:rPr>
        <w:footnoteRef/>
      </w:r>
      <w:r>
        <w:t xml:space="preserve"> </w:t>
      </w:r>
      <w:r w:rsidRPr="00812EC7">
        <w:t>https://wiki.openraildata.com//index.php?title=STANOX_Areas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05EB1"/>
    <w:multiLevelType w:val="hybridMultilevel"/>
    <w:tmpl w:val="EA7A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040741"/>
    <w:rsid w:val="000410D1"/>
    <w:rsid w:val="0018486D"/>
    <w:rsid w:val="001F43ED"/>
    <w:rsid w:val="00223682"/>
    <w:rsid w:val="004A77FF"/>
    <w:rsid w:val="00614C0C"/>
    <w:rsid w:val="00696541"/>
    <w:rsid w:val="00740298"/>
    <w:rsid w:val="00812EC7"/>
    <w:rsid w:val="00986A17"/>
    <w:rsid w:val="009E547E"/>
    <w:rsid w:val="00A932BE"/>
    <w:rsid w:val="00B21072"/>
    <w:rsid w:val="00B56AF6"/>
    <w:rsid w:val="00B62588"/>
    <w:rsid w:val="00BB2B9D"/>
    <w:rsid w:val="00BD3BB1"/>
    <w:rsid w:val="00C75FCE"/>
    <w:rsid w:val="00CB4165"/>
    <w:rsid w:val="00CE56C1"/>
    <w:rsid w:val="00CF012A"/>
    <w:rsid w:val="00D53242"/>
    <w:rsid w:val="00D57E5C"/>
    <w:rsid w:val="00D67E07"/>
    <w:rsid w:val="00D96F31"/>
    <w:rsid w:val="00DB77C1"/>
    <w:rsid w:val="00E936C6"/>
    <w:rsid w:val="00E96DA9"/>
    <w:rsid w:val="00EF0AA8"/>
    <w:rsid w:val="00F04A8D"/>
    <w:rsid w:val="00F9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3604"/>
  <w15:chartTrackingRefBased/>
  <w15:docId w15:val="{57348603-F1AC-479E-9B63-AF6F285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EC7"/>
    <w:rPr>
      <w:sz w:val="20"/>
      <w:szCs w:val="20"/>
    </w:rPr>
  </w:style>
  <w:style w:type="character" w:styleId="FootnoteReference">
    <w:name w:val="footnote reference"/>
    <w:basedOn w:val="DefaultParagraphFont"/>
    <w:uiPriority w:val="99"/>
    <w:semiHidden/>
    <w:unhideWhenUsed/>
    <w:rsid w:val="00812EC7"/>
    <w:rPr>
      <w:vertAlign w:val="superscript"/>
    </w:rPr>
  </w:style>
  <w:style w:type="character" w:styleId="PlaceholderText">
    <w:name w:val="Placeholder Text"/>
    <w:basedOn w:val="DefaultParagraphFont"/>
    <w:uiPriority w:val="99"/>
    <w:semiHidden/>
    <w:rsid w:val="00CF012A"/>
    <w:rPr>
      <w:color w:val="808080"/>
    </w:rPr>
  </w:style>
  <w:style w:type="table" w:styleId="TableGrid">
    <w:name w:val="Table Grid"/>
    <w:basedOn w:val="TableNormal"/>
    <w:uiPriority w:val="39"/>
    <w:rsid w:val="0069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7FF"/>
    <w:pPr>
      <w:ind w:left="720"/>
      <w:contextualSpacing/>
    </w:pPr>
  </w:style>
  <w:style w:type="character" w:styleId="Hyperlink">
    <w:name w:val="Hyperlink"/>
    <w:basedOn w:val="DefaultParagraphFont"/>
    <w:uiPriority w:val="99"/>
    <w:unhideWhenUsed/>
    <w:rsid w:val="00B62588"/>
    <w:rPr>
      <w:color w:val="0563C1" w:themeColor="hyperlink"/>
      <w:u w:val="single"/>
    </w:rPr>
  </w:style>
  <w:style w:type="character" w:styleId="UnresolvedMention">
    <w:name w:val="Unresolved Mention"/>
    <w:basedOn w:val="DefaultParagraphFont"/>
    <w:uiPriority w:val="99"/>
    <w:semiHidden/>
    <w:unhideWhenUsed/>
    <w:rsid w:val="00B6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1596">
      <w:bodyDiv w:val="1"/>
      <w:marLeft w:val="0"/>
      <w:marRight w:val="0"/>
      <w:marTop w:val="0"/>
      <w:marBottom w:val="0"/>
      <w:divBdr>
        <w:top w:val="none" w:sz="0" w:space="0" w:color="auto"/>
        <w:left w:val="none" w:sz="0" w:space="0" w:color="auto"/>
        <w:bottom w:val="none" w:sz="0" w:space="0" w:color="auto"/>
        <w:right w:val="none" w:sz="0" w:space="0" w:color="auto"/>
      </w:divBdr>
    </w:div>
    <w:div w:id="45922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20-popular-machine-learning-metrics-part-1-classification-regression-evaluation-metrics-1ca3e282a2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81445-0049-405C-84A1-77924BC0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9</cp:revision>
  <dcterms:created xsi:type="dcterms:W3CDTF">2020-03-30T08:31:00Z</dcterms:created>
  <dcterms:modified xsi:type="dcterms:W3CDTF">2020-04-02T13:29:00Z</dcterms:modified>
</cp:coreProperties>
</file>