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Stakeholder Analysis &amp; Engagement Plan</w:t>
      </w:r>
    </w:p>
    <w:p>
      <w:pPr>
        <w:spacing w:after="320"/>
      </w:pPr>
      <w:r>
        <w:rPr>
          <w:i/>
          <w:color w:val="2B7789"/>
          <w:sz w:val="26"/>
        </w:rPr>
        <w:t>HealthFirst Care Initiative: Patient Experience &amp; Operational Efficiency Overhaul</w:t>
      </w:r>
    </w:p>
    <w:tbl>
      <w:tblPr>
        <w:tblW w:type="auto" w:w="0"/>
        <w:jc w:val="center"/>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pPr>
              <w:spacing w:after="40"/>
            </w:pPr>
            <w:r>
              <w:rPr>
                <w:b/>
                <w:color w:val="1A365D"/>
              </w:rPr>
              <w:t xml:space="preserve">Document Title: </w:t>
            </w:r>
            <w:r>
              <w:rPr>
                <w:color w:val="2D3748"/>
              </w:rPr>
              <w:t>Capstone_Project_M02L01_Stakeholder_Analysis.doc</w:t>
            </w:r>
          </w:p>
        </w:tc>
        <w:tc>
          <w:tcPr>
            <w:tcW w:type="dxa" w:w="4680"/>
            <w:shd w:fill="F7FAFC"/>
            <w:tcMar>
              <w:top w:w="80" w:type="dxa"/>
              <w:bottom w:w="80" w:type="dxa"/>
              <w:left w:w="120" w:type="dxa"/>
              <w:right w:w="120" w:type="dxa"/>
            </w:tcMar>
          </w:tcPr>
          <w:p>
            <w:pPr>
              <w:spacing w:after="40"/>
            </w:pPr>
            <w:r>
              <w:rPr>
                <w:b/>
                <w:color w:val="1A365D"/>
              </w:rPr>
              <w:t xml:space="preserve">Project Name: </w:t>
            </w:r>
            <w:r>
              <w:rPr>
                <w:color w:val="2D3748"/>
              </w:rPr>
              <w:t>HealthFirst Care Initiative</w:t>
            </w:r>
          </w:p>
        </w:tc>
      </w:tr>
      <w:tr>
        <w:tc>
          <w:tcPr>
            <w:tcW w:type="dxa" w:w="4680"/>
            <w:shd w:fill="F7FAFC"/>
            <w:tcMar>
              <w:top w:w="80" w:type="dxa"/>
              <w:bottom w:w="80" w:type="dxa"/>
              <w:left w:w="120" w:type="dxa"/>
              <w:right w:w="120" w:type="dxa"/>
            </w:tcMar>
          </w:tcPr>
          <w:p>
            <w:pPr>
              <w:spacing w:after="40"/>
            </w:pPr>
            <w:r>
              <w:rPr>
                <w:b/>
                <w:color w:val="1A365D"/>
              </w:rPr>
              <w:t xml:space="preserve">Author / Analyst: </w:t>
            </w:r>
            <w:r>
              <w:rPr>
                <w:color w:val="2D3748"/>
              </w:rPr>
              <w:t>Pritam Kar (Junior Data Analyst)</w:t>
            </w:r>
          </w:p>
        </w:tc>
        <w:tc>
          <w:tcPr>
            <w:tcW w:type="dxa" w:w="4680"/>
            <w:shd w:fill="F7FAFC"/>
            <w:tcMar>
              <w:top w:w="80" w:type="dxa"/>
              <w:bottom w:w="80" w:type="dxa"/>
              <w:left w:w="120" w:type="dxa"/>
              <w:right w:w="120" w:type="dxa"/>
            </w:tcMar>
          </w:tcPr>
          <w:p>
            <w:pPr>
              <w:spacing w:after="40"/>
            </w:pPr>
            <w:r>
              <w:rPr>
                <w:b/>
                <w:color w:val="1A365D"/>
              </w:rPr>
              <w:t xml:space="preserve">Date &amp; Version: </w:t>
            </w:r>
            <w:r>
              <w:rPr>
                <w:color w:val="2D3748"/>
              </w:rPr>
              <w:t>August 19, 2026 | Version 1.0 Final</w:t>
            </w:r>
          </w:p>
        </w:tc>
      </w:tr>
    </w:tbl>
    <w:p>
      <w:pPr>
        <w:spacing w:after="160"/>
      </w:pPr>
    </w:p>
    <w:p>
      <w:pPr>
        <w:keepNext/>
        <w:spacing w:before="320" w:after="120"/>
      </w:pPr>
      <w:r>
        <w:rPr>
          <w:rFonts w:ascii="Calibri" w:hAnsi="Calibri"/>
          <w:b/>
          <w:color w:val="1A365D"/>
          <w:sz w:val="32"/>
        </w:rPr>
        <w:t>Executive Summary &amp; BRD/RTM Alignment</w:t>
      </w:r>
    </w:p>
    <w:p>
      <w:pPr>
        <w:spacing w:after="160"/>
      </w:pPr>
      <w:r>
        <w:t>The HealthFirst Care Initiative targets critical operational bottlenecks identified during quantitative data analysis across 216 appointment logs, 217 patient feedback surveys, and 213 resource records. The baseline analysis revealed severe challenges, including an average patient wait time of 41.4 minutes, 32 double-booking incidents, and a 42.7% resource availability deficit. This Stakeholder Engagement Plan defines the structured communication framework required to keep all operational, technical, and clinical personnel aligned with the project's target goals outlined in the Business Requirements Document (BRD) and Requirements Traceability Matrix (RTM).</w:t>
      </w:r>
    </w:p>
    <w:p>
      <w:pPr>
        <w:spacing w:after="80"/>
      </w:pPr>
      <w:r>
        <w:rPr>
          <w:b/>
        </w:rPr>
        <w:t>Key BRD Target Acceptance Criteria Supported:</w:t>
      </w:r>
    </w:p>
    <w:p>
      <w:pPr>
        <w:pStyle w:val="ListBullet"/>
        <w:spacing w:after="60"/>
        <w:ind w:left="360"/>
      </w:pPr>
      <w:r>
        <w:rPr>
          <w:b/>
          <w:color w:val="1A365D"/>
        </w:rPr>
        <w:t xml:space="preserve">AC-01 (Wait Time Reduction): </w:t>
      </w:r>
      <w:r>
        <w:t>Reduce average patient wait time from 41.4 minutes by at least 20% (to ≤ 33.1 minutes).</w:t>
      </w:r>
    </w:p>
    <w:p>
      <w:pPr>
        <w:pStyle w:val="ListBullet"/>
        <w:spacing w:after="60"/>
        <w:ind w:left="360"/>
      </w:pPr>
      <w:r>
        <w:rPr>
          <w:b/>
          <w:color w:val="1A365D"/>
        </w:rPr>
        <w:t xml:space="preserve">AC-02 (Double-Booking Elimination): </w:t>
      </w:r>
      <w:r>
        <w:t>Achieve 0 double-booking incidents via 100% automated conflict prevention engine.</w:t>
      </w:r>
    </w:p>
    <w:p>
      <w:pPr>
        <w:pStyle w:val="ListBullet"/>
        <w:spacing w:after="60"/>
        <w:ind w:left="360"/>
      </w:pPr>
      <w:r>
        <w:rPr>
          <w:b/>
          <w:color w:val="1A365D"/>
        </w:rPr>
        <w:t xml:space="preserve">AC-03 (Patient Satisfaction): </w:t>
      </w:r>
      <w:r>
        <w:t>Boost average patient satisfaction score from 6.3 / 10 to ≥ 8.0 / 10.</w:t>
      </w:r>
    </w:p>
    <w:p>
      <w:pPr>
        <w:pStyle w:val="ListBullet"/>
        <w:spacing w:after="60"/>
        <w:ind w:left="360"/>
      </w:pPr>
      <w:r>
        <w:rPr>
          <w:b/>
          <w:color w:val="1A365D"/>
        </w:rPr>
        <w:t xml:space="preserve">AC-04 (Resource Availability): </w:t>
      </w:r>
      <w:r>
        <w:t>Achieve ≥ 70% available resource utilization rate during peak booking hours (17:00–18:30).</w:t>
      </w:r>
    </w:p>
    <w:p>
      <w:pPr>
        <w:keepNext/>
        <w:spacing w:before="320" w:after="120"/>
      </w:pPr>
      <w:r>
        <w:rPr>
          <w:rFonts w:ascii="Calibri" w:hAnsi="Calibri"/>
          <w:b/>
          <w:color w:val="1A365D"/>
          <w:sz w:val="32"/>
        </w:rPr>
        <w:t>Task 1: Stakeholder Identification &amp; Categorization</w:t>
      </w:r>
    </w:p>
    <w:p>
      <w:pPr>
        <w:spacing w:after="160"/>
      </w:pPr>
      <w:r>
        <w:t>Based on the Stakeholder Profile Document and BRD/RTM analyses, stakeholders across HealthFirst Care have been identified and categorized into five primary functional groups based on their roles, operational responsibilities, and key pain points:</w:t>
      </w:r>
    </w:p>
    <w:p>
      <w:pPr>
        <w:pStyle w:val="ListBullet"/>
        <w:spacing w:after="80"/>
        <w:ind w:left="360"/>
      </w:pPr>
      <w:r>
        <w:rPr>
          <w:b/>
          <w:color w:val="1A365D"/>
        </w:rPr>
        <w:t xml:space="preserve">Patients (e.g., Sarah Ayvazyan, Lak Ayer): </w:t>
      </w:r>
      <w:r>
        <w:t>End-users receiving medical care. Core challenges include excessive waiting times (41.4 min avg), lack of delay updates, high booking cancellation friction, and multi-generational UI accessibility needs (linked to FR-03, NFR-03).</w:t>
      </w:r>
    </w:p>
    <w:p>
      <w:pPr>
        <w:pStyle w:val="ListBullet"/>
        <w:spacing w:after="80"/>
        <w:ind w:left="360"/>
      </w:pPr>
      <w:r>
        <w:rPr>
          <w:b/>
          <w:color w:val="1A365D"/>
        </w:rPr>
        <w:t xml:space="preserve">Doctors &amp; Nurses (e.g., Dr. Aftab Khan, Dr. Robert Lee, Santa Murmu): </w:t>
      </w:r>
      <w:r>
        <w:t>Clinical healthcare providers. Core challenges include severe workload imbalances (averaging 7.86 usage hours/day in Orthopedics), appointment double-bookings, and room/equipment allocation conflicts (linked to FR-01, FR-02).</w:t>
      </w:r>
    </w:p>
    <w:p>
      <w:pPr>
        <w:pStyle w:val="ListBullet"/>
        <w:spacing w:after="80"/>
        <w:ind w:left="360"/>
      </w:pPr>
      <w:r>
        <w:rPr>
          <w:b/>
          <w:color w:val="1A365D"/>
        </w:rPr>
        <w:t xml:space="preserve">Administrative Staff (e.g., Maria Carter, Jessica Gomes): </w:t>
      </w:r>
      <w:r>
        <w:t>Operational schedulers and receptionists. Core challenges include manual data entry errors, managing 32 double-booking incidents, high patient complaint volume, and uncoordinated calendar workflows (linked to FR-01, FR-02).</w:t>
      </w:r>
    </w:p>
    <w:p>
      <w:pPr>
        <w:pStyle w:val="ListBullet"/>
        <w:spacing w:after="80"/>
        <w:ind w:left="360"/>
      </w:pPr>
      <w:r>
        <w:rPr>
          <w:b/>
          <w:color w:val="1A365D"/>
        </w:rPr>
        <w:t xml:space="preserve">IT &amp; Operations Teams (e.g., Rajesh Singh, Laura Simkow, Ivan Walker): </w:t>
      </w:r>
      <w:r>
        <w:t>Technical infrastructure and compliance personnel. Core challenges include departmental data silos, legacy database interoperability, cloud system scalability during peak times, and HIPAA data security compliance (linked to FR-04, NFR-01, NFR-02).</w:t>
      </w:r>
    </w:p>
    <w:p>
      <w:pPr>
        <w:pStyle w:val="ListBullet"/>
        <w:spacing w:after="80"/>
        <w:ind w:left="360"/>
      </w:pPr>
      <w:r>
        <w:rPr>
          <w:b/>
          <w:color w:val="1A365D"/>
        </w:rPr>
        <w:t xml:space="preserve">Hospital Leadership &amp; Support Staff: </w:t>
      </w:r>
      <w:r>
        <w:t>Executive management and facilities maintenance personnel. Core challenges include overall resource utilization optimization, financial capital budget management, facility readiness tracking, and hospital-wide satisfaction ratings.</w:t>
      </w:r>
    </w:p>
    <w:p>
      <w:pPr>
        <w:keepNext/>
        <w:spacing w:before="320" w:after="120"/>
      </w:pPr>
      <w:r>
        <w:rPr>
          <w:rFonts w:ascii="Calibri" w:hAnsi="Calibri"/>
          <w:b/>
          <w:color w:val="1A365D"/>
          <w:sz w:val="32"/>
        </w:rPr>
        <w:t>Task 2: Stakeholder Influence &amp; Interest Analysis</w:t>
      </w:r>
    </w:p>
    <w:p>
      <w:pPr>
        <w:spacing w:after="160"/>
      </w:pPr>
      <w:r>
        <w:t>Stakeholders were mapped using the Power/Interest Matrix framework to determine the appropriate management strategy for each group based on their organizational influence and level of project interest:</w:t>
      </w:r>
    </w:p>
    <w:p>
      <w:pPr>
        <w:pStyle w:val="ListBullet"/>
        <w:spacing w:after="60"/>
        <w:ind w:left="360"/>
      </w:pPr>
      <w:r>
        <w:rPr>
          <w:b/>
          <w:color w:val="2B7789"/>
        </w:rPr>
        <w:t xml:space="preserve">Key Players (High Influence, High Interest): </w:t>
      </w:r>
      <w:r>
        <w:t>Doctors, Nurses, Administrative Staff, and Hospital Leadership. Direct workflow adoption and daily operational buy-in are essential for project success.</w:t>
      </w:r>
    </w:p>
    <w:p>
      <w:pPr>
        <w:pStyle w:val="ListBullet"/>
        <w:spacing w:after="60"/>
        <w:ind w:left="360"/>
      </w:pPr>
      <w:r>
        <w:rPr>
          <w:b/>
          <w:color w:val="2B7789"/>
        </w:rPr>
        <w:t xml:space="preserve">Keep Satisfied (High Influence, Low Interest): </w:t>
      </w:r>
      <w:r>
        <w:t>IT &amp; Operations Teams. Possess strong technical influence over infrastructure, APIs, and security compliance, though less directly involved in patient care delivery.</w:t>
      </w:r>
    </w:p>
    <w:p>
      <w:pPr>
        <w:pStyle w:val="ListBullet"/>
        <w:spacing w:after="60"/>
        <w:ind w:left="360"/>
      </w:pPr>
      <w:r>
        <w:rPr>
          <w:b/>
          <w:color w:val="2B7789"/>
        </w:rPr>
        <w:t xml:space="preserve">Keep Informed (Low Influence, High Interest): </w:t>
      </w:r>
      <w:r>
        <w:t>Patients. Highly impacted by appointment scheduling and wait times, but hold limited direct influence over internal hospital software systems.</w:t>
      </w:r>
    </w:p>
    <w:p>
      <w:pPr>
        <w:pStyle w:val="ListBullet"/>
        <w:spacing w:after="60"/>
        <w:ind w:left="360"/>
      </w:pPr>
      <w:r>
        <w:rPr>
          <w:b/>
          <w:color w:val="2B7789"/>
        </w:rPr>
        <w:t xml:space="preserve">Monitor (Low Influence, Low Interest): </w:t>
      </w:r>
      <w:r>
        <w:t>Support &amp; Maintenance Staff. Indirectly affected by general facility availability with lower overall involvement in software workflows.</w:t>
      </w:r>
    </w:p>
    <w:p>
      <w:pPr>
        <w:keepNext/>
        <w:spacing w:before="240" w:after="80"/>
      </w:pPr>
      <w:r>
        <w:rPr>
          <w:rFonts w:ascii="Calibri" w:hAnsi="Calibri"/>
          <w:b/>
          <w:color w:val="2B7789"/>
          <w:sz w:val="26"/>
        </w:rPr>
        <w:t>Stakeholder Assessment &amp; Matrix Mapping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A365D"/>
            <w:tcMar>
              <w:top w:w="100" w:type="dxa"/>
              <w:bottom w:w="100" w:type="dxa"/>
              <w:left w:w="100" w:type="dxa"/>
              <w:right w:w="100" w:type="dxa"/>
            </w:tcMar>
          </w:tcPr>
          <w:p>
            <w:pPr>
              <w:spacing w:after="0"/>
              <w:jc w:val="center"/>
            </w:pPr>
            <w:r>
              <w:rPr>
                <w:b/>
                <w:color w:val="FFFFFF"/>
                <w:sz w:val="19"/>
              </w:rPr>
              <w:t>Stakeholder Group</w:t>
            </w:r>
          </w:p>
        </w:tc>
        <w:tc>
          <w:tcPr>
            <w:tcW w:type="dxa" w:w="1584"/>
            <w:shd w:fill="1A365D"/>
            <w:tcMar>
              <w:top w:w="100" w:type="dxa"/>
              <w:bottom w:w="100" w:type="dxa"/>
              <w:left w:w="100" w:type="dxa"/>
              <w:right w:w="100" w:type="dxa"/>
            </w:tcMar>
          </w:tcPr>
          <w:p>
            <w:pPr>
              <w:spacing w:after="0"/>
              <w:jc w:val="center"/>
            </w:pPr>
            <w:r>
              <w:rPr>
                <w:b/>
                <w:color w:val="FFFFFF"/>
                <w:sz w:val="19"/>
              </w:rPr>
              <w:t>Representative(s)</w:t>
            </w:r>
          </w:p>
        </w:tc>
        <w:tc>
          <w:tcPr>
            <w:tcW w:type="dxa" w:w="864"/>
            <w:shd w:fill="1A365D"/>
            <w:tcMar>
              <w:top w:w="100" w:type="dxa"/>
              <w:bottom w:w="100" w:type="dxa"/>
              <w:left w:w="100" w:type="dxa"/>
              <w:right w:w="100" w:type="dxa"/>
            </w:tcMar>
          </w:tcPr>
          <w:p>
            <w:pPr>
              <w:spacing w:after="0"/>
              <w:jc w:val="center"/>
            </w:pPr>
            <w:r>
              <w:rPr>
                <w:b/>
                <w:color w:val="FFFFFF"/>
                <w:sz w:val="19"/>
              </w:rPr>
              <w:t>Influence</w:t>
            </w:r>
          </w:p>
        </w:tc>
        <w:tc>
          <w:tcPr>
            <w:tcW w:type="dxa" w:w="864"/>
            <w:shd w:fill="1A365D"/>
            <w:tcMar>
              <w:top w:w="100" w:type="dxa"/>
              <w:bottom w:w="100" w:type="dxa"/>
              <w:left w:w="100" w:type="dxa"/>
              <w:right w:w="100" w:type="dxa"/>
            </w:tcMar>
          </w:tcPr>
          <w:p>
            <w:pPr>
              <w:spacing w:after="0"/>
              <w:jc w:val="center"/>
            </w:pPr>
            <w:r>
              <w:rPr>
                <w:b/>
                <w:color w:val="FFFFFF"/>
                <w:sz w:val="19"/>
              </w:rPr>
              <w:t>Interest</w:t>
            </w:r>
          </w:p>
        </w:tc>
        <w:tc>
          <w:tcPr>
            <w:tcW w:type="dxa" w:w="1728"/>
            <w:shd w:fill="1A365D"/>
            <w:tcMar>
              <w:top w:w="100" w:type="dxa"/>
              <w:bottom w:w="100" w:type="dxa"/>
              <w:left w:w="100" w:type="dxa"/>
              <w:right w:w="100" w:type="dxa"/>
            </w:tcMar>
          </w:tcPr>
          <w:p>
            <w:pPr>
              <w:spacing w:after="0"/>
              <w:jc w:val="center"/>
            </w:pPr>
            <w:r>
              <w:rPr>
                <w:b/>
                <w:color w:val="FFFFFF"/>
                <w:sz w:val="19"/>
              </w:rPr>
              <w:t>Power Matrix Category</w:t>
            </w:r>
          </w:p>
        </w:tc>
        <w:tc>
          <w:tcPr>
            <w:tcW w:type="dxa" w:w="2592"/>
            <w:shd w:fill="1A365D"/>
            <w:tcMar>
              <w:top w:w="100" w:type="dxa"/>
              <w:bottom w:w="100" w:type="dxa"/>
              <w:left w:w="100" w:type="dxa"/>
              <w:right w:w="100" w:type="dxa"/>
            </w:tcMar>
          </w:tcPr>
          <w:p>
            <w:pPr>
              <w:spacing w:after="0"/>
              <w:jc w:val="center"/>
            </w:pPr>
            <w:r>
              <w:rPr>
                <w:b/>
                <w:color w:val="FFFFFF"/>
                <w:sz w:val="19"/>
              </w:rPr>
              <w:t>Linked System Requirement(s)</w:t>
            </w:r>
          </w:p>
        </w:tc>
      </w:tr>
      <w:tr>
        <w:tc>
          <w:tcPr>
            <w:tcW w:type="dxa" w:w="1728"/>
            <w:shd w:fill="FFFFFF"/>
            <w:tcMar>
              <w:top w:w="80" w:type="dxa"/>
              <w:bottom w:w="80" w:type="dxa"/>
              <w:left w:w="80" w:type="dxa"/>
              <w:right w:w="80" w:type="dxa"/>
            </w:tcMar>
          </w:tcPr>
          <w:p>
            <w:pPr>
              <w:spacing w:after="0"/>
            </w:pPr>
            <w:r>
              <w:rPr>
                <w:sz w:val="18"/>
              </w:rPr>
              <w:t>Doctors &amp; Nurses</w:t>
            </w:r>
          </w:p>
        </w:tc>
        <w:tc>
          <w:tcPr>
            <w:tcW w:type="dxa" w:w="1584"/>
            <w:shd w:fill="FFFFFF"/>
            <w:tcMar>
              <w:top w:w="80" w:type="dxa"/>
              <w:bottom w:w="80" w:type="dxa"/>
              <w:left w:w="80" w:type="dxa"/>
              <w:right w:w="80" w:type="dxa"/>
            </w:tcMar>
          </w:tcPr>
          <w:p>
            <w:pPr>
              <w:spacing w:after="0"/>
            </w:pPr>
            <w:r>
              <w:rPr>
                <w:sz w:val="18"/>
              </w:rPr>
              <w:t>Dr. Aftab Khan, Dr. Robert Lee, Santa Murmu</w:t>
            </w:r>
          </w:p>
        </w:tc>
        <w:tc>
          <w:tcPr>
            <w:tcW w:type="dxa" w:w="864"/>
            <w:shd w:fill="FFFFFF"/>
            <w:tcMar>
              <w:top w:w="80" w:type="dxa"/>
              <w:bottom w:w="80" w:type="dxa"/>
              <w:left w:w="80" w:type="dxa"/>
              <w:right w:w="80" w:type="dxa"/>
            </w:tcMar>
          </w:tcPr>
          <w:p>
            <w:pPr>
              <w:spacing w:after="0"/>
              <w:jc w:val="center"/>
            </w:pPr>
            <w:r>
              <w:rPr>
                <w:sz w:val="18"/>
              </w:rPr>
              <w:t>High</w:t>
            </w:r>
          </w:p>
        </w:tc>
        <w:tc>
          <w:tcPr>
            <w:tcW w:type="dxa" w:w="864"/>
            <w:shd w:fill="FFFFFF"/>
            <w:tcMar>
              <w:top w:w="80" w:type="dxa"/>
              <w:bottom w:w="80" w:type="dxa"/>
              <w:left w:w="80" w:type="dxa"/>
              <w:right w:w="80" w:type="dxa"/>
            </w:tcMar>
          </w:tcPr>
          <w:p>
            <w:pPr>
              <w:spacing w:after="0"/>
              <w:jc w:val="center"/>
            </w:pPr>
            <w:r>
              <w:rPr>
                <w:sz w:val="18"/>
              </w:rPr>
              <w:t>High</w:t>
            </w:r>
          </w:p>
        </w:tc>
        <w:tc>
          <w:tcPr>
            <w:tcW w:type="dxa" w:w="1728"/>
            <w:shd w:fill="FFFFFF"/>
            <w:tcMar>
              <w:top w:w="80" w:type="dxa"/>
              <w:bottom w:w="80" w:type="dxa"/>
              <w:left w:w="80" w:type="dxa"/>
              <w:right w:w="80" w:type="dxa"/>
            </w:tcMar>
          </w:tcPr>
          <w:p>
            <w:pPr>
              <w:spacing w:after="0"/>
            </w:pPr>
            <w:r>
              <w:rPr>
                <w:sz w:val="18"/>
              </w:rPr>
              <w:t>Key Players</w:t>
            </w:r>
          </w:p>
        </w:tc>
        <w:tc>
          <w:tcPr>
            <w:tcW w:type="dxa" w:w="2592"/>
            <w:shd w:fill="FFFFFF"/>
            <w:tcMar>
              <w:top w:w="80" w:type="dxa"/>
              <w:bottom w:w="80" w:type="dxa"/>
              <w:left w:w="80" w:type="dxa"/>
              <w:right w:w="80" w:type="dxa"/>
            </w:tcMar>
          </w:tcPr>
          <w:p>
            <w:pPr>
              <w:spacing w:after="0"/>
            </w:pPr>
            <w:r>
              <w:rPr>
                <w:sz w:val="18"/>
              </w:rPr>
              <w:t>FR-01 (Conflict Prevention), FR-02 (Live Resource Tracking)</w:t>
            </w:r>
          </w:p>
        </w:tc>
      </w:tr>
      <w:tr>
        <w:tc>
          <w:tcPr>
            <w:tcW w:type="dxa" w:w="1728"/>
            <w:shd w:fill="EDF2F7"/>
            <w:tcMar>
              <w:top w:w="80" w:type="dxa"/>
              <w:bottom w:w="80" w:type="dxa"/>
              <w:left w:w="80" w:type="dxa"/>
              <w:right w:w="80" w:type="dxa"/>
            </w:tcMar>
          </w:tcPr>
          <w:p>
            <w:pPr>
              <w:spacing w:after="0"/>
            </w:pPr>
            <w:r>
              <w:rPr>
                <w:sz w:val="18"/>
              </w:rPr>
              <w:t>Administrative Staff</w:t>
            </w:r>
          </w:p>
        </w:tc>
        <w:tc>
          <w:tcPr>
            <w:tcW w:type="dxa" w:w="1584"/>
            <w:shd w:fill="EDF2F7"/>
            <w:tcMar>
              <w:top w:w="80" w:type="dxa"/>
              <w:bottom w:w="80" w:type="dxa"/>
              <w:left w:w="80" w:type="dxa"/>
              <w:right w:w="80" w:type="dxa"/>
            </w:tcMar>
          </w:tcPr>
          <w:p>
            <w:pPr>
              <w:spacing w:after="0"/>
            </w:pPr>
            <w:r>
              <w:rPr>
                <w:sz w:val="18"/>
              </w:rPr>
              <w:t>Maria Carter, Jessica Gomes</w:t>
            </w:r>
          </w:p>
        </w:tc>
        <w:tc>
          <w:tcPr>
            <w:tcW w:type="dxa" w:w="864"/>
            <w:shd w:fill="EDF2F7"/>
            <w:tcMar>
              <w:top w:w="80" w:type="dxa"/>
              <w:bottom w:w="80" w:type="dxa"/>
              <w:left w:w="80" w:type="dxa"/>
              <w:right w:w="80" w:type="dxa"/>
            </w:tcMar>
          </w:tcPr>
          <w:p>
            <w:pPr>
              <w:spacing w:after="0"/>
              <w:jc w:val="center"/>
            </w:pPr>
            <w:r>
              <w:rPr>
                <w:sz w:val="18"/>
              </w:rPr>
              <w:t>High</w:t>
            </w:r>
          </w:p>
        </w:tc>
        <w:tc>
          <w:tcPr>
            <w:tcW w:type="dxa" w:w="864"/>
            <w:shd w:fill="EDF2F7"/>
            <w:tcMar>
              <w:top w:w="80" w:type="dxa"/>
              <w:bottom w:w="80" w:type="dxa"/>
              <w:left w:w="80" w:type="dxa"/>
              <w:right w:w="80" w:type="dxa"/>
            </w:tcMar>
          </w:tcPr>
          <w:p>
            <w:pPr>
              <w:spacing w:after="0"/>
              <w:jc w:val="center"/>
            </w:pPr>
            <w:r>
              <w:rPr>
                <w:sz w:val="18"/>
              </w:rPr>
              <w:t>High</w:t>
            </w:r>
          </w:p>
        </w:tc>
        <w:tc>
          <w:tcPr>
            <w:tcW w:type="dxa" w:w="1728"/>
            <w:shd w:fill="EDF2F7"/>
            <w:tcMar>
              <w:top w:w="80" w:type="dxa"/>
              <w:bottom w:w="80" w:type="dxa"/>
              <w:left w:w="80" w:type="dxa"/>
              <w:right w:w="80" w:type="dxa"/>
            </w:tcMar>
          </w:tcPr>
          <w:p>
            <w:pPr>
              <w:spacing w:after="0"/>
            </w:pPr>
            <w:r>
              <w:rPr>
                <w:sz w:val="18"/>
              </w:rPr>
              <w:t>Key Players</w:t>
            </w:r>
          </w:p>
        </w:tc>
        <w:tc>
          <w:tcPr>
            <w:tcW w:type="dxa" w:w="2592"/>
            <w:shd w:fill="EDF2F7"/>
            <w:tcMar>
              <w:top w:w="80" w:type="dxa"/>
              <w:bottom w:w="80" w:type="dxa"/>
              <w:left w:w="80" w:type="dxa"/>
              <w:right w:w="80" w:type="dxa"/>
            </w:tcMar>
          </w:tcPr>
          <w:p>
            <w:pPr>
              <w:spacing w:after="0"/>
            </w:pPr>
            <w:r>
              <w:rPr>
                <w:sz w:val="18"/>
              </w:rPr>
              <w:t>FR-01 (Conflict Prevention), Centralized Admin Dashboards</w:t>
            </w:r>
          </w:p>
        </w:tc>
      </w:tr>
      <w:tr>
        <w:tc>
          <w:tcPr>
            <w:tcW w:type="dxa" w:w="1728"/>
            <w:shd w:fill="FFFFFF"/>
            <w:tcMar>
              <w:top w:w="80" w:type="dxa"/>
              <w:bottom w:w="80" w:type="dxa"/>
              <w:left w:w="80" w:type="dxa"/>
              <w:right w:w="80" w:type="dxa"/>
            </w:tcMar>
          </w:tcPr>
          <w:p>
            <w:pPr>
              <w:spacing w:after="0"/>
            </w:pPr>
            <w:r>
              <w:rPr>
                <w:sz w:val="18"/>
              </w:rPr>
              <w:t>Hospital Leadership</w:t>
            </w:r>
          </w:p>
        </w:tc>
        <w:tc>
          <w:tcPr>
            <w:tcW w:type="dxa" w:w="1584"/>
            <w:shd w:fill="FFFFFF"/>
            <w:tcMar>
              <w:top w:w="80" w:type="dxa"/>
              <w:bottom w:w="80" w:type="dxa"/>
              <w:left w:w="80" w:type="dxa"/>
              <w:right w:w="80" w:type="dxa"/>
            </w:tcMar>
          </w:tcPr>
          <w:p>
            <w:pPr>
              <w:spacing w:after="0"/>
            </w:pPr>
            <w:r>
              <w:rPr>
                <w:sz w:val="18"/>
              </w:rPr>
              <w:t>Executive Management / Board</w:t>
            </w:r>
          </w:p>
        </w:tc>
        <w:tc>
          <w:tcPr>
            <w:tcW w:type="dxa" w:w="864"/>
            <w:shd w:fill="FFFFFF"/>
            <w:tcMar>
              <w:top w:w="80" w:type="dxa"/>
              <w:bottom w:w="80" w:type="dxa"/>
              <w:left w:w="80" w:type="dxa"/>
              <w:right w:w="80" w:type="dxa"/>
            </w:tcMar>
          </w:tcPr>
          <w:p>
            <w:pPr>
              <w:spacing w:after="0"/>
              <w:jc w:val="center"/>
            </w:pPr>
            <w:r>
              <w:rPr>
                <w:sz w:val="18"/>
              </w:rPr>
              <w:t>High</w:t>
            </w:r>
          </w:p>
        </w:tc>
        <w:tc>
          <w:tcPr>
            <w:tcW w:type="dxa" w:w="864"/>
            <w:shd w:fill="FFFFFF"/>
            <w:tcMar>
              <w:top w:w="80" w:type="dxa"/>
              <w:bottom w:w="80" w:type="dxa"/>
              <w:left w:w="80" w:type="dxa"/>
              <w:right w:w="80" w:type="dxa"/>
            </w:tcMar>
          </w:tcPr>
          <w:p>
            <w:pPr>
              <w:spacing w:after="0"/>
              <w:jc w:val="center"/>
            </w:pPr>
            <w:r>
              <w:rPr>
                <w:sz w:val="18"/>
              </w:rPr>
              <w:t>High</w:t>
            </w:r>
          </w:p>
        </w:tc>
        <w:tc>
          <w:tcPr>
            <w:tcW w:type="dxa" w:w="1728"/>
            <w:shd w:fill="FFFFFF"/>
            <w:tcMar>
              <w:top w:w="80" w:type="dxa"/>
              <w:bottom w:w="80" w:type="dxa"/>
              <w:left w:w="80" w:type="dxa"/>
              <w:right w:w="80" w:type="dxa"/>
            </w:tcMar>
          </w:tcPr>
          <w:p>
            <w:pPr>
              <w:spacing w:after="0"/>
            </w:pPr>
            <w:r>
              <w:rPr>
                <w:sz w:val="18"/>
              </w:rPr>
              <w:t>Key Players</w:t>
            </w:r>
          </w:p>
        </w:tc>
        <w:tc>
          <w:tcPr>
            <w:tcW w:type="dxa" w:w="2592"/>
            <w:shd w:fill="FFFFFF"/>
            <w:tcMar>
              <w:top w:w="80" w:type="dxa"/>
              <w:bottom w:w="80" w:type="dxa"/>
              <w:left w:w="80" w:type="dxa"/>
              <w:right w:w="80" w:type="dxa"/>
            </w:tcMar>
          </w:tcPr>
          <w:p>
            <w:pPr>
              <w:spacing w:after="0"/>
            </w:pPr>
            <w:r>
              <w:rPr>
                <w:sz w:val="18"/>
              </w:rPr>
              <w:t>AC-01 through AC-04 Target Metric Oversight</w:t>
            </w:r>
          </w:p>
        </w:tc>
      </w:tr>
      <w:tr>
        <w:tc>
          <w:tcPr>
            <w:tcW w:type="dxa" w:w="1728"/>
            <w:shd w:fill="EDF2F7"/>
            <w:tcMar>
              <w:top w:w="80" w:type="dxa"/>
              <w:bottom w:w="80" w:type="dxa"/>
              <w:left w:w="80" w:type="dxa"/>
              <w:right w:w="80" w:type="dxa"/>
            </w:tcMar>
          </w:tcPr>
          <w:p>
            <w:pPr>
              <w:spacing w:after="0"/>
            </w:pPr>
            <w:r>
              <w:rPr>
                <w:sz w:val="18"/>
              </w:rPr>
              <w:t>IT &amp; Operations Teams</w:t>
            </w:r>
          </w:p>
        </w:tc>
        <w:tc>
          <w:tcPr>
            <w:tcW w:type="dxa" w:w="1584"/>
            <w:shd w:fill="EDF2F7"/>
            <w:tcMar>
              <w:top w:w="80" w:type="dxa"/>
              <w:bottom w:w="80" w:type="dxa"/>
              <w:left w:w="80" w:type="dxa"/>
              <w:right w:w="80" w:type="dxa"/>
            </w:tcMar>
          </w:tcPr>
          <w:p>
            <w:pPr>
              <w:spacing w:after="0"/>
            </w:pPr>
            <w:r>
              <w:rPr>
                <w:sz w:val="18"/>
              </w:rPr>
              <w:t>Rajesh Singh, Laura Simkow, Ivan Walker</w:t>
            </w:r>
          </w:p>
        </w:tc>
        <w:tc>
          <w:tcPr>
            <w:tcW w:type="dxa" w:w="864"/>
            <w:shd w:fill="EDF2F7"/>
            <w:tcMar>
              <w:top w:w="80" w:type="dxa"/>
              <w:bottom w:w="80" w:type="dxa"/>
              <w:left w:w="80" w:type="dxa"/>
              <w:right w:w="80" w:type="dxa"/>
            </w:tcMar>
          </w:tcPr>
          <w:p>
            <w:pPr>
              <w:spacing w:after="0"/>
              <w:jc w:val="center"/>
            </w:pPr>
            <w:r>
              <w:rPr>
                <w:sz w:val="18"/>
              </w:rPr>
              <w:t>High</w:t>
            </w:r>
          </w:p>
        </w:tc>
        <w:tc>
          <w:tcPr>
            <w:tcW w:type="dxa" w:w="864"/>
            <w:shd w:fill="EDF2F7"/>
            <w:tcMar>
              <w:top w:w="80" w:type="dxa"/>
              <w:bottom w:w="80" w:type="dxa"/>
              <w:left w:w="80" w:type="dxa"/>
              <w:right w:w="80" w:type="dxa"/>
            </w:tcMar>
          </w:tcPr>
          <w:p>
            <w:pPr>
              <w:spacing w:after="0"/>
              <w:jc w:val="center"/>
            </w:pPr>
            <w:r>
              <w:rPr>
                <w:sz w:val="18"/>
              </w:rPr>
              <w:t>Low</w:t>
            </w:r>
          </w:p>
        </w:tc>
        <w:tc>
          <w:tcPr>
            <w:tcW w:type="dxa" w:w="1728"/>
            <w:shd w:fill="EDF2F7"/>
            <w:tcMar>
              <w:top w:w="80" w:type="dxa"/>
              <w:bottom w:w="80" w:type="dxa"/>
              <w:left w:w="80" w:type="dxa"/>
              <w:right w:w="80" w:type="dxa"/>
            </w:tcMar>
          </w:tcPr>
          <w:p>
            <w:pPr>
              <w:spacing w:after="0"/>
            </w:pPr>
            <w:r>
              <w:rPr>
                <w:sz w:val="18"/>
              </w:rPr>
              <w:t>Keep Satisfied</w:t>
            </w:r>
          </w:p>
        </w:tc>
        <w:tc>
          <w:tcPr>
            <w:tcW w:type="dxa" w:w="2592"/>
            <w:shd w:fill="EDF2F7"/>
            <w:tcMar>
              <w:top w:w="80" w:type="dxa"/>
              <w:bottom w:w="80" w:type="dxa"/>
              <w:left w:w="80" w:type="dxa"/>
              <w:right w:w="80" w:type="dxa"/>
            </w:tcMar>
          </w:tcPr>
          <w:p>
            <w:pPr>
              <w:spacing w:after="0"/>
            </w:pPr>
            <w:r>
              <w:rPr>
                <w:sz w:val="18"/>
              </w:rPr>
              <w:t>NFR-01 (Scalability), NFR-02 (HIPAA Security), FR-04 (EHR Link)</w:t>
            </w:r>
          </w:p>
        </w:tc>
      </w:tr>
      <w:tr>
        <w:tc>
          <w:tcPr>
            <w:tcW w:type="dxa" w:w="1728"/>
            <w:shd w:fill="FFFFFF"/>
            <w:tcMar>
              <w:top w:w="80" w:type="dxa"/>
              <w:bottom w:w="80" w:type="dxa"/>
              <w:left w:w="80" w:type="dxa"/>
              <w:right w:w="80" w:type="dxa"/>
            </w:tcMar>
          </w:tcPr>
          <w:p>
            <w:pPr>
              <w:spacing w:after="0"/>
            </w:pPr>
            <w:r>
              <w:rPr>
                <w:sz w:val="18"/>
              </w:rPr>
              <w:t>Patients</w:t>
            </w:r>
          </w:p>
        </w:tc>
        <w:tc>
          <w:tcPr>
            <w:tcW w:type="dxa" w:w="1584"/>
            <w:shd w:fill="FFFFFF"/>
            <w:tcMar>
              <w:top w:w="80" w:type="dxa"/>
              <w:bottom w:w="80" w:type="dxa"/>
              <w:left w:w="80" w:type="dxa"/>
              <w:right w:w="80" w:type="dxa"/>
            </w:tcMar>
          </w:tcPr>
          <w:p>
            <w:pPr>
              <w:spacing w:after="0"/>
            </w:pPr>
            <w:r>
              <w:rPr>
                <w:sz w:val="18"/>
              </w:rPr>
              <w:t>Sarah Ayvazyan, Lak Ayer</w:t>
            </w:r>
          </w:p>
        </w:tc>
        <w:tc>
          <w:tcPr>
            <w:tcW w:type="dxa" w:w="864"/>
            <w:shd w:fill="FFFFFF"/>
            <w:tcMar>
              <w:top w:w="80" w:type="dxa"/>
              <w:bottom w:w="80" w:type="dxa"/>
              <w:left w:w="80" w:type="dxa"/>
              <w:right w:w="80" w:type="dxa"/>
            </w:tcMar>
          </w:tcPr>
          <w:p>
            <w:pPr>
              <w:spacing w:after="0"/>
              <w:jc w:val="center"/>
            </w:pPr>
            <w:r>
              <w:rPr>
                <w:sz w:val="18"/>
              </w:rPr>
              <w:t>Low</w:t>
            </w:r>
          </w:p>
        </w:tc>
        <w:tc>
          <w:tcPr>
            <w:tcW w:type="dxa" w:w="864"/>
            <w:shd w:fill="FFFFFF"/>
            <w:tcMar>
              <w:top w:w="80" w:type="dxa"/>
              <w:bottom w:w="80" w:type="dxa"/>
              <w:left w:w="80" w:type="dxa"/>
              <w:right w:w="80" w:type="dxa"/>
            </w:tcMar>
          </w:tcPr>
          <w:p>
            <w:pPr>
              <w:spacing w:after="0"/>
              <w:jc w:val="center"/>
            </w:pPr>
            <w:r>
              <w:rPr>
                <w:sz w:val="18"/>
              </w:rPr>
              <w:t>High</w:t>
            </w:r>
          </w:p>
        </w:tc>
        <w:tc>
          <w:tcPr>
            <w:tcW w:type="dxa" w:w="1728"/>
            <w:shd w:fill="FFFFFF"/>
            <w:tcMar>
              <w:top w:w="80" w:type="dxa"/>
              <w:bottom w:w="80" w:type="dxa"/>
              <w:left w:w="80" w:type="dxa"/>
              <w:right w:w="80" w:type="dxa"/>
            </w:tcMar>
          </w:tcPr>
          <w:p>
            <w:pPr>
              <w:spacing w:after="0"/>
            </w:pPr>
            <w:r>
              <w:rPr>
                <w:sz w:val="18"/>
              </w:rPr>
              <w:t>Keep Informed</w:t>
            </w:r>
          </w:p>
        </w:tc>
        <w:tc>
          <w:tcPr>
            <w:tcW w:type="dxa" w:w="2592"/>
            <w:shd w:fill="FFFFFF"/>
            <w:tcMar>
              <w:top w:w="80" w:type="dxa"/>
              <w:bottom w:w="80" w:type="dxa"/>
              <w:left w:w="80" w:type="dxa"/>
              <w:right w:w="80" w:type="dxa"/>
            </w:tcMar>
          </w:tcPr>
          <w:p>
            <w:pPr>
              <w:spacing w:after="0"/>
            </w:pPr>
            <w:r>
              <w:rPr>
                <w:sz w:val="18"/>
              </w:rPr>
              <w:t>FR-03 (Automated SMS/Email), NFR-03 (Web/Mobile UI)</w:t>
            </w:r>
          </w:p>
        </w:tc>
      </w:tr>
      <w:tr>
        <w:tc>
          <w:tcPr>
            <w:tcW w:type="dxa" w:w="1728"/>
            <w:shd w:fill="EDF2F7"/>
            <w:tcMar>
              <w:top w:w="80" w:type="dxa"/>
              <w:bottom w:w="80" w:type="dxa"/>
              <w:left w:w="80" w:type="dxa"/>
              <w:right w:w="80" w:type="dxa"/>
            </w:tcMar>
          </w:tcPr>
          <w:p>
            <w:pPr>
              <w:spacing w:after="0"/>
            </w:pPr>
            <w:r>
              <w:rPr>
                <w:sz w:val="18"/>
              </w:rPr>
              <w:t>Support &amp; Maintenance Staff</w:t>
            </w:r>
          </w:p>
        </w:tc>
        <w:tc>
          <w:tcPr>
            <w:tcW w:type="dxa" w:w="1584"/>
            <w:shd w:fill="EDF2F7"/>
            <w:tcMar>
              <w:top w:w="80" w:type="dxa"/>
              <w:bottom w:w="80" w:type="dxa"/>
              <w:left w:w="80" w:type="dxa"/>
              <w:right w:w="80" w:type="dxa"/>
            </w:tcMar>
          </w:tcPr>
          <w:p>
            <w:pPr>
              <w:spacing w:after="0"/>
            </w:pPr>
            <w:r>
              <w:rPr>
                <w:sz w:val="18"/>
              </w:rPr>
              <w:t>Facilities / Equipment Technicians</w:t>
            </w:r>
          </w:p>
        </w:tc>
        <w:tc>
          <w:tcPr>
            <w:tcW w:type="dxa" w:w="864"/>
            <w:shd w:fill="EDF2F7"/>
            <w:tcMar>
              <w:top w:w="80" w:type="dxa"/>
              <w:bottom w:w="80" w:type="dxa"/>
              <w:left w:w="80" w:type="dxa"/>
              <w:right w:w="80" w:type="dxa"/>
            </w:tcMar>
          </w:tcPr>
          <w:p>
            <w:pPr>
              <w:spacing w:after="0"/>
              <w:jc w:val="center"/>
            </w:pPr>
            <w:r>
              <w:rPr>
                <w:sz w:val="18"/>
              </w:rPr>
              <w:t>Low</w:t>
            </w:r>
          </w:p>
        </w:tc>
        <w:tc>
          <w:tcPr>
            <w:tcW w:type="dxa" w:w="864"/>
            <w:shd w:fill="EDF2F7"/>
            <w:tcMar>
              <w:top w:w="80" w:type="dxa"/>
              <w:bottom w:w="80" w:type="dxa"/>
              <w:left w:w="80" w:type="dxa"/>
              <w:right w:w="80" w:type="dxa"/>
            </w:tcMar>
          </w:tcPr>
          <w:p>
            <w:pPr>
              <w:spacing w:after="0"/>
              <w:jc w:val="center"/>
            </w:pPr>
            <w:r>
              <w:rPr>
                <w:sz w:val="18"/>
              </w:rPr>
              <w:t>Low</w:t>
            </w:r>
          </w:p>
        </w:tc>
        <w:tc>
          <w:tcPr>
            <w:tcW w:type="dxa" w:w="1728"/>
            <w:shd w:fill="EDF2F7"/>
            <w:tcMar>
              <w:top w:w="80" w:type="dxa"/>
              <w:bottom w:w="80" w:type="dxa"/>
              <w:left w:w="80" w:type="dxa"/>
              <w:right w:w="80" w:type="dxa"/>
            </w:tcMar>
          </w:tcPr>
          <w:p>
            <w:pPr>
              <w:spacing w:after="0"/>
            </w:pPr>
            <w:r>
              <w:rPr>
                <w:sz w:val="18"/>
              </w:rPr>
              <w:t>Monitor</w:t>
            </w:r>
          </w:p>
        </w:tc>
        <w:tc>
          <w:tcPr>
            <w:tcW w:type="dxa" w:w="2592"/>
            <w:shd w:fill="EDF2F7"/>
            <w:tcMar>
              <w:top w:w="80" w:type="dxa"/>
              <w:bottom w:w="80" w:type="dxa"/>
              <w:left w:w="80" w:type="dxa"/>
              <w:right w:w="80" w:type="dxa"/>
            </w:tcMar>
          </w:tcPr>
          <w:p>
            <w:pPr>
              <w:spacing w:after="0"/>
            </w:pPr>
            <w:r>
              <w:rPr>
                <w:sz w:val="18"/>
              </w:rPr>
              <w:t>Facility &amp; Equipment Availability Status Tracking</w:t>
            </w:r>
          </w:p>
        </w:tc>
      </w:tr>
    </w:tbl>
    <w:p>
      <w:pPr>
        <w:spacing w:after="160"/>
      </w:pPr>
    </w:p>
    <w:p>
      <w:pPr>
        <w:keepNext/>
        <w:spacing w:before="320" w:after="120"/>
      </w:pPr>
      <w:r>
        <w:rPr>
          <w:rFonts w:ascii="Calibri" w:hAnsi="Calibri"/>
          <w:b/>
          <w:color w:val="1A365D"/>
          <w:sz w:val="32"/>
        </w:rPr>
        <w:t>Task 3: Stakeholder Engagement &amp; Communication Plan</w:t>
      </w:r>
    </w:p>
    <w:p>
      <w:pPr>
        <w:spacing w:after="160"/>
      </w:pPr>
      <w:r>
        <w:t>To ensure effective collaboration and address stakeholder concerns, tailored engagement strategies and communication channels have been established for each quadrant of the Stakeholder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00" w:type="dxa"/>
              <w:right w:w="100" w:type="dxa"/>
            </w:tcMar>
          </w:tcPr>
          <w:p>
            <w:pPr>
              <w:spacing w:after="0"/>
              <w:jc w:val="center"/>
            </w:pPr>
            <w:r>
              <w:rPr>
                <w:b/>
                <w:color w:val="FFFFFF"/>
                <w:sz w:val="19"/>
              </w:rPr>
              <w:t>Stakeholder Group</w:t>
            </w:r>
          </w:p>
        </w:tc>
        <w:tc>
          <w:tcPr>
            <w:tcW w:type="dxa" w:w="1440"/>
            <w:shd w:fill="1A365D"/>
            <w:tcMar>
              <w:top w:w="100" w:type="dxa"/>
              <w:bottom w:w="100" w:type="dxa"/>
              <w:left w:w="100" w:type="dxa"/>
              <w:right w:w="100" w:type="dxa"/>
            </w:tcMar>
          </w:tcPr>
          <w:p>
            <w:pPr>
              <w:spacing w:after="0"/>
              <w:jc w:val="center"/>
            </w:pPr>
            <w:r>
              <w:rPr>
                <w:b/>
                <w:color w:val="FFFFFF"/>
                <w:sz w:val="19"/>
              </w:rPr>
              <w:t>Category</w:t>
            </w:r>
          </w:p>
        </w:tc>
        <w:tc>
          <w:tcPr>
            <w:tcW w:type="dxa" w:w="2160"/>
            <w:shd w:fill="1A365D"/>
            <w:tcMar>
              <w:top w:w="100" w:type="dxa"/>
              <w:bottom w:w="100" w:type="dxa"/>
              <w:left w:w="100" w:type="dxa"/>
              <w:right w:w="100" w:type="dxa"/>
            </w:tcMar>
          </w:tcPr>
          <w:p>
            <w:pPr>
              <w:spacing w:after="0"/>
              <w:jc w:val="center"/>
            </w:pPr>
            <w:r>
              <w:rPr>
                <w:b/>
                <w:color w:val="FFFFFF"/>
                <w:sz w:val="19"/>
              </w:rPr>
              <w:t>Communication Methods</w:t>
            </w:r>
          </w:p>
        </w:tc>
        <w:tc>
          <w:tcPr>
            <w:tcW w:type="dxa" w:w="2592"/>
            <w:shd w:fill="1A365D"/>
            <w:tcMar>
              <w:top w:w="100" w:type="dxa"/>
              <w:bottom w:w="100" w:type="dxa"/>
              <w:left w:w="100" w:type="dxa"/>
              <w:right w:w="100" w:type="dxa"/>
            </w:tcMar>
          </w:tcPr>
          <w:p>
            <w:pPr>
              <w:spacing w:after="0"/>
              <w:jc w:val="center"/>
            </w:pPr>
            <w:r>
              <w:rPr>
                <w:b/>
                <w:color w:val="FFFFFF"/>
                <w:sz w:val="19"/>
              </w:rPr>
              <w:t>Primary Purpose of Engagement</w:t>
            </w:r>
          </w:p>
        </w:tc>
        <w:tc>
          <w:tcPr>
            <w:tcW w:type="dxa" w:w="1440"/>
            <w:shd w:fill="1A365D"/>
            <w:tcMar>
              <w:top w:w="100" w:type="dxa"/>
              <w:bottom w:w="100" w:type="dxa"/>
              <w:left w:w="100" w:type="dxa"/>
              <w:right w:w="100" w:type="dxa"/>
            </w:tcMar>
          </w:tcPr>
          <w:p>
            <w:pPr>
              <w:spacing w:after="0"/>
              <w:jc w:val="center"/>
            </w:pPr>
            <w:r>
              <w:rPr>
                <w:b/>
                <w:color w:val="FFFFFF"/>
                <w:sz w:val="19"/>
              </w:rPr>
              <w:t>Frequency &amp; Responsible Role</w:t>
            </w:r>
          </w:p>
        </w:tc>
      </w:tr>
      <w:tr>
        <w:tc>
          <w:tcPr>
            <w:tcW w:type="dxa" w:w="1728"/>
            <w:shd w:fill="FFFFFF"/>
            <w:tcMar>
              <w:top w:w="80" w:type="dxa"/>
              <w:bottom w:w="80" w:type="dxa"/>
              <w:left w:w="80" w:type="dxa"/>
              <w:right w:w="80" w:type="dxa"/>
            </w:tcMar>
          </w:tcPr>
          <w:p>
            <w:pPr>
              <w:spacing w:after="0"/>
            </w:pPr>
            <w:r>
              <w:rPr>
                <w:sz w:val="18"/>
              </w:rPr>
              <w:t>Doctors, Admin Staff, Leadership</w:t>
            </w:r>
          </w:p>
        </w:tc>
        <w:tc>
          <w:tcPr>
            <w:tcW w:type="dxa" w:w="1440"/>
            <w:shd w:fill="FFFFFF"/>
            <w:tcMar>
              <w:top w:w="80" w:type="dxa"/>
              <w:bottom w:w="80" w:type="dxa"/>
              <w:left w:w="80" w:type="dxa"/>
              <w:right w:w="80" w:type="dxa"/>
            </w:tcMar>
          </w:tcPr>
          <w:p>
            <w:pPr>
              <w:spacing w:after="0"/>
            </w:pPr>
            <w:r>
              <w:rPr>
                <w:sz w:val="18"/>
              </w:rPr>
              <w:t>Key Players</w:t>
            </w:r>
          </w:p>
        </w:tc>
        <w:tc>
          <w:tcPr>
            <w:tcW w:type="dxa" w:w="2160"/>
            <w:shd w:fill="FFFFFF"/>
            <w:tcMar>
              <w:top w:w="80" w:type="dxa"/>
              <w:bottom w:w="80" w:type="dxa"/>
              <w:left w:w="80" w:type="dxa"/>
              <w:right w:w="80" w:type="dxa"/>
            </w:tcMar>
          </w:tcPr>
          <w:p>
            <w:pPr>
              <w:spacing w:after="0"/>
            </w:pPr>
            <w:r>
              <w:rPr>
                <w:sz w:val="18"/>
              </w:rPr>
              <w:t>Weekly interactive status meetings, live workflow solution demos, feedback workshops</w:t>
            </w:r>
          </w:p>
        </w:tc>
        <w:tc>
          <w:tcPr>
            <w:tcW w:type="dxa" w:w="2592"/>
            <w:shd w:fill="FFFFFF"/>
            <w:tcMar>
              <w:top w:w="80" w:type="dxa"/>
              <w:bottom w:w="80" w:type="dxa"/>
              <w:left w:w="80" w:type="dxa"/>
              <w:right w:w="80" w:type="dxa"/>
            </w:tcMar>
          </w:tcPr>
          <w:p>
            <w:pPr>
              <w:spacing w:after="0"/>
            </w:pPr>
            <w:r>
              <w:rPr>
                <w:sz w:val="18"/>
              </w:rPr>
              <w:t>Gather operational feedback, demonstrate double-booking prevention, validate daily schedules, align strategic priorities</w:t>
            </w:r>
          </w:p>
        </w:tc>
        <w:tc>
          <w:tcPr>
            <w:tcW w:type="dxa" w:w="1440"/>
            <w:shd w:fill="FFFFFF"/>
            <w:tcMar>
              <w:top w:w="80" w:type="dxa"/>
              <w:bottom w:w="80" w:type="dxa"/>
              <w:left w:w="80" w:type="dxa"/>
              <w:right w:w="80" w:type="dxa"/>
            </w:tcMar>
          </w:tcPr>
          <w:p>
            <w:pPr>
              <w:spacing w:after="0"/>
              <w:jc w:val="center"/>
            </w:pPr>
            <w:r>
              <w:rPr>
                <w:sz w:val="18"/>
              </w:rPr>
              <w:t>Weekly</w:t>
              <w:br/>
              <w:t>(Project Manager / Data Analyst)</w:t>
            </w:r>
          </w:p>
        </w:tc>
      </w:tr>
      <w:tr>
        <w:tc>
          <w:tcPr>
            <w:tcW w:type="dxa" w:w="1728"/>
            <w:shd w:fill="EDF2F7"/>
            <w:tcMar>
              <w:top w:w="80" w:type="dxa"/>
              <w:bottom w:w="80" w:type="dxa"/>
              <w:left w:w="80" w:type="dxa"/>
              <w:right w:w="80" w:type="dxa"/>
            </w:tcMar>
          </w:tcPr>
          <w:p>
            <w:pPr>
              <w:spacing w:after="0"/>
            </w:pPr>
            <w:r>
              <w:rPr>
                <w:sz w:val="18"/>
              </w:rPr>
              <w:t>IT &amp; Operations Teams</w:t>
            </w:r>
          </w:p>
        </w:tc>
        <w:tc>
          <w:tcPr>
            <w:tcW w:type="dxa" w:w="1440"/>
            <w:shd w:fill="EDF2F7"/>
            <w:tcMar>
              <w:top w:w="80" w:type="dxa"/>
              <w:bottom w:w="80" w:type="dxa"/>
              <w:left w:w="80" w:type="dxa"/>
              <w:right w:w="80" w:type="dxa"/>
            </w:tcMar>
          </w:tcPr>
          <w:p>
            <w:pPr>
              <w:spacing w:after="0"/>
            </w:pPr>
            <w:r>
              <w:rPr>
                <w:sz w:val="18"/>
              </w:rPr>
              <w:t>Keep Satisfied</w:t>
            </w:r>
          </w:p>
        </w:tc>
        <w:tc>
          <w:tcPr>
            <w:tcW w:type="dxa" w:w="2160"/>
            <w:shd w:fill="EDF2F7"/>
            <w:tcMar>
              <w:top w:w="80" w:type="dxa"/>
              <w:bottom w:w="80" w:type="dxa"/>
              <w:left w:w="80" w:type="dxa"/>
              <w:right w:w="80" w:type="dxa"/>
            </w:tcMar>
          </w:tcPr>
          <w:p>
            <w:pPr>
              <w:spacing w:after="0"/>
            </w:pPr>
            <w:r>
              <w:rPr>
                <w:sz w:val="18"/>
              </w:rPr>
              <w:t>Technical architecture reviews, API sync meetings, bi-weekly progress email updates</w:t>
            </w:r>
          </w:p>
        </w:tc>
        <w:tc>
          <w:tcPr>
            <w:tcW w:type="dxa" w:w="2592"/>
            <w:shd w:fill="EDF2F7"/>
            <w:tcMar>
              <w:top w:w="80" w:type="dxa"/>
              <w:bottom w:w="80" w:type="dxa"/>
              <w:left w:w="80" w:type="dxa"/>
              <w:right w:w="80" w:type="dxa"/>
            </w:tcMar>
          </w:tcPr>
          <w:p>
            <w:pPr>
              <w:spacing w:after="0"/>
            </w:pPr>
            <w:r>
              <w:rPr>
                <w:sz w:val="18"/>
              </w:rPr>
              <w:t>Review cloud architecture scalability, monitor EHR integration progress, verify HIPAA security compliance</w:t>
            </w:r>
          </w:p>
        </w:tc>
        <w:tc>
          <w:tcPr>
            <w:tcW w:type="dxa" w:w="1440"/>
            <w:shd w:fill="EDF2F7"/>
            <w:tcMar>
              <w:top w:w="80" w:type="dxa"/>
              <w:bottom w:w="80" w:type="dxa"/>
              <w:left w:w="80" w:type="dxa"/>
              <w:right w:w="80" w:type="dxa"/>
            </w:tcMar>
          </w:tcPr>
          <w:p>
            <w:pPr>
              <w:spacing w:after="0"/>
              <w:jc w:val="center"/>
            </w:pPr>
            <w:r>
              <w:rPr>
                <w:sz w:val="18"/>
              </w:rPr>
              <w:t>Bi-Weekly</w:t>
              <w:br/>
              <w:t>(Lead IT Architect / Analyst)</w:t>
            </w:r>
          </w:p>
        </w:tc>
      </w:tr>
      <w:tr>
        <w:tc>
          <w:tcPr>
            <w:tcW w:type="dxa" w:w="1728"/>
            <w:shd w:fill="FFFFFF"/>
            <w:tcMar>
              <w:top w:w="80" w:type="dxa"/>
              <w:bottom w:w="80" w:type="dxa"/>
              <w:left w:w="80" w:type="dxa"/>
              <w:right w:w="80" w:type="dxa"/>
            </w:tcMar>
          </w:tcPr>
          <w:p>
            <w:pPr>
              <w:spacing w:after="0"/>
            </w:pPr>
            <w:r>
              <w:rPr>
                <w:sz w:val="18"/>
              </w:rPr>
              <w:t>Patients</w:t>
            </w:r>
          </w:p>
        </w:tc>
        <w:tc>
          <w:tcPr>
            <w:tcW w:type="dxa" w:w="1440"/>
            <w:shd w:fill="FFFFFF"/>
            <w:tcMar>
              <w:top w:w="80" w:type="dxa"/>
              <w:bottom w:w="80" w:type="dxa"/>
              <w:left w:w="80" w:type="dxa"/>
              <w:right w:w="80" w:type="dxa"/>
            </w:tcMar>
          </w:tcPr>
          <w:p>
            <w:pPr>
              <w:spacing w:after="0"/>
            </w:pPr>
            <w:r>
              <w:rPr>
                <w:sz w:val="18"/>
              </w:rPr>
              <w:t>Keep Informed</w:t>
            </w:r>
          </w:p>
        </w:tc>
        <w:tc>
          <w:tcPr>
            <w:tcW w:type="dxa" w:w="2160"/>
            <w:shd w:fill="FFFFFF"/>
            <w:tcMar>
              <w:top w:w="80" w:type="dxa"/>
              <w:bottom w:w="80" w:type="dxa"/>
              <w:left w:w="80" w:type="dxa"/>
              <w:right w:w="80" w:type="dxa"/>
            </w:tcMar>
          </w:tcPr>
          <w:p>
            <w:pPr>
              <w:spacing w:after="0"/>
            </w:pPr>
            <w:r>
              <w:rPr>
                <w:sz w:val="18"/>
              </w:rPr>
              <w:t>Automated SMS/Email notification system, patient web portal, post-visit digital feedback surveys</w:t>
            </w:r>
          </w:p>
        </w:tc>
        <w:tc>
          <w:tcPr>
            <w:tcW w:type="dxa" w:w="2592"/>
            <w:shd w:fill="FFFFFF"/>
            <w:tcMar>
              <w:top w:w="80" w:type="dxa"/>
              <w:bottom w:w="80" w:type="dxa"/>
              <w:left w:w="80" w:type="dxa"/>
              <w:right w:w="80" w:type="dxa"/>
            </w:tcMar>
          </w:tcPr>
          <w:p>
            <w:pPr>
              <w:spacing w:after="0"/>
            </w:pPr>
            <w:r>
              <w:rPr>
                <w:sz w:val="18"/>
              </w:rPr>
              <w:t>Send 24-hr booking reminders, deliver live queue delay alerts, collect satisfaction ratings to track AC-03</w:t>
            </w:r>
          </w:p>
        </w:tc>
        <w:tc>
          <w:tcPr>
            <w:tcW w:type="dxa" w:w="1440"/>
            <w:shd w:fill="FFFFFF"/>
            <w:tcMar>
              <w:top w:w="80" w:type="dxa"/>
              <w:bottom w:w="80" w:type="dxa"/>
              <w:left w:w="80" w:type="dxa"/>
              <w:right w:w="80" w:type="dxa"/>
            </w:tcMar>
          </w:tcPr>
          <w:p>
            <w:pPr>
              <w:spacing w:after="0"/>
              <w:jc w:val="center"/>
            </w:pPr>
            <w:r>
              <w:rPr>
                <w:sz w:val="18"/>
              </w:rPr>
              <w:t>Real-time &amp; Monthly</w:t>
              <w:br/>
              <w:t>(Automated Service / PM)</w:t>
            </w:r>
          </w:p>
        </w:tc>
      </w:tr>
      <w:tr>
        <w:tc>
          <w:tcPr>
            <w:tcW w:type="dxa" w:w="1728"/>
            <w:shd w:fill="EDF2F7"/>
            <w:tcMar>
              <w:top w:w="80" w:type="dxa"/>
              <w:bottom w:w="80" w:type="dxa"/>
              <w:left w:w="80" w:type="dxa"/>
              <w:right w:w="80" w:type="dxa"/>
            </w:tcMar>
          </w:tcPr>
          <w:p>
            <w:pPr>
              <w:spacing w:after="0"/>
            </w:pPr>
            <w:r>
              <w:rPr>
                <w:sz w:val="18"/>
              </w:rPr>
              <w:t>Support &amp; Maintenance Staff</w:t>
            </w:r>
          </w:p>
        </w:tc>
        <w:tc>
          <w:tcPr>
            <w:tcW w:type="dxa" w:w="1440"/>
            <w:shd w:fill="EDF2F7"/>
            <w:tcMar>
              <w:top w:w="80" w:type="dxa"/>
              <w:bottom w:w="80" w:type="dxa"/>
              <w:left w:w="80" w:type="dxa"/>
              <w:right w:w="80" w:type="dxa"/>
            </w:tcMar>
          </w:tcPr>
          <w:p>
            <w:pPr>
              <w:spacing w:after="0"/>
            </w:pPr>
            <w:r>
              <w:rPr>
                <w:sz w:val="18"/>
              </w:rPr>
              <w:t>Monitor</w:t>
            </w:r>
          </w:p>
        </w:tc>
        <w:tc>
          <w:tcPr>
            <w:tcW w:type="dxa" w:w="2160"/>
            <w:shd w:fill="EDF2F7"/>
            <w:tcMar>
              <w:top w:w="80" w:type="dxa"/>
              <w:bottom w:w="80" w:type="dxa"/>
              <w:left w:w="80" w:type="dxa"/>
              <w:right w:w="80" w:type="dxa"/>
            </w:tcMar>
          </w:tcPr>
          <w:p>
            <w:pPr>
              <w:spacing w:after="0"/>
            </w:pPr>
            <w:r>
              <w:rPr>
                <w:sz w:val="18"/>
              </w:rPr>
              <w:t>Intranet bulletin announcements, published meeting summary notes, standard operational reports</w:t>
            </w:r>
          </w:p>
        </w:tc>
        <w:tc>
          <w:tcPr>
            <w:tcW w:type="dxa" w:w="2592"/>
            <w:shd w:fill="EDF2F7"/>
            <w:tcMar>
              <w:top w:w="80" w:type="dxa"/>
              <w:bottom w:w="80" w:type="dxa"/>
              <w:left w:w="80" w:type="dxa"/>
              <w:right w:w="80" w:type="dxa"/>
            </w:tcMar>
          </w:tcPr>
          <w:p>
            <w:pPr>
              <w:spacing w:after="0"/>
            </w:pPr>
            <w:r>
              <w:rPr>
                <w:sz w:val="18"/>
              </w:rPr>
              <w:t>Provide general project milestones updates, communicate facility tracking procedure changes</w:t>
            </w:r>
          </w:p>
        </w:tc>
        <w:tc>
          <w:tcPr>
            <w:tcW w:type="dxa" w:w="1440"/>
            <w:shd w:fill="EDF2F7"/>
            <w:tcMar>
              <w:top w:w="80" w:type="dxa"/>
              <w:bottom w:w="80" w:type="dxa"/>
              <w:left w:w="80" w:type="dxa"/>
              <w:right w:w="80" w:type="dxa"/>
            </w:tcMar>
          </w:tcPr>
          <w:p>
            <w:pPr>
              <w:spacing w:after="0"/>
              <w:jc w:val="center"/>
            </w:pPr>
            <w:r>
              <w:rPr>
                <w:sz w:val="18"/>
              </w:rPr>
              <w:t>As Needed</w:t>
              <w:br/>
              <w:t>(Communications Lead)</w:t>
            </w:r>
          </w:p>
        </w:tc>
      </w:tr>
    </w:tbl>
    <w:p>
      <w:pPr>
        <w:spacing w:after="160"/>
      </w:pPr>
    </w:p>
    <w:p>
      <w:pPr>
        <w:keepNext/>
        <w:spacing w:before="320" w:after="120"/>
      </w:pPr>
      <w:r>
        <w:rPr>
          <w:rFonts w:ascii="Calibri" w:hAnsi="Calibri"/>
          <w:b/>
          <w:color w:val="1A365D"/>
          <w:sz w:val="32"/>
        </w:rPr>
        <w:t>Task 4: Project Alignment &amp; Traceability Verification</w:t>
      </w:r>
    </w:p>
    <w:p>
      <w:pPr>
        <w:spacing w:after="160"/>
      </w:pPr>
      <w:r>
        <w:t>The Stakeholder Engagement Plan directly aligns with and supports the project requirements and objectives outlined in the BRD and RTM:</w:t>
      </w:r>
    </w:p>
    <w:p>
      <w:pPr>
        <w:pStyle w:val="ListBullet"/>
        <w:spacing w:after="80"/>
        <w:ind w:left="360"/>
      </w:pPr>
      <w:r>
        <w:rPr>
          <w:b/>
          <w:color w:val="1A365D"/>
        </w:rPr>
        <w:t xml:space="preserve">Wait Time &amp; Satisfaction Targets (AC-01 &amp; AC-03): </w:t>
      </w:r>
      <w:r>
        <w:t>Continuous engagement with Patients via real-time SMS/Email alerts (FR-03) and user-friendly portal designs (NFR-03) directly resolves patient frustration regarding unannounced delays and lowers average wait times.</w:t>
      </w:r>
    </w:p>
    <w:p>
      <w:pPr>
        <w:pStyle w:val="ListBullet"/>
        <w:spacing w:after="80"/>
        <w:ind w:left="360"/>
      </w:pPr>
      <w:r>
        <w:rPr>
          <w:b/>
          <w:color w:val="1A365D"/>
        </w:rPr>
        <w:t xml:space="preserve">Double-Booking Elimination (AC-02): </w:t>
      </w:r>
      <w:r>
        <w:t>Weekly feedback loops with Schedulers (Maria Carter) and Physicians (Dr. Aftab Khan) ensure that the automated conflict prevention engine (FR-01) is seamlessly integrated into daily scheduling workflows without disrupting clinical care.</w:t>
      </w:r>
    </w:p>
    <w:p>
      <w:pPr>
        <w:pStyle w:val="ListBullet"/>
        <w:spacing w:after="80"/>
        <w:ind w:left="360"/>
      </w:pPr>
      <w:r>
        <w:rPr>
          <w:b/>
          <w:color w:val="1A365D"/>
        </w:rPr>
        <w:t xml:space="preserve">Resource Utilization Target (AC-04): </w:t>
      </w:r>
      <w:r>
        <w:t>Bi-weekly syncs with IT teams and clinical leads support the deployment of the live resource tracking dashboard (FR-02), balancing doctor workloads (specifically addressing the 7.86 hr daily strain in Orthopedics) and boosting peak resource availability to ≥ 70%.</w:t>
      </w:r>
    </w:p>
    <w:p>
      <w:pPr>
        <w:keepNext/>
        <w:spacing w:before="320" w:after="120"/>
      </w:pPr>
      <w:r>
        <w:rPr>
          <w:rFonts w:ascii="Calibri" w:hAnsi="Calibri"/>
          <w:b/>
          <w:color w:val="1A365D"/>
          <w:sz w:val="32"/>
        </w:rPr>
        <w:t>Appendix A: Stakeholder Profiles Reference</w:t>
      </w:r>
    </w:p>
    <w:p>
      <w:pPr>
        <w:spacing w:after="120"/>
      </w:pPr>
      <w:r>
        <w:t>Summary of key stakeholder profiles synthesized from project background documentation:</w:t>
      </w:r>
    </w:p>
    <w:p>
      <w:pPr>
        <w:pStyle w:val="ListBullet"/>
        <w:spacing w:after="60"/>
        <w:ind w:left="360"/>
      </w:pPr>
      <w:r>
        <w:rPr>
          <w:b/>
          <w:color w:val="2B7789"/>
        </w:rPr>
        <w:t xml:space="preserve">Patients (Sarah Ayvazyan, Lak Ayer): </w:t>
      </w:r>
      <w:r>
        <w:t>Require clear, timely communication regarding scheduling, minimal clinic wait times, transparent delay notifications, and an accessible multi-generational self-service portal.</w:t>
      </w:r>
    </w:p>
    <w:p>
      <w:pPr>
        <w:pStyle w:val="ListBullet"/>
        <w:spacing w:after="60"/>
        <w:ind w:left="360"/>
      </w:pPr>
      <w:r>
        <w:rPr>
          <w:b/>
          <w:color w:val="2B7789"/>
        </w:rPr>
        <w:t xml:space="preserve">Doctors &amp; Nurses (Dr. Aftab Khan, Dr. Robert Lee, Santa Murmu): </w:t>
      </w:r>
      <w:r>
        <w:t>Require schedule predictability, automated prevention of double-bookings, balanced workload distribution across departments, and real-time visibility into room and equipment availability.</w:t>
      </w:r>
    </w:p>
    <w:p>
      <w:pPr>
        <w:pStyle w:val="ListBullet"/>
        <w:spacing w:after="60"/>
        <w:ind w:left="360"/>
      </w:pPr>
      <w:r>
        <w:rPr>
          <w:b/>
          <w:color w:val="2B7789"/>
        </w:rPr>
        <w:t xml:space="preserve">Administrative Staff (Maria Carter, Jessica Gomes): </w:t>
      </w:r>
      <w:r>
        <w:t>Require modern, automated scheduling software to eliminate manual booking entry errors, prevent calendar overlaps, and streamline patient check-in processes.</w:t>
      </w:r>
    </w:p>
    <w:p>
      <w:pPr>
        <w:pStyle w:val="ListBullet"/>
        <w:spacing w:after="60"/>
        <w:ind w:left="360"/>
      </w:pPr>
      <w:r>
        <w:rPr>
          <w:b/>
          <w:color w:val="2B7789"/>
        </w:rPr>
        <w:t xml:space="preserve">IT &amp; Operations Management (Rajesh Singh, Laura Simkow, Ivan Walker): </w:t>
      </w:r>
      <w:r>
        <w:t>Require cloud-enabled system scalability to handle peak booking hours (17:00–18:30), secure role-based access control (RBAC), HIPAA compliance, and seamless EHR data integration.</w:t>
      </w:r>
    </w:p>
    <w:p>
      <w:pPr>
        <w:keepNext/>
        <w:spacing w:before="320" w:after="120"/>
      </w:pPr>
      <w:r>
        <w:rPr>
          <w:rFonts w:ascii="Calibri" w:hAnsi="Calibri"/>
          <w:b/>
          <w:color w:val="1A365D"/>
          <w:sz w:val="32"/>
        </w:rPr>
        <w:t>Appendix B: Stakeholder Influence / Interest Matrix Diagram</w:t>
      </w:r>
    </w:p>
    <w:tbl>
      <w:tblPr>
        <w:tblW w:type="auto" w:w="0"/>
        <w:jc w:val="center"/>
        <w:tblLook w:firstColumn="1" w:firstRow="1" w:lastColumn="0" w:lastRow="0" w:noHBand="0" w:noVBand="1" w:val="04A0"/>
      </w:tblPr>
      <w:tblGrid>
        <w:gridCol w:w="3120"/>
        <w:gridCol w:w="3120"/>
        <w:gridCol w:w="3120"/>
      </w:tblGrid>
      <w:tr>
        <w:tc>
          <w:tcPr>
            <w:tcW w:type="dxa" w:w="2160"/>
            <w:tcMar>
              <w:top w:w="100" w:type="dxa"/>
              <w:bottom w:w="100" w:type="dxa"/>
              <w:left w:w="100" w:type="dxa"/>
              <w:right w:w="100" w:type="dxa"/>
            </w:tcMar>
            <w:shd w:fill="1A365D"/>
          </w:tcPr>
          <w:p>
            <w:pPr>
              <w:spacing w:after="0"/>
              <w:jc w:val="center"/>
            </w:pPr>
            <w:r>
              <w:rPr>
                <w:b/>
                <w:color w:val="FFFFFF"/>
                <w:sz w:val="19"/>
              </w:rPr>
            </w:r>
          </w:p>
        </w:tc>
        <w:tc>
          <w:tcPr>
            <w:tcW w:type="dxa" w:w="3600"/>
            <w:tcMar>
              <w:top w:w="100" w:type="dxa"/>
              <w:bottom w:w="100" w:type="dxa"/>
              <w:left w:w="100" w:type="dxa"/>
              <w:right w:w="100" w:type="dxa"/>
            </w:tcMar>
            <w:shd w:fill="1A365D"/>
          </w:tcPr>
          <w:p>
            <w:pPr>
              <w:spacing w:after="0"/>
              <w:jc w:val="center"/>
            </w:pPr>
            <w:r>
              <w:rPr>
                <w:b/>
                <w:color w:val="FFFFFF"/>
                <w:sz w:val="19"/>
              </w:rPr>
              <w:t>LOW INTEREST</w:t>
            </w:r>
          </w:p>
        </w:tc>
        <w:tc>
          <w:tcPr>
            <w:tcW w:type="dxa" w:w="3600"/>
            <w:tcMar>
              <w:top w:w="100" w:type="dxa"/>
              <w:bottom w:w="100" w:type="dxa"/>
              <w:left w:w="100" w:type="dxa"/>
              <w:right w:w="100" w:type="dxa"/>
            </w:tcMar>
            <w:shd w:fill="1A365D"/>
          </w:tcPr>
          <w:p>
            <w:pPr>
              <w:spacing w:after="0"/>
              <w:jc w:val="center"/>
            </w:pPr>
            <w:r>
              <w:rPr>
                <w:b/>
                <w:color w:val="FFFFFF"/>
                <w:sz w:val="19"/>
              </w:rPr>
              <w:t>HIGH INTEREST</w:t>
            </w:r>
          </w:p>
        </w:tc>
      </w:tr>
      <w:tr>
        <w:tc>
          <w:tcPr>
            <w:tcW w:type="dxa" w:w="2160"/>
            <w:tcMar>
              <w:top w:w="100" w:type="dxa"/>
              <w:bottom w:w="100" w:type="dxa"/>
              <w:left w:w="100" w:type="dxa"/>
              <w:right w:w="100" w:type="dxa"/>
            </w:tcMar>
            <w:shd w:fill="1A365D"/>
          </w:tcPr>
          <w:p>
            <w:pPr>
              <w:spacing w:after="0"/>
              <w:jc w:val="center"/>
            </w:pPr>
            <w:r>
              <w:rPr>
                <w:b/>
                <w:color w:val="FFFFFF"/>
                <w:sz w:val="19"/>
              </w:rPr>
              <w:t>HIGH INFLUENCE</w:t>
            </w:r>
          </w:p>
        </w:tc>
        <w:tc>
          <w:tcPr>
            <w:tcW w:type="dxa" w:w="3600"/>
            <w:tcMar>
              <w:top w:w="100" w:type="dxa"/>
              <w:bottom w:w="100" w:type="dxa"/>
              <w:left w:w="100" w:type="dxa"/>
              <w:right w:w="100" w:type="dxa"/>
            </w:tcMar>
            <w:shd w:fill="EDF2F7"/>
          </w:tcPr>
          <w:p>
            <w:pPr>
              <w:spacing w:after="0"/>
            </w:pPr>
            <w:r>
              <w:rPr>
                <w:sz w:val="18"/>
              </w:rPr>
              <w:t>KEEP SATISFIED</w:t>
              <w:br/>
              <w:t>• IT Teams (Rajesh Singh, Laura Simkow, Ivan Walker)</w:t>
            </w:r>
          </w:p>
        </w:tc>
        <w:tc>
          <w:tcPr>
            <w:tcW w:type="dxa" w:w="3600"/>
            <w:tcMar>
              <w:top w:w="100" w:type="dxa"/>
              <w:bottom w:w="100" w:type="dxa"/>
              <w:left w:w="100" w:type="dxa"/>
              <w:right w:w="100" w:type="dxa"/>
            </w:tcMar>
            <w:shd w:fill="FFFFFF"/>
          </w:tcPr>
          <w:p>
            <w:pPr>
              <w:spacing w:after="0"/>
            </w:pPr>
            <w:r>
              <w:rPr>
                <w:sz w:val="18"/>
              </w:rPr>
              <w:t>KEY PLAYERS</w:t>
              <w:br/>
              <w:t>• Doctors/Nurses (Dr. Khan, Dr. Lee, Santa Murmu)</w:t>
              <w:br/>
              <w:t>• Admin Staff (Maria Carter, Jessica Gomes)</w:t>
              <w:br/>
              <w:t>• Hospital Leadership</w:t>
            </w:r>
          </w:p>
        </w:tc>
      </w:tr>
      <w:tr>
        <w:tc>
          <w:tcPr>
            <w:tcW w:type="dxa" w:w="2160"/>
            <w:tcMar>
              <w:top w:w="100" w:type="dxa"/>
              <w:bottom w:w="100" w:type="dxa"/>
              <w:left w:w="100" w:type="dxa"/>
              <w:right w:w="100" w:type="dxa"/>
            </w:tcMar>
            <w:shd w:fill="1A365D"/>
          </w:tcPr>
          <w:p>
            <w:pPr>
              <w:spacing w:after="0"/>
              <w:jc w:val="center"/>
            </w:pPr>
            <w:r>
              <w:rPr>
                <w:b/>
                <w:color w:val="FFFFFF"/>
                <w:sz w:val="19"/>
              </w:rPr>
              <w:t>LOW INFLUENCE</w:t>
            </w:r>
          </w:p>
        </w:tc>
        <w:tc>
          <w:tcPr>
            <w:tcW w:type="dxa" w:w="3600"/>
            <w:tcMar>
              <w:top w:w="100" w:type="dxa"/>
              <w:bottom w:w="100" w:type="dxa"/>
              <w:left w:w="100" w:type="dxa"/>
              <w:right w:w="100" w:type="dxa"/>
            </w:tcMar>
            <w:shd w:fill="FFFFFF"/>
          </w:tcPr>
          <w:p>
            <w:pPr>
              <w:spacing w:after="0"/>
            </w:pPr>
            <w:r>
              <w:rPr>
                <w:sz w:val="18"/>
              </w:rPr>
              <w:t>MONITOR</w:t>
              <w:br/>
              <w:t>• Support &amp; Maintenance Staff</w:t>
            </w:r>
          </w:p>
        </w:tc>
        <w:tc>
          <w:tcPr>
            <w:tcW w:type="dxa" w:w="3600"/>
            <w:tcMar>
              <w:top w:w="100" w:type="dxa"/>
              <w:bottom w:w="100" w:type="dxa"/>
              <w:left w:w="100" w:type="dxa"/>
              <w:right w:w="100" w:type="dxa"/>
            </w:tcMar>
            <w:shd w:fill="EDF2F7"/>
          </w:tcPr>
          <w:p>
            <w:pPr>
              <w:spacing w:after="0"/>
            </w:pPr>
            <w:r>
              <w:rPr>
                <w:sz w:val="18"/>
              </w:rPr>
              <w:t>KEEP INFORMED</w:t>
              <w:br/>
              <w:t>• Patients (Sarah Ayvazyan, Lak Ayer)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