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506D" w14:textId="77777777" w:rsidR="00E91313" w:rsidRDefault="00000000">
      <w:pPr>
        <w:spacing w:after="60"/>
        <w:jc w:val="center"/>
      </w:pPr>
      <w:r>
        <w:rPr>
          <w:b/>
          <w:bCs/>
          <w:color w:val="1F4E78"/>
          <w:sz w:val="40"/>
          <w:szCs w:val="40"/>
        </w:rPr>
        <w:t>RISK MANAGEMENT PLAN</w:t>
      </w:r>
    </w:p>
    <w:p w14:paraId="76D753AA" w14:textId="77777777" w:rsidR="00E91313" w:rsidRDefault="00000000">
      <w:pPr>
        <w:spacing w:after="60"/>
        <w:jc w:val="center"/>
      </w:pPr>
      <w:r>
        <w:rPr>
          <w:sz w:val="24"/>
          <w:szCs w:val="24"/>
        </w:rPr>
        <w:t>Risk Register, Risk Assessment Matrix &amp; SWOT Analysis</w:t>
      </w:r>
    </w:p>
    <w:p w14:paraId="3DB19A84" w14:textId="77777777" w:rsidR="00E91313" w:rsidRDefault="00000000">
      <w:pPr>
        <w:spacing w:after="300"/>
        <w:jc w:val="center"/>
      </w:pPr>
      <w:proofErr w:type="spellStart"/>
      <w:r>
        <w:rPr>
          <w:color w:val="666666"/>
          <w:sz w:val="22"/>
          <w:szCs w:val="22"/>
        </w:rPr>
        <w:t>HealthFirst</w:t>
      </w:r>
      <w:proofErr w:type="spellEnd"/>
      <w:r>
        <w:rPr>
          <w:color w:val="666666"/>
          <w:sz w:val="22"/>
          <w:szCs w:val="22"/>
        </w:rPr>
        <w:t xml:space="preserve"> Care Initiative: Patient Experience &amp; Operational Efficiency Overhaul</w:t>
      </w: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000"/>
      </w:tblGrid>
      <w:tr w:rsidR="00E91313" w14:paraId="55CB08DB" w14:textId="77777777">
        <w:tblPrEx>
          <w:tblCellMar>
            <w:top w:w="0" w:type="dxa"/>
            <w:bottom w:w="0" w:type="dxa"/>
          </w:tblCellMar>
        </w:tblPrEx>
        <w:tc>
          <w:tcPr>
            <w:tcW w:w="2400" w:type="dxa"/>
            <w:shd w:val="clear" w:color="auto" w:fill="F3F3F3"/>
            <w:vAlign w:val="center"/>
          </w:tcPr>
          <w:p w14:paraId="61819A3C" w14:textId="77777777" w:rsidR="00E91313" w:rsidRDefault="00000000">
            <w:r>
              <w:rPr>
                <w:b/>
                <w:bCs/>
                <w:sz w:val="18"/>
                <w:szCs w:val="18"/>
              </w:rPr>
              <w:t>Document Title:</w:t>
            </w:r>
          </w:p>
        </w:tc>
        <w:tc>
          <w:tcPr>
            <w:tcW w:w="11000" w:type="dxa"/>
            <w:vAlign w:val="center"/>
          </w:tcPr>
          <w:p w14:paraId="4406D94C" w14:textId="77777777" w:rsidR="00E91313" w:rsidRDefault="00000000">
            <w:r>
              <w:rPr>
                <w:sz w:val="18"/>
                <w:szCs w:val="18"/>
              </w:rPr>
              <w:t>Capstone_Project_M05L01_Risk_Register_SWOT.docx</w:t>
            </w:r>
          </w:p>
        </w:tc>
      </w:tr>
      <w:tr w:rsidR="00E91313" w14:paraId="1C2F55E5" w14:textId="77777777">
        <w:tblPrEx>
          <w:tblCellMar>
            <w:top w:w="0" w:type="dxa"/>
            <w:bottom w:w="0" w:type="dxa"/>
          </w:tblCellMar>
        </w:tblPrEx>
        <w:tc>
          <w:tcPr>
            <w:tcW w:w="2400" w:type="dxa"/>
            <w:shd w:val="clear" w:color="auto" w:fill="F3F3F3"/>
            <w:vAlign w:val="center"/>
          </w:tcPr>
          <w:p w14:paraId="691FA800" w14:textId="77777777" w:rsidR="00E91313" w:rsidRDefault="00000000">
            <w:r>
              <w:rPr>
                <w:b/>
                <w:bCs/>
                <w:sz w:val="18"/>
                <w:szCs w:val="18"/>
              </w:rPr>
              <w:t>Project Name:</w:t>
            </w:r>
          </w:p>
        </w:tc>
        <w:tc>
          <w:tcPr>
            <w:tcW w:w="11000" w:type="dxa"/>
            <w:vAlign w:val="center"/>
          </w:tcPr>
          <w:p w14:paraId="7E7CFE29" w14:textId="77777777" w:rsidR="00E91313" w:rsidRDefault="00000000">
            <w:proofErr w:type="spellStart"/>
            <w:r>
              <w:rPr>
                <w:sz w:val="18"/>
                <w:szCs w:val="18"/>
              </w:rPr>
              <w:t>HealthFirst</w:t>
            </w:r>
            <w:proofErr w:type="spellEnd"/>
            <w:r>
              <w:rPr>
                <w:sz w:val="18"/>
                <w:szCs w:val="18"/>
              </w:rPr>
              <w:t xml:space="preserve"> Care Initiative</w:t>
            </w:r>
          </w:p>
        </w:tc>
      </w:tr>
      <w:tr w:rsidR="00E91313" w14:paraId="3B0431B5" w14:textId="77777777">
        <w:tblPrEx>
          <w:tblCellMar>
            <w:top w:w="0" w:type="dxa"/>
            <w:bottom w:w="0" w:type="dxa"/>
          </w:tblCellMar>
        </w:tblPrEx>
        <w:tc>
          <w:tcPr>
            <w:tcW w:w="2400" w:type="dxa"/>
            <w:shd w:val="clear" w:color="auto" w:fill="F3F3F3"/>
            <w:vAlign w:val="center"/>
          </w:tcPr>
          <w:p w14:paraId="5EFEF45A" w14:textId="77777777" w:rsidR="00E91313" w:rsidRDefault="00000000">
            <w:r>
              <w:rPr>
                <w:b/>
                <w:bCs/>
                <w:sz w:val="18"/>
                <w:szCs w:val="18"/>
              </w:rPr>
              <w:t>Author / Analyst:</w:t>
            </w:r>
          </w:p>
        </w:tc>
        <w:tc>
          <w:tcPr>
            <w:tcW w:w="11000" w:type="dxa"/>
            <w:vAlign w:val="center"/>
          </w:tcPr>
          <w:p w14:paraId="75F10971" w14:textId="513298FA" w:rsidR="00E91313" w:rsidRDefault="00000000">
            <w:r>
              <w:rPr>
                <w:sz w:val="18"/>
                <w:szCs w:val="18"/>
              </w:rPr>
              <w:t xml:space="preserve">Pritam Kar </w:t>
            </w:r>
          </w:p>
        </w:tc>
      </w:tr>
      <w:tr w:rsidR="00E91313" w14:paraId="61CBCBDD" w14:textId="77777777">
        <w:tblPrEx>
          <w:tblCellMar>
            <w:top w:w="0" w:type="dxa"/>
            <w:bottom w:w="0" w:type="dxa"/>
          </w:tblCellMar>
        </w:tblPrEx>
        <w:tc>
          <w:tcPr>
            <w:tcW w:w="2400" w:type="dxa"/>
            <w:shd w:val="clear" w:color="auto" w:fill="F3F3F3"/>
            <w:vAlign w:val="center"/>
          </w:tcPr>
          <w:p w14:paraId="2AF3B7C2" w14:textId="2D9A3E13" w:rsidR="00E91313" w:rsidRDefault="00000000">
            <w:r>
              <w:rPr>
                <w:b/>
                <w:bCs/>
                <w:sz w:val="18"/>
                <w:szCs w:val="18"/>
              </w:rPr>
              <w:t xml:space="preserve">Date </w:t>
            </w:r>
          </w:p>
        </w:tc>
        <w:tc>
          <w:tcPr>
            <w:tcW w:w="11000" w:type="dxa"/>
            <w:vAlign w:val="center"/>
          </w:tcPr>
          <w:p w14:paraId="62DD607F" w14:textId="619900B6" w:rsidR="00E91313" w:rsidRDefault="00000000">
            <w:r>
              <w:rPr>
                <w:sz w:val="18"/>
                <w:szCs w:val="18"/>
              </w:rPr>
              <w:t xml:space="preserve">September 1, 2026 </w:t>
            </w:r>
          </w:p>
        </w:tc>
      </w:tr>
    </w:tbl>
    <w:p w14:paraId="6258D46B" w14:textId="77777777" w:rsidR="00E91313" w:rsidRDefault="00E91313">
      <w:pPr>
        <w:spacing w:after="200"/>
      </w:pPr>
    </w:p>
    <w:p w14:paraId="04DA05BC" w14:textId="77777777" w:rsidR="00E91313" w:rsidRDefault="00000000">
      <w:pPr>
        <w:pStyle w:val="Heading1"/>
        <w:spacing w:before="300" w:after="150"/>
      </w:pPr>
      <w:r>
        <w:rPr>
          <w:b/>
          <w:bCs/>
          <w:color w:val="1F4E78"/>
        </w:rPr>
        <w:t>Executive Summary</w:t>
      </w:r>
    </w:p>
    <w:p w14:paraId="3B1AB040" w14:textId="77777777" w:rsidR="00E91313" w:rsidRDefault="00000000">
      <w:pPr>
        <w:spacing w:after="150"/>
      </w:pPr>
      <w:r>
        <w:t xml:space="preserve">This Risk Management Plan documents the systematic identification, assessment, and mitigation of risks facing the </w:t>
      </w:r>
      <w:proofErr w:type="spellStart"/>
      <w:r>
        <w:t>HealthFirst</w:t>
      </w:r>
      <w:proofErr w:type="spellEnd"/>
      <w:r>
        <w:t xml:space="preserve"> Care Initiative, building on the findings of the Business Requirements Document (BRD), Requirements Traceability Matrix (RTM), Stakeholder Analysis, and As-Is/To-Be Process Models. Fifteen risks were identified across three categories — Operational, Technical, and Stakeholder — and each was scored for likelihood and impact to produce a prioritized Risk Register and a 3x3 Risk Assessment Matrix. A SWOT analysis closes out the plan with a strategic view of the initiative's strengths, weaknesses, opportunities, and threats.</w:t>
      </w:r>
    </w:p>
    <w:p w14:paraId="09E84E83" w14:textId="77777777" w:rsidR="00E91313" w:rsidRDefault="00000000">
      <w:pPr>
        <w:pStyle w:val="Heading1"/>
        <w:spacing w:before="300" w:after="150"/>
      </w:pPr>
      <w:r>
        <w:rPr>
          <w:b/>
          <w:bCs/>
          <w:color w:val="1F4E78"/>
        </w:rPr>
        <w:t>Task 1 &amp; 2: Risk Register and Risk Assessment</w:t>
      </w:r>
    </w:p>
    <w:p w14:paraId="3018A11A" w14:textId="77777777" w:rsidR="00E91313" w:rsidRDefault="00000000">
      <w:pPr>
        <w:spacing w:after="150"/>
      </w:pPr>
      <w:r>
        <w:t>Risks were identified from patient workflow analysis, resource allocation data, and stakeholder feedback trends gathered in earlier capstone modules, then categorized as Operational (workflow disruptions, staff resistance), Technical (data breaches, system downtime, integration failures), or Stakeholder (poor adoption, misaligned expectations). Each risk was scored on a 3-point Likelihood x Impact scale (Low = 1, Medium = 2, High = 3); the resulting product determines severity — High (6-9, immediate attention), Medium (3-4, monitor and manage), or Low (1-2, regular review).</w:t>
      </w: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1600"/>
        <w:gridCol w:w="1100"/>
        <w:gridCol w:w="1100"/>
        <w:gridCol w:w="1000"/>
        <w:gridCol w:w="1100"/>
        <w:gridCol w:w="3300"/>
      </w:tblGrid>
      <w:tr w:rsidR="00E91313" w14:paraId="54B2658B" w14:textId="77777777">
        <w:tblPrEx>
          <w:tblCellMar>
            <w:top w:w="0" w:type="dxa"/>
            <w:bottom w:w="0" w:type="dxa"/>
          </w:tblCellMar>
        </w:tblPrEx>
        <w:trPr>
          <w:tblHeader/>
        </w:trPr>
        <w:tc>
          <w:tcPr>
            <w:tcW w:w="900" w:type="dxa"/>
            <w:shd w:val="clear" w:color="auto" w:fill="1F4E78"/>
            <w:vAlign w:val="center"/>
          </w:tcPr>
          <w:p w14:paraId="3BE92E0C" w14:textId="77777777" w:rsidR="00E91313" w:rsidRDefault="00000000">
            <w:pPr>
              <w:jc w:val="center"/>
            </w:pPr>
            <w:r>
              <w:rPr>
                <w:b/>
                <w:bCs/>
                <w:color w:val="FFFFFF"/>
                <w:sz w:val="19"/>
                <w:szCs w:val="19"/>
              </w:rPr>
              <w:t>Risk ID</w:t>
            </w:r>
          </w:p>
        </w:tc>
        <w:tc>
          <w:tcPr>
            <w:tcW w:w="3300" w:type="dxa"/>
            <w:shd w:val="clear" w:color="auto" w:fill="1F4E78"/>
            <w:vAlign w:val="center"/>
          </w:tcPr>
          <w:p w14:paraId="7B9866C3" w14:textId="77777777" w:rsidR="00E91313" w:rsidRDefault="00000000">
            <w:pPr>
              <w:jc w:val="center"/>
            </w:pPr>
            <w:r>
              <w:rPr>
                <w:b/>
                <w:bCs/>
                <w:color w:val="FFFFFF"/>
                <w:sz w:val="19"/>
                <w:szCs w:val="19"/>
              </w:rPr>
              <w:t>Risk Description</w:t>
            </w:r>
          </w:p>
        </w:tc>
        <w:tc>
          <w:tcPr>
            <w:tcW w:w="1600" w:type="dxa"/>
            <w:shd w:val="clear" w:color="auto" w:fill="1F4E78"/>
            <w:vAlign w:val="center"/>
          </w:tcPr>
          <w:p w14:paraId="20AB2FF7" w14:textId="77777777" w:rsidR="00E91313" w:rsidRDefault="00000000">
            <w:pPr>
              <w:jc w:val="center"/>
            </w:pPr>
            <w:r>
              <w:rPr>
                <w:b/>
                <w:bCs/>
                <w:color w:val="FFFFFF"/>
                <w:sz w:val="19"/>
                <w:szCs w:val="19"/>
              </w:rPr>
              <w:t>Category</w:t>
            </w:r>
          </w:p>
        </w:tc>
        <w:tc>
          <w:tcPr>
            <w:tcW w:w="1100" w:type="dxa"/>
            <w:shd w:val="clear" w:color="auto" w:fill="1F4E78"/>
            <w:vAlign w:val="center"/>
          </w:tcPr>
          <w:p w14:paraId="625BEA93" w14:textId="77777777" w:rsidR="00E91313" w:rsidRDefault="00000000">
            <w:pPr>
              <w:jc w:val="center"/>
            </w:pPr>
            <w:r>
              <w:rPr>
                <w:b/>
                <w:bCs/>
                <w:color w:val="FFFFFF"/>
                <w:sz w:val="19"/>
                <w:szCs w:val="19"/>
              </w:rPr>
              <w:t>Likelihood</w:t>
            </w:r>
          </w:p>
        </w:tc>
        <w:tc>
          <w:tcPr>
            <w:tcW w:w="1100" w:type="dxa"/>
            <w:shd w:val="clear" w:color="auto" w:fill="1F4E78"/>
            <w:vAlign w:val="center"/>
          </w:tcPr>
          <w:p w14:paraId="7B42ED0E" w14:textId="77777777" w:rsidR="00E91313" w:rsidRDefault="00000000">
            <w:pPr>
              <w:jc w:val="center"/>
            </w:pPr>
            <w:r>
              <w:rPr>
                <w:b/>
                <w:bCs/>
                <w:color w:val="FFFFFF"/>
                <w:sz w:val="19"/>
                <w:szCs w:val="19"/>
              </w:rPr>
              <w:t>Impact</w:t>
            </w:r>
          </w:p>
        </w:tc>
        <w:tc>
          <w:tcPr>
            <w:tcW w:w="1000" w:type="dxa"/>
            <w:shd w:val="clear" w:color="auto" w:fill="1F4E78"/>
            <w:vAlign w:val="center"/>
          </w:tcPr>
          <w:p w14:paraId="518D2241" w14:textId="77777777" w:rsidR="00E91313" w:rsidRDefault="00000000">
            <w:pPr>
              <w:jc w:val="center"/>
            </w:pPr>
            <w:r>
              <w:rPr>
                <w:b/>
                <w:bCs/>
                <w:color w:val="FFFFFF"/>
                <w:sz w:val="19"/>
                <w:szCs w:val="19"/>
              </w:rPr>
              <w:t>Score</w:t>
            </w:r>
          </w:p>
        </w:tc>
        <w:tc>
          <w:tcPr>
            <w:tcW w:w="1100" w:type="dxa"/>
            <w:shd w:val="clear" w:color="auto" w:fill="1F4E78"/>
            <w:vAlign w:val="center"/>
          </w:tcPr>
          <w:p w14:paraId="2E67EE4F" w14:textId="77777777" w:rsidR="00E91313" w:rsidRDefault="00000000">
            <w:pPr>
              <w:jc w:val="center"/>
            </w:pPr>
            <w:r>
              <w:rPr>
                <w:b/>
                <w:bCs/>
                <w:color w:val="FFFFFF"/>
                <w:sz w:val="19"/>
                <w:szCs w:val="19"/>
              </w:rPr>
              <w:t>Severity</w:t>
            </w:r>
          </w:p>
        </w:tc>
        <w:tc>
          <w:tcPr>
            <w:tcW w:w="3300" w:type="dxa"/>
            <w:shd w:val="clear" w:color="auto" w:fill="1F4E78"/>
            <w:vAlign w:val="center"/>
          </w:tcPr>
          <w:p w14:paraId="642E063E" w14:textId="77777777" w:rsidR="00E91313" w:rsidRDefault="00000000">
            <w:pPr>
              <w:jc w:val="center"/>
            </w:pPr>
            <w:r>
              <w:rPr>
                <w:b/>
                <w:bCs/>
                <w:color w:val="FFFFFF"/>
                <w:sz w:val="19"/>
                <w:szCs w:val="19"/>
              </w:rPr>
              <w:t>Mitigation Strategy</w:t>
            </w:r>
          </w:p>
        </w:tc>
      </w:tr>
      <w:tr w:rsidR="00E91313" w14:paraId="4AA33DDE" w14:textId="77777777">
        <w:tblPrEx>
          <w:tblCellMar>
            <w:top w:w="0" w:type="dxa"/>
            <w:bottom w:w="0" w:type="dxa"/>
          </w:tblCellMar>
        </w:tblPrEx>
        <w:tc>
          <w:tcPr>
            <w:tcW w:w="900" w:type="dxa"/>
            <w:vAlign w:val="center"/>
          </w:tcPr>
          <w:p w14:paraId="5AEE6A59" w14:textId="77777777" w:rsidR="00E91313" w:rsidRDefault="00000000">
            <w:pPr>
              <w:jc w:val="center"/>
            </w:pPr>
            <w:r>
              <w:rPr>
                <w:b/>
                <w:bCs/>
                <w:sz w:val="18"/>
                <w:szCs w:val="18"/>
              </w:rPr>
              <w:t>OP-01</w:t>
            </w:r>
          </w:p>
        </w:tc>
        <w:tc>
          <w:tcPr>
            <w:tcW w:w="3300" w:type="dxa"/>
            <w:vAlign w:val="center"/>
          </w:tcPr>
          <w:p w14:paraId="0772C4E8" w14:textId="77777777" w:rsidR="00E91313" w:rsidRDefault="00000000">
            <w:r>
              <w:rPr>
                <w:sz w:val="18"/>
                <w:szCs w:val="18"/>
              </w:rPr>
              <w:t>Administrative schedulers resist adopting the automated conflict-prevention engine, continuing manual workarounds that reintroduce double-booking risk.</w:t>
            </w:r>
          </w:p>
        </w:tc>
        <w:tc>
          <w:tcPr>
            <w:tcW w:w="1600" w:type="dxa"/>
            <w:vAlign w:val="center"/>
          </w:tcPr>
          <w:p w14:paraId="58F8B353" w14:textId="77777777" w:rsidR="00E91313" w:rsidRDefault="00000000">
            <w:pPr>
              <w:jc w:val="center"/>
            </w:pPr>
            <w:r>
              <w:rPr>
                <w:sz w:val="18"/>
                <w:szCs w:val="18"/>
              </w:rPr>
              <w:t>Operational</w:t>
            </w:r>
          </w:p>
        </w:tc>
        <w:tc>
          <w:tcPr>
            <w:tcW w:w="1100" w:type="dxa"/>
            <w:vAlign w:val="center"/>
          </w:tcPr>
          <w:p w14:paraId="58045616" w14:textId="77777777" w:rsidR="00E91313" w:rsidRDefault="00000000">
            <w:pPr>
              <w:jc w:val="center"/>
            </w:pPr>
            <w:r>
              <w:rPr>
                <w:sz w:val="18"/>
                <w:szCs w:val="18"/>
              </w:rPr>
              <w:t>Medium</w:t>
            </w:r>
          </w:p>
        </w:tc>
        <w:tc>
          <w:tcPr>
            <w:tcW w:w="1100" w:type="dxa"/>
            <w:vAlign w:val="center"/>
          </w:tcPr>
          <w:p w14:paraId="39676927" w14:textId="77777777" w:rsidR="00E91313" w:rsidRDefault="00000000">
            <w:pPr>
              <w:jc w:val="center"/>
            </w:pPr>
            <w:r>
              <w:rPr>
                <w:sz w:val="18"/>
                <w:szCs w:val="18"/>
              </w:rPr>
              <w:t>High</w:t>
            </w:r>
          </w:p>
        </w:tc>
        <w:tc>
          <w:tcPr>
            <w:tcW w:w="1000" w:type="dxa"/>
            <w:shd w:val="clear" w:color="auto" w:fill="F4CCCC"/>
            <w:vAlign w:val="center"/>
          </w:tcPr>
          <w:p w14:paraId="4F39CADE" w14:textId="77777777" w:rsidR="00E91313" w:rsidRDefault="00000000">
            <w:pPr>
              <w:jc w:val="center"/>
            </w:pPr>
            <w:r>
              <w:rPr>
                <w:sz w:val="18"/>
                <w:szCs w:val="18"/>
              </w:rPr>
              <w:t>6</w:t>
            </w:r>
          </w:p>
        </w:tc>
        <w:tc>
          <w:tcPr>
            <w:tcW w:w="1100" w:type="dxa"/>
            <w:shd w:val="clear" w:color="auto" w:fill="F4CCCC"/>
            <w:vAlign w:val="center"/>
          </w:tcPr>
          <w:p w14:paraId="77288E59" w14:textId="77777777" w:rsidR="00E91313" w:rsidRDefault="00000000">
            <w:pPr>
              <w:jc w:val="center"/>
            </w:pPr>
            <w:r>
              <w:rPr>
                <w:b/>
                <w:bCs/>
                <w:sz w:val="18"/>
                <w:szCs w:val="18"/>
              </w:rPr>
              <w:t>High</w:t>
            </w:r>
          </w:p>
        </w:tc>
        <w:tc>
          <w:tcPr>
            <w:tcW w:w="3300" w:type="dxa"/>
            <w:vAlign w:val="center"/>
          </w:tcPr>
          <w:p w14:paraId="69E9D528" w14:textId="77777777" w:rsidR="00E91313" w:rsidRDefault="00000000">
            <w:r>
              <w:rPr>
                <w:sz w:val="18"/>
                <w:szCs w:val="18"/>
              </w:rPr>
              <w:t>Phased rollout with a parallel-run period; structured change-management plan with weekly hands-on training sessions for schedulers.</w:t>
            </w:r>
          </w:p>
        </w:tc>
      </w:tr>
      <w:tr w:rsidR="00E91313" w14:paraId="5A35AFA6" w14:textId="77777777">
        <w:tblPrEx>
          <w:tblCellMar>
            <w:top w:w="0" w:type="dxa"/>
            <w:bottom w:w="0" w:type="dxa"/>
          </w:tblCellMar>
        </w:tblPrEx>
        <w:tc>
          <w:tcPr>
            <w:tcW w:w="900" w:type="dxa"/>
            <w:vAlign w:val="center"/>
          </w:tcPr>
          <w:p w14:paraId="73893B6C" w14:textId="77777777" w:rsidR="00E91313" w:rsidRDefault="00000000">
            <w:pPr>
              <w:jc w:val="center"/>
            </w:pPr>
            <w:r>
              <w:rPr>
                <w:b/>
                <w:bCs/>
                <w:sz w:val="18"/>
                <w:szCs w:val="18"/>
              </w:rPr>
              <w:t>OP-02</w:t>
            </w:r>
          </w:p>
        </w:tc>
        <w:tc>
          <w:tcPr>
            <w:tcW w:w="3300" w:type="dxa"/>
            <w:vAlign w:val="center"/>
          </w:tcPr>
          <w:p w14:paraId="72B98CE7" w14:textId="77777777" w:rsidR="00E91313" w:rsidRDefault="00000000">
            <w:r>
              <w:rPr>
                <w:sz w:val="18"/>
                <w:szCs w:val="18"/>
              </w:rPr>
              <w:t>Mandatory staff training on kiosks and the new scheduling platform is incomplete before go-live, causing usage errors at launch.</w:t>
            </w:r>
          </w:p>
        </w:tc>
        <w:tc>
          <w:tcPr>
            <w:tcW w:w="1600" w:type="dxa"/>
            <w:vAlign w:val="center"/>
          </w:tcPr>
          <w:p w14:paraId="535F5EB2" w14:textId="77777777" w:rsidR="00E91313" w:rsidRDefault="00000000">
            <w:pPr>
              <w:jc w:val="center"/>
            </w:pPr>
            <w:r>
              <w:rPr>
                <w:sz w:val="18"/>
                <w:szCs w:val="18"/>
              </w:rPr>
              <w:t>Operational</w:t>
            </w:r>
          </w:p>
        </w:tc>
        <w:tc>
          <w:tcPr>
            <w:tcW w:w="1100" w:type="dxa"/>
            <w:vAlign w:val="center"/>
          </w:tcPr>
          <w:p w14:paraId="0CC0B858" w14:textId="77777777" w:rsidR="00E91313" w:rsidRDefault="00000000">
            <w:pPr>
              <w:jc w:val="center"/>
            </w:pPr>
            <w:r>
              <w:rPr>
                <w:sz w:val="18"/>
                <w:szCs w:val="18"/>
              </w:rPr>
              <w:t>Medium</w:t>
            </w:r>
          </w:p>
        </w:tc>
        <w:tc>
          <w:tcPr>
            <w:tcW w:w="1100" w:type="dxa"/>
            <w:vAlign w:val="center"/>
          </w:tcPr>
          <w:p w14:paraId="586CCE1A" w14:textId="77777777" w:rsidR="00E91313" w:rsidRDefault="00000000">
            <w:pPr>
              <w:jc w:val="center"/>
            </w:pPr>
            <w:r>
              <w:rPr>
                <w:sz w:val="18"/>
                <w:szCs w:val="18"/>
              </w:rPr>
              <w:t>Medium</w:t>
            </w:r>
          </w:p>
        </w:tc>
        <w:tc>
          <w:tcPr>
            <w:tcW w:w="1000" w:type="dxa"/>
            <w:shd w:val="clear" w:color="auto" w:fill="FFF2CC"/>
            <w:vAlign w:val="center"/>
          </w:tcPr>
          <w:p w14:paraId="612B95E2" w14:textId="77777777" w:rsidR="00E91313" w:rsidRDefault="00000000">
            <w:pPr>
              <w:jc w:val="center"/>
            </w:pPr>
            <w:r>
              <w:rPr>
                <w:sz w:val="18"/>
                <w:szCs w:val="18"/>
              </w:rPr>
              <w:t>4</w:t>
            </w:r>
          </w:p>
        </w:tc>
        <w:tc>
          <w:tcPr>
            <w:tcW w:w="1100" w:type="dxa"/>
            <w:shd w:val="clear" w:color="auto" w:fill="FFF2CC"/>
            <w:vAlign w:val="center"/>
          </w:tcPr>
          <w:p w14:paraId="6021E228" w14:textId="77777777" w:rsidR="00E91313" w:rsidRDefault="00000000">
            <w:pPr>
              <w:jc w:val="center"/>
            </w:pPr>
            <w:r>
              <w:rPr>
                <w:b/>
                <w:bCs/>
                <w:sz w:val="18"/>
                <w:szCs w:val="18"/>
              </w:rPr>
              <w:t>Medium</w:t>
            </w:r>
          </w:p>
        </w:tc>
        <w:tc>
          <w:tcPr>
            <w:tcW w:w="3300" w:type="dxa"/>
            <w:vAlign w:val="center"/>
          </w:tcPr>
          <w:p w14:paraId="0EEDF752" w14:textId="77777777" w:rsidR="00E91313" w:rsidRDefault="00000000">
            <w:r>
              <w:rPr>
                <w:sz w:val="18"/>
                <w:szCs w:val="18"/>
              </w:rPr>
              <w:t>Require training certification checkpoints prior to rollout; staff a dedicated super-user support desk for the first two weeks post-launch.</w:t>
            </w:r>
          </w:p>
        </w:tc>
      </w:tr>
      <w:tr w:rsidR="00E91313" w14:paraId="493D2369" w14:textId="77777777">
        <w:tblPrEx>
          <w:tblCellMar>
            <w:top w:w="0" w:type="dxa"/>
            <w:bottom w:w="0" w:type="dxa"/>
          </w:tblCellMar>
        </w:tblPrEx>
        <w:tc>
          <w:tcPr>
            <w:tcW w:w="900" w:type="dxa"/>
            <w:vAlign w:val="center"/>
          </w:tcPr>
          <w:p w14:paraId="58A0493F" w14:textId="77777777" w:rsidR="00E91313" w:rsidRDefault="00000000">
            <w:pPr>
              <w:jc w:val="center"/>
            </w:pPr>
            <w:r>
              <w:rPr>
                <w:b/>
                <w:bCs/>
                <w:sz w:val="18"/>
                <w:szCs w:val="18"/>
              </w:rPr>
              <w:t>OP-03</w:t>
            </w:r>
          </w:p>
        </w:tc>
        <w:tc>
          <w:tcPr>
            <w:tcW w:w="3300" w:type="dxa"/>
            <w:vAlign w:val="center"/>
          </w:tcPr>
          <w:p w14:paraId="1826DCD7" w14:textId="77777777" w:rsidR="00E91313" w:rsidRDefault="00000000">
            <w:r>
              <w:rPr>
                <w:sz w:val="18"/>
                <w:szCs w:val="18"/>
              </w:rPr>
              <w:t>Billing-issue resolution at discharge has no defined turnaround time, so the Admin/Billing bottleneck persists after automation.</w:t>
            </w:r>
          </w:p>
        </w:tc>
        <w:tc>
          <w:tcPr>
            <w:tcW w:w="1600" w:type="dxa"/>
            <w:vAlign w:val="center"/>
          </w:tcPr>
          <w:p w14:paraId="25F2ED9D" w14:textId="77777777" w:rsidR="00E91313" w:rsidRDefault="00000000">
            <w:pPr>
              <w:jc w:val="center"/>
            </w:pPr>
            <w:r>
              <w:rPr>
                <w:sz w:val="18"/>
                <w:szCs w:val="18"/>
              </w:rPr>
              <w:t>Operational</w:t>
            </w:r>
          </w:p>
        </w:tc>
        <w:tc>
          <w:tcPr>
            <w:tcW w:w="1100" w:type="dxa"/>
            <w:vAlign w:val="center"/>
          </w:tcPr>
          <w:p w14:paraId="73925AC7" w14:textId="77777777" w:rsidR="00E91313" w:rsidRDefault="00000000">
            <w:pPr>
              <w:jc w:val="center"/>
            </w:pPr>
            <w:r>
              <w:rPr>
                <w:sz w:val="18"/>
                <w:szCs w:val="18"/>
              </w:rPr>
              <w:t>High</w:t>
            </w:r>
          </w:p>
        </w:tc>
        <w:tc>
          <w:tcPr>
            <w:tcW w:w="1100" w:type="dxa"/>
            <w:vAlign w:val="center"/>
          </w:tcPr>
          <w:p w14:paraId="50B16DB7" w14:textId="77777777" w:rsidR="00E91313" w:rsidRDefault="00000000">
            <w:pPr>
              <w:jc w:val="center"/>
            </w:pPr>
            <w:r>
              <w:rPr>
                <w:sz w:val="18"/>
                <w:szCs w:val="18"/>
              </w:rPr>
              <w:t>Medium</w:t>
            </w:r>
          </w:p>
        </w:tc>
        <w:tc>
          <w:tcPr>
            <w:tcW w:w="1000" w:type="dxa"/>
            <w:shd w:val="clear" w:color="auto" w:fill="F4CCCC"/>
            <w:vAlign w:val="center"/>
          </w:tcPr>
          <w:p w14:paraId="41CAF533" w14:textId="77777777" w:rsidR="00E91313" w:rsidRDefault="00000000">
            <w:pPr>
              <w:jc w:val="center"/>
            </w:pPr>
            <w:r>
              <w:rPr>
                <w:sz w:val="18"/>
                <w:szCs w:val="18"/>
              </w:rPr>
              <w:t>6</w:t>
            </w:r>
          </w:p>
        </w:tc>
        <w:tc>
          <w:tcPr>
            <w:tcW w:w="1100" w:type="dxa"/>
            <w:shd w:val="clear" w:color="auto" w:fill="F4CCCC"/>
            <w:vAlign w:val="center"/>
          </w:tcPr>
          <w:p w14:paraId="222D78B3" w14:textId="77777777" w:rsidR="00E91313" w:rsidRDefault="00000000">
            <w:pPr>
              <w:jc w:val="center"/>
            </w:pPr>
            <w:r>
              <w:rPr>
                <w:b/>
                <w:bCs/>
                <w:sz w:val="18"/>
                <w:szCs w:val="18"/>
              </w:rPr>
              <w:t>High</w:t>
            </w:r>
          </w:p>
        </w:tc>
        <w:tc>
          <w:tcPr>
            <w:tcW w:w="3300" w:type="dxa"/>
            <w:vAlign w:val="center"/>
          </w:tcPr>
          <w:p w14:paraId="457C3655" w14:textId="77777777" w:rsidR="00E91313" w:rsidRDefault="00000000">
            <w:r>
              <w:rPr>
                <w:sz w:val="18"/>
                <w:szCs w:val="18"/>
              </w:rPr>
              <w:t>Define a service-level target (e.g., 2-hour resolution) for billing exceptions with automatic escalation to a billing supervisor when breached.</w:t>
            </w:r>
          </w:p>
        </w:tc>
      </w:tr>
      <w:tr w:rsidR="00E91313" w14:paraId="7B4CD358" w14:textId="77777777">
        <w:tblPrEx>
          <w:tblCellMar>
            <w:top w:w="0" w:type="dxa"/>
            <w:bottom w:w="0" w:type="dxa"/>
          </w:tblCellMar>
        </w:tblPrEx>
        <w:tc>
          <w:tcPr>
            <w:tcW w:w="900" w:type="dxa"/>
            <w:vAlign w:val="center"/>
          </w:tcPr>
          <w:p w14:paraId="49844664" w14:textId="77777777" w:rsidR="00E91313" w:rsidRDefault="00000000">
            <w:pPr>
              <w:jc w:val="center"/>
            </w:pPr>
            <w:r>
              <w:rPr>
                <w:b/>
                <w:bCs/>
                <w:sz w:val="18"/>
                <w:szCs w:val="18"/>
              </w:rPr>
              <w:t>OP-04</w:t>
            </w:r>
          </w:p>
        </w:tc>
        <w:tc>
          <w:tcPr>
            <w:tcW w:w="3300" w:type="dxa"/>
            <w:vAlign w:val="center"/>
          </w:tcPr>
          <w:p w14:paraId="728D3C99" w14:textId="77777777" w:rsidR="00E91313" w:rsidRDefault="00000000">
            <w:r>
              <w:rPr>
                <w:sz w:val="18"/>
                <w:szCs w:val="18"/>
              </w:rPr>
              <w:t>Peak-hour congestion (Monday/weekend, 4-6 PM window) continues even after booking automation, since the root cause is staffing capacity, not scheduling conflicts alone.</w:t>
            </w:r>
          </w:p>
        </w:tc>
        <w:tc>
          <w:tcPr>
            <w:tcW w:w="1600" w:type="dxa"/>
            <w:vAlign w:val="center"/>
          </w:tcPr>
          <w:p w14:paraId="2F5AA45B" w14:textId="77777777" w:rsidR="00E91313" w:rsidRDefault="00000000">
            <w:pPr>
              <w:jc w:val="center"/>
            </w:pPr>
            <w:r>
              <w:rPr>
                <w:sz w:val="18"/>
                <w:szCs w:val="18"/>
              </w:rPr>
              <w:t>Operational</w:t>
            </w:r>
          </w:p>
        </w:tc>
        <w:tc>
          <w:tcPr>
            <w:tcW w:w="1100" w:type="dxa"/>
            <w:vAlign w:val="center"/>
          </w:tcPr>
          <w:p w14:paraId="43600AC1" w14:textId="77777777" w:rsidR="00E91313" w:rsidRDefault="00000000">
            <w:pPr>
              <w:jc w:val="center"/>
            </w:pPr>
            <w:r>
              <w:rPr>
                <w:sz w:val="18"/>
                <w:szCs w:val="18"/>
              </w:rPr>
              <w:t>High</w:t>
            </w:r>
          </w:p>
        </w:tc>
        <w:tc>
          <w:tcPr>
            <w:tcW w:w="1100" w:type="dxa"/>
            <w:vAlign w:val="center"/>
          </w:tcPr>
          <w:p w14:paraId="568963D5" w14:textId="77777777" w:rsidR="00E91313" w:rsidRDefault="00000000">
            <w:pPr>
              <w:jc w:val="center"/>
            </w:pPr>
            <w:r>
              <w:rPr>
                <w:sz w:val="18"/>
                <w:szCs w:val="18"/>
              </w:rPr>
              <w:t>High</w:t>
            </w:r>
          </w:p>
        </w:tc>
        <w:tc>
          <w:tcPr>
            <w:tcW w:w="1000" w:type="dxa"/>
            <w:shd w:val="clear" w:color="auto" w:fill="F4CCCC"/>
            <w:vAlign w:val="center"/>
          </w:tcPr>
          <w:p w14:paraId="6FC7B46C" w14:textId="77777777" w:rsidR="00E91313" w:rsidRDefault="00000000">
            <w:pPr>
              <w:jc w:val="center"/>
            </w:pPr>
            <w:r>
              <w:rPr>
                <w:sz w:val="18"/>
                <w:szCs w:val="18"/>
              </w:rPr>
              <w:t>9</w:t>
            </w:r>
          </w:p>
        </w:tc>
        <w:tc>
          <w:tcPr>
            <w:tcW w:w="1100" w:type="dxa"/>
            <w:shd w:val="clear" w:color="auto" w:fill="F4CCCC"/>
            <w:vAlign w:val="center"/>
          </w:tcPr>
          <w:p w14:paraId="5B618F77" w14:textId="77777777" w:rsidR="00E91313" w:rsidRDefault="00000000">
            <w:pPr>
              <w:jc w:val="center"/>
            </w:pPr>
            <w:r>
              <w:rPr>
                <w:b/>
                <w:bCs/>
                <w:sz w:val="18"/>
                <w:szCs w:val="18"/>
              </w:rPr>
              <w:t>High</w:t>
            </w:r>
          </w:p>
        </w:tc>
        <w:tc>
          <w:tcPr>
            <w:tcW w:w="3300" w:type="dxa"/>
            <w:vAlign w:val="center"/>
          </w:tcPr>
          <w:p w14:paraId="48C9A85D" w14:textId="77777777" w:rsidR="00E91313" w:rsidRDefault="00000000">
            <w:r>
              <w:rPr>
                <w:sz w:val="18"/>
                <w:szCs w:val="18"/>
              </w:rPr>
              <w:t>Rebalance staffing schedules toward Monday, weekend, and 4-6 PM shifts using the appointment volume trends already identified; add temporary float staff during peak windows.</w:t>
            </w:r>
          </w:p>
        </w:tc>
      </w:tr>
      <w:tr w:rsidR="00E91313" w14:paraId="5CC6BBA8" w14:textId="77777777">
        <w:tblPrEx>
          <w:tblCellMar>
            <w:top w:w="0" w:type="dxa"/>
            <w:bottom w:w="0" w:type="dxa"/>
          </w:tblCellMar>
        </w:tblPrEx>
        <w:tc>
          <w:tcPr>
            <w:tcW w:w="900" w:type="dxa"/>
            <w:vAlign w:val="center"/>
          </w:tcPr>
          <w:p w14:paraId="4D54D5D2" w14:textId="77777777" w:rsidR="00E91313" w:rsidRDefault="00000000">
            <w:pPr>
              <w:jc w:val="center"/>
            </w:pPr>
            <w:r>
              <w:rPr>
                <w:b/>
                <w:bCs/>
                <w:sz w:val="18"/>
                <w:szCs w:val="18"/>
              </w:rPr>
              <w:lastRenderedPageBreak/>
              <w:t>OP-05</w:t>
            </w:r>
          </w:p>
        </w:tc>
        <w:tc>
          <w:tcPr>
            <w:tcW w:w="3300" w:type="dxa"/>
            <w:vAlign w:val="center"/>
          </w:tcPr>
          <w:p w14:paraId="4A9BC70F" w14:textId="77777777" w:rsidR="00E91313" w:rsidRDefault="00000000">
            <w:r>
              <w:rPr>
                <w:sz w:val="18"/>
                <w:szCs w:val="18"/>
              </w:rPr>
              <w:t>Severe workload imbalance (</w:t>
            </w:r>
            <w:proofErr w:type="spellStart"/>
            <w:r>
              <w:rPr>
                <w:sz w:val="18"/>
                <w:szCs w:val="18"/>
              </w:rPr>
              <w:t>Orthopedics</w:t>
            </w:r>
            <w:proofErr w:type="spellEnd"/>
            <w:r>
              <w:rPr>
                <w:sz w:val="18"/>
                <w:szCs w:val="18"/>
              </w:rPr>
              <w:t xml:space="preserve"> doctors averaging 7.86 usage hrs/day) is not resolved by scheduling automation alone, risking clinician burnout.</w:t>
            </w:r>
          </w:p>
        </w:tc>
        <w:tc>
          <w:tcPr>
            <w:tcW w:w="1600" w:type="dxa"/>
            <w:vAlign w:val="center"/>
          </w:tcPr>
          <w:p w14:paraId="55306842" w14:textId="77777777" w:rsidR="00E91313" w:rsidRDefault="00000000">
            <w:pPr>
              <w:jc w:val="center"/>
            </w:pPr>
            <w:r>
              <w:rPr>
                <w:sz w:val="18"/>
                <w:szCs w:val="18"/>
              </w:rPr>
              <w:t>Operational</w:t>
            </w:r>
          </w:p>
        </w:tc>
        <w:tc>
          <w:tcPr>
            <w:tcW w:w="1100" w:type="dxa"/>
            <w:vAlign w:val="center"/>
          </w:tcPr>
          <w:p w14:paraId="3D1C95B3" w14:textId="77777777" w:rsidR="00E91313" w:rsidRDefault="00000000">
            <w:pPr>
              <w:jc w:val="center"/>
            </w:pPr>
            <w:r>
              <w:rPr>
                <w:sz w:val="18"/>
                <w:szCs w:val="18"/>
              </w:rPr>
              <w:t>Medium</w:t>
            </w:r>
          </w:p>
        </w:tc>
        <w:tc>
          <w:tcPr>
            <w:tcW w:w="1100" w:type="dxa"/>
            <w:vAlign w:val="center"/>
          </w:tcPr>
          <w:p w14:paraId="0CA7D92F" w14:textId="77777777" w:rsidR="00E91313" w:rsidRDefault="00000000">
            <w:pPr>
              <w:jc w:val="center"/>
            </w:pPr>
            <w:r>
              <w:rPr>
                <w:sz w:val="18"/>
                <w:szCs w:val="18"/>
              </w:rPr>
              <w:t>High</w:t>
            </w:r>
          </w:p>
        </w:tc>
        <w:tc>
          <w:tcPr>
            <w:tcW w:w="1000" w:type="dxa"/>
            <w:shd w:val="clear" w:color="auto" w:fill="F4CCCC"/>
            <w:vAlign w:val="center"/>
          </w:tcPr>
          <w:p w14:paraId="1E439BCB" w14:textId="77777777" w:rsidR="00E91313" w:rsidRDefault="00000000">
            <w:pPr>
              <w:jc w:val="center"/>
            </w:pPr>
            <w:r>
              <w:rPr>
                <w:sz w:val="18"/>
                <w:szCs w:val="18"/>
              </w:rPr>
              <w:t>6</w:t>
            </w:r>
          </w:p>
        </w:tc>
        <w:tc>
          <w:tcPr>
            <w:tcW w:w="1100" w:type="dxa"/>
            <w:shd w:val="clear" w:color="auto" w:fill="F4CCCC"/>
            <w:vAlign w:val="center"/>
          </w:tcPr>
          <w:p w14:paraId="22BC8BAC" w14:textId="77777777" w:rsidR="00E91313" w:rsidRDefault="00000000">
            <w:pPr>
              <w:jc w:val="center"/>
            </w:pPr>
            <w:r>
              <w:rPr>
                <w:b/>
                <w:bCs/>
                <w:sz w:val="18"/>
                <w:szCs w:val="18"/>
              </w:rPr>
              <w:t>High</w:t>
            </w:r>
          </w:p>
        </w:tc>
        <w:tc>
          <w:tcPr>
            <w:tcW w:w="3300" w:type="dxa"/>
            <w:vAlign w:val="center"/>
          </w:tcPr>
          <w:p w14:paraId="3646FF8E" w14:textId="77777777" w:rsidR="00E91313" w:rsidRDefault="00000000">
            <w:r>
              <w:rPr>
                <w:sz w:val="18"/>
                <w:szCs w:val="18"/>
              </w:rPr>
              <w:t>Configure the live resource dashboard to trigger automatic workload-rebalancing alerts to leadership; establish a cross-department staff-pooling protocol for peak periods.</w:t>
            </w:r>
          </w:p>
        </w:tc>
      </w:tr>
      <w:tr w:rsidR="00E91313" w14:paraId="31093104" w14:textId="77777777">
        <w:tblPrEx>
          <w:tblCellMar>
            <w:top w:w="0" w:type="dxa"/>
            <w:bottom w:w="0" w:type="dxa"/>
          </w:tblCellMar>
        </w:tblPrEx>
        <w:tc>
          <w:tcPr>
            <w:tcW w:w="900" w:type="dxa"/>
            <w:vAlign w:val="center"/>
          </w:tcPr>
          <w:p w14:paraId="4F1A0A66" w14:textId="77777777" w:rsidR="00E91313" w:rsidRDefault="00000000">
            <w:pPr>
              <w:jc w:val="center"/>
            </w:pPr>
            <w:r>
              <w:rPr>
                <w:b/>
                <w:bCs/>
                <w:sz w:val="18"/>
                <w:szCs w:val="18"/>
              </w:rPr>
              <w:t>TE-01</w:t>
            </w:r>
          </w:p>
        </w:tc>
        <w:tc>
          <w:tcPr>
            <w:tcW w:w="3300" w:type="dxa"/>
            <w:vAlign w:val="center"/>
          </w:tcPr>
          <w:p w14:paraId="350DDA40" w14:textId="77777777" w:rsidR="00E91313" w:rsidRDefault="00000000">
            <w:r>
              <w:rPr>
                <w:sz w:val="18"/>
                <w:szCs w:val="18"/>
              </w:rPr>
              <w:t>Cloud-enabled EHR integration with legacy patient-data architecture introduces a data breach or HIPAA compliance gap.</w:t>
            </w:r>
          </w:p>
        </w:tc>
        <w:tc>
          <w:tcPr>
            <w:tcW w:w="1600" w:type="dxa"/>
            <w:vAlign w:val="center"/>
          </w:tcPr>
          <w:p w14:paraId="6F7A9201" w14:textId="77777777" w:rsidR="00E91313" w:rsidRDefault="00000000">
            <w:pPr>
              <w:jc w:val="center"/>
            </w:pPr>
            <w:r>
              <w:rPr>
                <w:sz w:val="18"/>
                <w:szCs w:val="18"/>
              </w:rPr>
              <w:t>Technical</w:t>
            </w:r>
          </w:p>
        </w:tc>
        <w:tc>
          <w:tcPr>
            <w:tcW w:w="1100" w:type="dxa"/>
            <w:vAlign w:val="center"/>
          </w:tcPr>
          <w:p w14:paraId="4C401883" w14:textId="77777777" w:rsidR="00E91313" w:rsidRDefault="00000000">
            <w:pPr>
              <w:jc w:val="center"/>
            </w:pPr>
            <w:r>
              <w:rPr>
                <w:sz w:val="18"/>
                <w:szCs w:val="18"/>
              </w:rPr>
              <w:t>Low</w:t>
            </w:r>
          </w:p>
        </w:tc>
        <w:tc>
          <w:tcPr>
            <w:tcW w:w="1100" w:type="dxa"/>
            <w:vAlign w:val="center"/>
          </w:tcPr>
          <w:p w14:paraId="51F94603" w14:textId="77777777" w:rsidR="00E91313" w:rsidRDefault="00000000">
            <w:pPr>
              <w:jc w:val="center"/>
            </w:pPr>
            <w:r>
              <w:rPr>
                <w:sz w:val="18"/>
                <w:szCs w:val="18"/>
              </w:rPr>
              <w:t>High</w:t>
            </w:r>
          </w:p>
        </w:tc>
        <w:tc>
          <w:tcPr>
            <w:tcW w:w="1000" w:type="dxa"/>
            <w:shd w:val="clear" w:color="auto" w:fill="FFF2CC"/>
            <w:vAlign w:val="center"/>
          </w:tcPr>
          <w:p w14:paraId="62FFB48F" w14:textId="77777777" w:rsidR="00E91313" w:rsidRDefault="00000000">
            <w:pPr>
              <w:jc w:val="center"/>
            </w:pPr>
            <w:r>
              <w:rPr>
                <w:sz w:val="18"/>
                <w:szCs w:val="18"/>
              </w:rPr>
              <w:t>3</w:t>
            </w:r>
          </w:p>
        </w:tc>
        <w:tc>
          <w:tcPr>
            <w:tcW w:w="1100" w:type="dxa"/>
            <w:shd w:val="clear" w:color="auto" w:fill="FFF2CC"/>
            <w:vAlign w:val="center"/>
          </w:tcPr>
          <w:p w14:paraId="06BEB921" w14:textId="77777777" w:rsidR="00E91313" w:rsidRDefault="00000000">
            <w:pPr>
              <w:jc w:val="center"/>
            </w:pPr>
            <w:r>
              <w:rPr>
                <w:b/>
                <w:bCs/>
                <w:sz w:val="18"/>
                <w:szCs w:val="18"/>
              </w:rPr>
              <w:t>Medium</w:t>
            </w:r>
          </w:p>
        </w:tc>
        <w:tc>
          <w:tcPr>
            <w:tcW w:w="3300" w:type="dxa"/>
            <w:vAlign w:val="center"/>
          </w:tcPr>
          <w:p w14:paraId="5DD0DF08" w14:textId="77777777" w:rsidR="00E91313" w:rsidRDefault="00000000">
            <w:r>
              <w:rPr>
                <w:sz w:val="18"/>
                <w:szCs w:val="18"/>
              </w:rPr>
              <w:t>Enforce role-based access control and end-to-end encryption (NFR-02); commission a third-party security audit and penetration test before go-live.</w:t>
            </w:r>
          </w:p>
        </w:tc>
      </w:tr>
      <w:tr w:rsidR="00E91313" w14:paraId="35901005" w14:textId="77777777">
        <w:tblPrEx>
          <w:tblCellMar>
            <w:top w:w="0" w:type="dxa"/>
            <w:bottom w:w="0" w:type="dxa"/>
          </w:tblCellMar>
        </w:tblPrEx>
        <w:tc>
          <w:tcPr>
            <w:tcW w:w="900" w:type="dxa"/>
            <w:vAlign w:val="center"/>
          </w:tcPr>
          <w:p w14:paraId="48AA2AA3" w14:textId="77777777" w:rsidR="00E91313" w:rsidRDefault="00000000">
            <w:pPr>
              <w:jc w:val="center"/>
            </w:pPr>
            <w:r>
              <w:rPr>
                <w:b/>
                <w:bCs/>
                <w:sz w:val="18"/>
                <w:szCs w:val="18"/>
              </w:rPr>
              <w:t>TE-02</w:t>
            </w:r>
          </w:p>
        </w:tc>
        <w:tc>
          <w:tcPr>
            <w:tcW w:w="3300" w:type="dxa"/>
            <w:vAlign w:val="center"/>
          </w:tcPr>
          <w:p w14:paraId="4332944B" w14:textId="77777777" w:rsidR="00E91313" w:rsidRDefault="00000000">
            <w:r>
              <w:rPr>
                <w:sz w:val="18"/>
                <w:szCs w:val="18"/>
              </w:rPr>
              <w:t>The scheduling/EHR platform experiences downtime or slow response during the 17:00-18:30 peak booking window, breaching the 99.9% uptime target.</w:t>
            </w:r>
          </w:p>
        </w:tc>
        <w:tc>
          <w:tcPr>
            <w:tcW w:w="1600" w:type="dxa"/>
            <w:vAlign w:val="center"/>
          </w:tcPr>
          <w:p w14:paraId="066FDC5D" w14:textId="77777777" w:rsidR="00E91313" w:rsidRDefault="00000000">
            <w:pPr>
              <w:jc w:val="center"/>
            </w:pPr>
            <w:r>
              <w:rPr>
                <w:sz w:val="18"/>
                <w:szCs w:val="18"/>
              </w:rPr>
              <w:t>Technical</w:t>
            </w:r>
          </w:p>
        </w:tc>
        <w:tc>
          <w:tcPr>
            <w:tcW w:w="1100" w:type="dxa"/>
            <w:vAlign w:val="center"/>
          </w:tcPr>
          <w:p w14:paraId="0C658A78" w14:textId="77777777" w:rsidR="00E91313" w:rsidRDefault="00000000">
            <w:pPr>
              <w:jc w:val="center"/>
            </w:pPr>
            <w:r>
              <w:rPr>
                <w:sz w:val="18"/>
                <w:szCs w:val="18"/>
              </w:rPr>
              <w:t>Medium</w:t>
            </w:r>
          </w:p>
        </w:tc>
        <w:tc>
          <w:tcPr>
            <w:tcW w:w="1100" w:type="dxa"/>
            <w:vAlign w:val="center"/>
          </w:tcPr>
          <w:p w14:paraId="2E7DD74A" w14:textId="77777777" w:rsidR="00E91313" w:rsidRDefault="00000000">
            <w:pPr>
              <w:jc w:val="center"/>
            </w:pPr>
            <w:r>
              <w:rPr>
                <w:sz w:val="18"/>
                <w:szCs w:val="18"/>
              </w:rPr>
              <w:t>High</w:t>
            </w:r>
          </w:p>
        </w:tc>
        <w:tc>
          <w:tcPr>
            <w:tcW w:w="1000" w:type="dxa"/>
            <w:shd w:val="clear" w:color="auto" w:fill="F4CCCC"/>
            <w:vAlign w:val="center"/>
          </w:tcPr>
          <w:p w14:paraId="2CB9067A" w14:textId="77777777" w:rsidR="00E91313" w:rsidRDefault="00000000">
            <w:pPr>
              <w:jc w:val="center"/>
            </w:pPr>
            <w:r>
              <w:rPr>
                <w:sz w:val="18"/>
                <w:szCs w:val="18"/>
              </w:rPr>
              <w:t>6</w:t>
            </w:r>
          </w:p>
        </w:tc>
        <w:tc>
          <w:tcPr>
            <w:tcW w:w="1100" w:type="dxa"/>
            <w:shd w:val="clear" w:color="auto" w:fill="F4CCCC"/>
            <w:vAlign w:val="center"/>
          </w:tcPr>
          <w:p w14:paraId="513A52EE" w14:textId="77777777" w:rsidR="00E91313" w:rsidRDefault="00000000">
            <w:pPr>
              <w:jc w:val="center"/>
            </w:pPr>
            <w:r>
              <w:rPr>
                <w:b/>
                <w:bCs/>
                <w:sz w:val="18"/>
                <w:szCs w:val="18"/>
              </w:rPr>
              <w:t>High</w:t>
            </w:r>
          </w:p>
        </w:tc>
        <w:tc>
          <w:tcPr>
            <w:tcW w:w="3300" w:type="dxa"/>
            <w:vAlign w:val="center"/>
          </w:tcPr>
          <w:p w14:paraId="458C61C8" w14:textId="77777777" w:rsidR="00E91313" w:rsidRDefault="00000000">
            <w:r>
              <w:rPr>
                <w:sz w:val="18"/>
                <w:szCs w:val="18"/>
              </w:rPr>
              <w:t>Load-test the platform at 2x observed peak volume before launch; deploy redundant failover infrastructure with real-time uptime monitoring and alerting.</w:t>
            </w:r>
          </w:p>
        </w:tc>
      </w:tr>
      <w:tr w:rsidR="00E91313" w14:paraId="6C1A2120" w14:textId="77777777">
        <w:tblPrEx>
          <w:tblCellMar>
            <w:top w:w="0" w:type="dxa"/>
            <w:bottom w:w="0" w:type="dxa"/>
          </w:tblCellMar>
        </w:tblPrEx>
        <w:tc>
          <w:tcPr>
            <w:tcW w:w="900" w:type="dxa"/>
            <w:vAlign w:val="center"/>
          </w:tcPr>
          <w:p w14:paraId="72C36BE7" w14:textId="77777777" w:rsidR="00E91313" w:rsidRDefault="00000000">
            <w:pPr>
              <w:jc w:val="center"/>
            </w:pPr>
            <w:r>
              <w:rPr>
                <w:b/>
                <w:bCs/>
                <w:sz w:val="18"/>
                <w:szCs w:val="18"/>
              </w:rPr>
              <w:t>TE-03</w:t>
            </w:r>
          </w:p>
        </w:tc>
        <w:tc>
          <w:tcPr>
            <w:tcW w:w="3300" w:type="dxa"/>
            <w:vAlign w:val="center"/>
          </w:tcPr>
          <w:p w14:paraId="4E0F5FD3" w14:textId="77777777" w:rsidR="00E91313" w:rsidRDefault="00000000">
            <w:r>
              <w:rPr>
                <w:sz w:val="18"/>
                <w:szCs w:val="18"/>
              </w:rPr>
              <w:t>Interoperability issues between the new platform and the legacy database cause data integrity errors during integration.</w:t>
            </w:r>
          </w:p>
        </w:tc>
        <w:tc>
          <w:tcPr>
            <w:tcW w:w="1600" w:type="dxa"/>
            <w:vAlign w:val="center"/>
          </w:tcPr>
          <w:p w14:paraId="3EDBF280" w14:textId="77777777" w:rsidR="00E91313" w:rsidRDefault="00000000">
            <w:pPr>
              <w:jc w:val="center"/>
            </w:pPr>
            <w:r>
              <w:rPr>
                <w:sz w:val="18"/>
                <w:szCs w:val="18"/>
              </w:rPr>
              <w:t>Technical</w:t>
            </w:r>
          </w:p>
        </w:tc>
        <w:tc>
          <w:tcPr>
            <w:tcW w:w="1100" w:type="dxa"/>
            <w:vAlign w:val="center"/>
          </w:tcPr>
          <w:p w14:paraId="16F2F1F8" w14:textId="77777777" w:rsidR="00E91313" w:rsidRDefault="00000000">
            <w:pPr>
              <w:jc w:val="center"/>
            </w:pPr>
            <w:r>
              <w:rPr>
                <w:sz w:val="18"/>
                <w:szCs w:val="18"/>
              </w:rPr>
              <w:t>Medium</w:t>
            </w:r>
          </w:p>
        </w:tc>
        <w:tc>
          <w:tcPr>
            <w:tcW w:w="1100" w:type="dxa"/>
            <w:vAlign w:val="center"/>
          </w:tcPr>
          <w:p w14:paraId="013965EE" w14:textId="77777777" w:rsidR="00E91313" w:rsidRDefault="00000000">
            <w:pPr>
              <w:jc w:val="center"/>
            </w:pPr>
            <w:r>
              <w:rPr>
                <w:sz w:val="18"/>
                <w:szCs w:val="18"/>
              </w:rPr>
              <w:t>Medium</w:t>
            </w:r>
          </w:p>
        </w:tc>
        <w:tc>
          <w:tcPr>
            <w:tcW w:w="1000" w:type="dxa"/>
            <w:shd w:val="clear" w:color="auto" w:fill="FFF2CC"/>
            <w:vAlign w:val="center"/>
          </w:tcPr>
          <w:p w14:paraId="1207FCBB" w14:textId="77777777" w:rsidR="00E91313" w:rsidRDefault="00000000">
            <w:pPr>
              <w:jc w:val="center"/>
            </w:pPr>
            <w:r>
              <w:rPr>
                <w:sz w:val="18"/>
                <w:szCs w:val="18"/>
              </w:rPr>
              <w:t>4</w:t>
            </w:r>
          </w:p>
        </w:tc>
        <w:tc>
          <w:tcPr>
            <w:tcW w:w="1100" w:type="dxa"/>
            <w:shd w:val="clear" w:color="auto" w:fill="FFF2CC"/>
            <w:vAlign w:val="center"/>
          </w:tcPr>
          <w:p w14:paraId="57775E49" w14:textId="77777777" w:rsidR="00E91313" w:rsidRDefault="00000000">
            <w:pPr>
              <w:jc w:val="center"/>
            </w:pPr>
            <w:r>
              <w:rPr>
                <w:b/>
                <w:bCs/>
                <w:sz w:val="18"/>
                <w:szCs w:val="18"/>
              </w:rPr>
              <w:t>Medium</w:t>
            </w:r>
          </w:p>
        </w:tc>
        <w:tc>
          <w:tcPr>
            <w:tcW w:w="3300" w:type="dxa"/>
            <w:vAlign w:val="center"/>
          </w:tcPr>
          <w:p w14:paraId="1968FF62" w14:textId="77777777" w:rsidR="00E91313" w:rsidRDefault="00000000">
            <w:r>
              <w:rPr>
                <w:sz w:val="18"/>
                <w:szCs w:val="18"/>
              </w:rPr>
              <w:t>Run a phased data migration with reconciliation checks against the legacy source; validate in a sandbox environment before production cutover.</w:t>
            </w:r>
          </w:p>
        </w:tc>
      </w:tr>
      <w:tr w:rsidR="00E91313" w14:paraId="0C4E30FE" w14:textId="77777777">
        <w:tblPrEx>
          <w:tblCellMar>
            <w:top w:w="0" w:type="dxa"/>
            <w:bottom w:w="0" w:type="dxa"/>
          </w:tblCellMar>
        </w:tblPrEx>
        <w:tc>
          <w:tcPr>
            <w:tcW w:w="900" w:type="dxa"/>
            <w:vAlign w:val="center"/>
          </w:tcPr>
          <w:p w14:paraId="4175B040" w14:textId="77777777" w:rsidR="00E91313" w:rsidRDefault="00000000">
            <w:pPr>
              <w:jc w:val="center"/>
            </w:pPr>
            <w:r>
              <w:rPr>
                <w:b/>
                <w:bCs/>
                <w:sz w:val="18"/>
                <w:szCs w:val="18"/>
              </w:rPr>
              <w:t>TE-04</w:t>
            </w:r>
          </w:p>
        </w:tc>
        <w:tc>
          <w:tcPr>
            <w:tcW w:w="3300" w:type="dxa"/>
            <w:vAlign w:val="center"/>
          </w:tcPr>
          <w:p w14:paraId="5AF7692E" w14:textId="77777777" w:rsidR="00E91313" w:rsidRDefault="00000000">
            <w:r>
              <w:rPr>
                <w:sz w:val="18"/>
                <w:szCs w:val="18"/>
              </w:rPr>
              <w:t>The real-time conflict-detection engine fails to catch edge cases (concurrent bookings, sync lag), so double-bookings are reduced but not fully eliminated (AC-02 at risk).</w:t>
            </w:r>
          </w:p>
        </w:tc>
        <w:tc>
          <w:tcPr>
            <w:tcW w:w="1600" w:type="dxa"/>
            <w:vAlign w:val="center"/>
          </w:tcPr>
          <w:p w14:paraId="608AF30F" w14:textId="77777777" w:rsidR="00E91313" w:rsidRDefault="00000000">
            <w:pPr>
              <w:jc w:val="center"/>
            </w:pPr>
            <w:r>
              <w:rPr>
                <w:sz w:val="18"/>
                <w:szCs w:val="18"/>
              </w:rPr>
              <w:t>Technical</w:t>
            </w:r>
          </w:p>
        </w:tc>
        <w:tc>
          <w:tcPr>
            <w:tcW w:w="1100" w:type="dxa"/>
            <w:vAlign w:val="center"/>
          </w:tcPr>
          <w:p w14:paraId="4D9B6F20" w14:textId="77777777" w:rsidR="00E91313" w:rsidRDefault="00000000">
            <w:pPr>
              <w:jc w:val="center"/>
            </w:pPr>
            <w:r>
              <w:rPr>
                <w:sz w:val="18"/>
                <w:szCs w:val="18"/>
              </w:rPr>
              <w:t>Medium</w:t>
            </w:r>
          </w:p>
        </w:tc>
        <w:tc>
          <w:tcPr>
            <w:tcW w:w="1100" w:type="dxa"/>
            <w:vAlign w:val="center"/>
          </w:tcPr>
          <w:p w14:paraId="5F02EEF2" w14:textId="77777777" w:rsidR="00E91313" w:rsidRDefault="00000000">
            <w:pPr>
              <w:jc w:val="center"/>
            </w:pPr>
            <w:r>
              <w:rPr>
                <w:sz w:val="18"/>
                <w:szCs w:val="18"/>
              </w:rPr>
              <w:t>High</w:t>
            </w:r>
          </w:p>
        </w:tc>
        <w:tc>
          <w:tcPr>
            <w:tcW w:w="1000" w:type="dxa"/>
            <w:shd w:val="clear" w:color="auto" w:fill="F4CCCC"/>
            <w:vAlign w:val="center"/>
          </w:tcPr>
          <w:p w14:paraId="0E95AF54" w14:textId="77777777" w:rsidR="00E91313" w:rsidRDefault="00000000">
            <w:pPr>
              <w:jc w:val="center"/>
            </w:pPr>
            <w:r>
              <w:rPr>
                <w:sz w:val="18"/>
                <w:szCs w:val="18"/>
              </w:rPr>
              <w:t>6</w:t>
            </w:r>
          </w:p>
        </w:tc>
        <w:tc>
          <w:tcPr>
            <w:tcW w:w="1100" w:type="dxa"/>
            <w:shd w:val="clear" w:color="auto" w:fill="F4CCCC"/>
            <w:vAlign w:val="center"/>
          </w:tcPr>
          <w:p w14:paraId="1F73F532" w14:textId="77777777" w:rsidR="00E91313" w:rsidRDefault="00000000">
            <w:pPr>
              <w:jc w:val="center"/>
            </w:pPr>
            <w:r>
              <w:rPr>
                <w:b/>
                <w:bCs/>
                <w:sz w:val="18"/>
                <w:szCs w:val="18"/>
              </w:rPr>
              <w:t>High</w:t>
            </w:r>
          </w:p>
        </w:tc>
        <w:tc>
          <w:tcPr>
            <w:tcW w:w="3300" w:type="dxa"/>
            <w:vAlign w:val="center"/>
          </w:tcPr>
          <w:p w14:paraId="3E92442C" w14:textId="77777777" w:rsidR="00E91313" w:rsidRDefault="00000000">
            <w:r>
              <w:rPr>
                <w:sz w:val="18"/>
                <w:szCs w:val="18"/>
              </w:rPr>
              <w:t>Stress-test the conflict engine under concurrent-load scenarios; maintain a manual override queue with an audit log for administrative review.</w:t>
            </w:r>
          </w:p>
        </w:tc>
      </w:tr>
      <w:tr w:rsidR="00E91313" w14:paraId="6EFB1789" w14:textId="77777777">
        <w:tblPrEx>
          <w:tblCellMar>
            <w:top w:w="0" w:type="dxa"/>
            <w:bottom w:w="0" w:type="dxa"/>
          </w:tblCellMar>
        </w:tblPrEx>
        <w:tc>
          <w:tcPr>
            <w:tcW w:w="900" w:type="dxa"/>
            <w:vAlign w:val="center"/>
          </w:tcPr>
          <w:p w14:paraId="2EBA2E0E" w14:textId="77777777" w:rsidR="00E91313" w:rsidRDefault="00000000">
            <w:pPr>
              <w:jc w:val="center"/>
            </w:pPr>
            <w:r>
              <w:rPr>
                <w:b/>
                <w:bCs/>
                <w:sz w:val="18"/>
                <w:szCs w:val="18"/>
              </w:rPr>
              <w:t>TE-05</w:t>
            </w:r>
          </w:p>
        </w:tc>
        <w:tc>
          <w:tcPr>
            <w:tcW w:w="3300" w:type="dxa"/>
            <w:vAlign w:val="center"/>
          </w:tcPr>
          <w:p w14:paraId="3785A840" w14:textId="77777777" w:rsidR="00E91313" w:rsidRDefault="00000000">
            <w:r>
              <w:rPr>
                <w:sz w:val="18"/>
                <w:szCs w:val="18"/>
              </w:rPr>
              <w:t>Self-service kiosks or QR check-in hardware malfunction, forcing a fallback to manual paperwork and reintroducing the front-desk wait-time bottleneck.</w:t>
            </w:r>
          </w:p>
        </w:tc>
        <w:tc>
          <w:tcPr>
            <w:tcW w:w="1600" w:type="dxa"/>
            <w:vAlign w:val="center"/>
          </w:tcPr>
          <w:p w14:paraId="1D947EF0" w14:textId="77777777" w:rsidR="00E91313" w:rsidRDefault="00000000">
            <w:pPr>
              <w:jc w:val="center"/>
            </w:pPr>
            <w:r>
              <w:rPr>
                <w:sz w:val="18"/>
                <w:szCs w:val="18"/>
              </w:rPr>
              <w:t>Technical</w:t>
            </w:r>
          </w:p>
        </w:tc>
        <w:tc>
          <w:tcPr>
            <w:tcW w:w="1100" w:type="dxa"/>
            <w:vAlign w:val="center"/>
          </w:tcPr>
          <w:p w14:paraId="64D66EF0" w14:textId="77777777" w:rsidR="00E91313" w:rsidRDefault="00000000">
            <w:pPr>
              <w:jc w:val="center"/>
            </w:pPr>
            <w:r>
              <w:rPr>
                <w:sz w:val="18"/>
                <w:szCs w:val="18"/>
              </w:rPr>
              <w:t>Low</w:t>
            </w:r>
          </w:p>
        </w:tc>
        <w:tc>
          <w:tcPr>
            <w:tcW w:w="1100" w:type="dxa"/>
            <w:vAlign w:val="center"/>
          </w:tcPr>
          <w:p w14:paraId="116ADE68" w14:textId="77777777" w:rsidR="00E91313" w:rsidRDefault="00000000">
            <w:pPr>
              <w:jc w:val="center"/>
            </w:pPr>
            <w:r>
              <w:rPr>
                <w:sz w:val="18"/>
                <w:szCs w:val="18"/>
              </w:rPr>
              <w:t>Medium</w:t>
            </w:r>
          </w:p>
        </w:tc>
        <w:tc>
          <w:tcPr>
            <w:tcW w:w="1000" w:type="dxa"/>
            <w:shd w:val="clear" w:color="auto" w:fill="D9EAD3"/>
            <w:vAlign w:val="center"/>
          </w:tcPr>
          <w:p w14:paraId="4BE300DD" w14:textId="77777777" w:rsidR="00E91313" w:rsidRDefault="00000000">
            <w:pPr>
              <w:jc w:val="center"/>
            </w:pPr>
            <w:r>
              <w:rPr>
                <w:sz w:val="18"/>
                <w:szCs w:val="18"/>
              </w:rPr>
              <w:t>2</w:t>
            </w:r>
          </w:p>
        </w:tc>
        <w:tc>
          <w:tcPr>
            <w:tcW w:w="1100" w:type="dxa"/>
            <w:shd w:val="clear" w:color="auto" w:fill="D9EAD3"/>
            <w:vAlign w:val="center"/>
          </w:tcPr>
          <w:p w14:paraId="5EA50A41" w14:textId="77777777" w:rsidR="00E91313" w:rsidRDefault="00000000">
            <w:pPr>
              <w:jc w:val="center"/>
            </w:pPr>
            <w:r>
              <w:rPr>
                <w:b/>
                <w:bCs/>
                <w:sz w:val="18"/>
                <w:szCs w:val="18"/>
              </w:rPr>
              <w:t>Low</w:t>
            </w:r>
          </w:p>
        </w:tc>
        <w:tc>
          <w:tcPr>
            <w:tcW w:w="3300" w:type="dxa"/>
            <w:vAlign w:val="center"/>
          </w:tcPr>
          <w:p w14:paraId="7C8755FF" w14:textId="77777777" w:rsidR="00E91313" w:rsidRDefault="00000000">
            <w:r>
              <w:rPr>
                <w:sz w:val="18"/>
                <w:szCs w:val="18"/>
              </w:rPr>
              <w:t>Establish a preventive hardware maintenance schedule; keep a staffed manual backup lane available during outages.</w:t>
            </w:r>
          </w:p>
        </w:tc>
      </w:tr>
      <w:tr w:rsidR="00E91313" w14:paraId="0F5B017B" w14:textId="77777777">
        <w:tblPrEx>
          <w:tblCellMar>
            <w:top w:w="0" w:type="dxa"/>
            <w:bottom w:w="0" w:type="dxa"/>
          </w:tblCellMar>
        </w:tblPrEx>
        <w:tc>
          <w:tcPr>
            <w:tcW w:w="900" w:type="dxa"/>
            <w:vAlign w:val="center"/>
          </w:tcPr>
          <w:p w14:paraId="31C2E55F" w14:textId="77777777" w:rsidR="00E91313" w:rsidRDefault="00000000">
            <w:pPr>
              <w:jc w:val="center"/>
            </w:pPr>
            <w:r>
              <w:rPr>
                <w:b/>
                <w:bCs/>
                <w:sz w:val="18"/>
                <w:szCs w:val="18"/>
              </w:rPr>
              <w:t>ST-01</w:t>
            </w:r>
          </w:p>
        </w:tc>
        <w:tc>
          <w:tcPr>
            <w:tcW w:w="3300" w:type="dxa"/>
            <w:vAlign w:val="center"/>
          </w:tcPr>
          <w:p w14:paraId="1CE63811" w14:textId="77777777" w:rsidR="00E91313" w:rsidRDefault="00000000">
            <w:r>
              <w:rPr>
                <w:sz w:val="18"/>
                <w:szCs w:val="18"/>
              </w:rPr>
              <w:t>Patients, particularly older or less tech-familiar users, show poor adoption of the web/mobile self-service portal, undermining the wait-time and satisfaction targets (AC-01, AC-03).</w:t>
            </w:r>
          </w:p>
        </w:tc>
        <w:tc>
          <w:tcPr>
            <w:tcW w:w="1600" w:type="dxa"/>
            <w:vAlign w:val="center"/>
          </w:tcPr>
          <w:p w14:paraId="4701B3C0" w14:textId="77777777" w:rsidR="00E91313" w:rsidRDefault="00000000">
            <w:pPr>
              <w:jc w:val="center"/>
            </w:pPr>
            <w:r>
              <w:rPr>
                <w:sz w:val="18"/>
                <w:szCs w:val="18"/>
              </w:rPr>
              <w:t>Stakeholder</w:t>
            </w:r>
          </w:p>
        </w:tc>
        <w:tc>
          <w:tcPr>
            <w:tcW w:w="1100" w:type="dxa"/>
            <w:vAlign w:val="center"/>
          </w:tcPr>
          <w:p w14:paraId="2759A2D8" w14:textId="77777777" w:rsidR="00E91313" w:rsidRDefault="00000000">
            <w:pPr>
              <w:jc w:val="center"/>
            </w:pPr>
            <w:r>
              <w:rPr>
                <w:sz w:val="18"/>
                <w:szCs w:val="18"/>
              </w:rPr>
              <w:t>Medium</w:t>
            </w:r>
          </w:p>
        </w:tc>
        <w:tc>
          <w:tcPr>
            <w:tcW w:w="1100" w:type="dxa"/>
            <w:vAlign w:val="center"/>
          </w:tcPr>
          <w:p w14:paraId="34C906FF" w14:textId="77777777" w:rsidR="00E91313" w:rsidRDefault="00000000">
            <w:pPr>
              <w:jc w:val="center"/>
            </w:pPr>
            <w:r>
              <w:rPr>
                <w:sz w:val="18"/>
                <w:szCs w:val="18"/>
              </w:rPr>
              <w:t>Medium</w:t>
            </w:r>
          </w:p>
        </w:tc>
        <w:tc>
          <w:tcPr>
            <w:tcW w:w="1000" w:type="dxa"/>
            <w:shd w:val="clear" w:color="auto" w:fill="FFF2CC"/>
            <w:vAlign w:val="center"/>
          </w:tcPr>
          <w:p w14:paraId="1F1E25E7" w14:textId="77777777" w:rsidR="00E91313" w:rsidRDefault="00000000">
            <w:pPr>
              <w:jc w:val="center"/>
            </w:pPr>
            <w:r>
              <w:rPr>
                <w:sz w:val="18"/>
                <w:szCs w:val="18"/>
              </w:rPr>
              <w:t>4</w:t>
            </w:r>
          </w:p>
        </w:tc>
        <w:tc>
          <w:tcPr>
            <w:tcW w:w="1100" w:type="dxa"/>
            <w:shd w:val="clear" w:color="auto" w:fill="FFF2CC"/>
            <w:vAlign w:val="center"/>
          </w:tcPr>
          <w:p w14:paraId="62A0CA69" w14:textId="77777777" w:rsidR="00E91313" w:rsidRDefault="00000000">
            <w:pPr>
              <w:jc w:val="center"/>
            </w:pPr>
            <w:r>
              <w:rPr>
                <w:b/>
                <w:bCs/>
                <w:sz w:val="18"/>
                <w:szCs w:val="18"/>
              </w:rPr>
              <w:t>Medium</w:t>
            </w:r>
          </w:p>
        </w:tc>
        <w:tc>
          <w:tcPr>
            <w:tcW w:w="3300" w:type="dxa"/>
            <w:vAlign w:val="center"/>
          </w:tcPr>
          <w:p w14:paraId="4D820086" w14:textId="77777777" w:rsidR="00E91313" w:rsidRDefault="00000000">
            <w:r>
              <w:rPr>
                <w:sz w:val="18"/>
                <w:szCs w:val="18"/>
              </w:rPr>
              <w:t>Apply the simplified, multi-generational UI/UX design called for in NFR-03; provide on-site staff assistance for portal onboarding during the transition period.</w:t>
            </w:r>
          </w:p>
        </w:tc>
      </w:tr>
      <w:tr w:rsidR="00E91313" w14:paraId="5BD3D7E5" w14:textId="77777777">
        <w:tblPrEx>
          <w:tblCellMar>
            <w:top w:w="0" w:type="dxa"/>
            <w:bottom w:w="0" w:type="dxa"/>
          </w:tblCellMar>
        </w:tblPrEx>
        <w:tc>
          <w:tcPr>
            <w:tcW w:w="900" w:type="dxa"/>
            <w:vAlign w:val="center"/>
          </w:tcPr>
          <w:p w14:paraId="31547545" w14:textId="77777777" w:rsidR="00E91313" w:rsidRDefault="00000000">
            <w:pPr>
              <w:jc w:val="center"/>
            </w:pPr>
            <w:r>
              <w:rPr>
                <w:b/>
                <w:bCs/>
                <w:sz w:val="18"/>
                <w:szCs w:val="18"/>
              </w:rPr>
              <w:t>ST-02</w:t>
            </w:r>
          </w:p>
        </w:tc>
        <w:tc>
          <w:tcPr>
            <w:tcW w:w="3300" w:type="dxa"/>
            <w:vAlign w:val="center"/>
          </w:tcPr>
          <w:p w14:paraId="1023AAA4" w14:textId="77777777" w:rsidR="00E91313" w:rsidRDefault="00000000">
            <w:r>
              <w:rPr>
                <w:sz w:val="18"/>
                <w:szCs w:val="18"/>
              </w:rPr>
              <w:t>Expectations diverge between IT &amp; Operations (Keep Satisfied) and clinical Key Players on rollout timeline and feature priorities.</w:t>
            </w:r>
          </w:p>
        </w:tc>
        <w:tc>
          <w:tcPr>
            <w:tcW w:w="1600" w:type="dxa"/>
            <w:vAlign w:val="center"/>
          </w:tcPr>
          <w:p w14:paraId="43560F7F" w14:textId="77777777" w:rsidR="00E91313" w:rsidRDefault="00000000">
            <w:pPr>
              <w:jc w:val="center"/>
            </w:pPr>
            <w:r>
              <w:rPr>
                <w:sz w:val="18"/>
                <w:szCs w:val="18"/>
              </w:rPr>
              <w:t>Stakeholder</w:t>
            </w:r>
          </w:p>
        </w:tc>
        <w:tc>
          <w:tcPr>
            <w:tcW w:w="1100" w:type="dxa"/>
            <w:vAlign w:val="center"/>
          </w:tcPr>
          <w:p w14:paraId="579D64A2" w14:textId="77777777" w:rsidR="00E91313" w:rsidRDefault="00000000">
            <w:pPr>
              <w:jc w:val="center"/>
            </w:pPr>
            <w:r>
              <w:rPr>
                <w:sz w:val="18"/>
                <w:szCs w:val="18"/>
              </w:rPr>
              <w:t>Medium</w:t>
            </w:r>
          </w:p>
        </w:tc>
        <w:tc>
          <w:tcPr>
            <w:tcW w:w="1100" w:type="dxa"/>
            <w:vAlign w:val="center"/>
          </w:tcPr>
          <w:p w14:paraId="4C2A9176" w14:textId="77777777" w:rsidR="00E91313" w:rsidRDefault="00000000">
            <w:pPr>
              <w:jc w:val="center"/>
            </w:pPr>
            <w:r>
              <w:rPr>
                <w:sz w:val="18"/>
                <w:szCs w:val="18"/>
              </w:rPr>
              <w:t>Medium</w:t>
            </w:r>
          </w:p>
        </w:tc>
        <w:tc>
          <w:tcPr>
            <w:tcW w:w="1000" w:type="dxa"/>
            <w:shd w:val="clear" w:color="auto" w:fill="FFF2CC"/>
            <w:vAlign w:val="center"/>
          </w:tcPr>
          <w:p w14:paraId="181B4A50" w14:textId="77777777" w:rsidR="00E91313" w:rsidRDefault="00000000">
            <w:pPr>
              <w:jc w:val="center"/>
            </w:pPr>
            <w:r>
              <w:rPr>
                <w:sz w:val="18"/>
                <w:szCs w:val="18"/>
              </w:rPr>
              <w:t>4</w:t>
            </w:r>
          </w:p>
        </w:tc>
        <w:tc>
          <w:tcPr>
            <w:tcW w:w="1100" w:type="dxa"/>
            <w:shd w:val="clear" w:color="auto" w:fill="FFF2CC"/>
            <w:vAlign w:val="center"/>
          </w:tcPr>
          <w:p w14:paraId="69FEAEDC" w14:textId="77777777" w:rsidR="00E91313" w:rsidRDefault="00000000">
            <w:pPr>
              <w:jc w:val="center"/>
            </w:pPr>
            <w:r>
              <w:rPr>
                <w:b/>
                <w:bCs/>
                <w:sz w:val="18"/>
                <w:szCs w:val="18"/>
              </w:rPr>
              <w:t>Medium</w:t>
            </w:r>
          </w:p>
        </w:tc>
        <w:tc>
          <w:tcPr>
            <w:tcW w:w="3300" w:type="dxa"/>
            <w:vAlign w:val="center"/>
          </w:tcPr>
          <w:p w14:paraId="6A8718EB" w14:textId="77777777" w:rsidR="00E91313" w:rsidRDefault="00000000">
            <w:r>
              <w:rPr>
                <w:sz w:val="18"/>
                <w:szCs w:val="18"/>
              </w:rPr>
              <w:t>Maintain the bi-weekly IT architecture syncs and weekly clinical status meetings defined in the Stakeholder Engagement Plan to keep priorities aligned.</w:t>
            </w:r>
          </w:p>
        </w:tc>
      </w:tr>
      <w:tr w:rsidR="00E91313" w14:paraId="52BB0897" w14:textId="77777777">
        <w:tblPrEx>
          <w:tblCellMar>
            <w:top w:w="0" w:type="dxa"/>
            <w:bottom w:w="0" w:type="dxa"/>
          </w:tblCellMar>
        </w:tblPrEx>
        <w:tc>
          <w:tcPr>
            <w:tcW w:w="900" w:type="dxa"/>
            <w:vAlign w:val="center"/>
          </w:tcPr>
          <w:p w14:paraId="690E54F0" w14:textId="77777777" w:rsidR="00E91313" w:rsidRDefault="00000000">
            <w:pPr>
              <w:jc w:val="center"/>
            </w:pPr>
            <w:r>
              <w:rPr>
                <w:b/>
                <w:bCs/>
                <w:sz w:val="18"/>
                <w:szCs w:val="18"/>
              </w:rPr>
              <w:t>ST-03</w:t>
            </w:r>
          </w:p>
        </w:tc>
        <w:tc>
          <w:tcPr>
            <w:tcW w:w="3300" w:type="dxa"/>
            <w:vAlign w:val="center"/>
          </w:tcPr>
          <w:p w14:paraId="65DD78D7" w14:textId="77777777" w:rsidR="00E91313" w:rsidRDefault="00000000">
            <w:r>
              <w:rPr>
                <w:sz w:val="18"/>
                <w:szCs w:val="18"/>
              </w:rPr>
              <w:t>Low engagement from Support &amp; Maintenance staff (Monitor quadrant) leads to facility or equipment readiness gaps ahead of rollout milestones.</w:t>
            </w:r>
          </w:p>
        </w:tc>
        <w:tc>
          <w:tcPr>
            <w:tcW w:w="1600" w:type="dxa"/>
            <w:vAlign w:val="center"/>
          </w:tcPr>
          <w:p w14:paraId="7C71C165" w14:textId="77777777" w:rsidR="00E91313" w:rsidRDefault="00000000">
            <w:pPr>
              <w:jc w:val="center"/>
            </w:pPr>
            <w:r>
              <w:rPr>
                <w:sz w:val="18"/>
                <w:szCs w:val="18"/>
              </w:rPr>
              <w:t>Stakeholder</w:t>
            </w:r>
          </w:p>
        </w:tc>
        <w:tc>
          <w:tcPr>
            <w:tcW w:w="1100" w:type="dxa"/>
            <w:vAlign w:val="center"/>
          </w:tcPr>
          <w:p w14:paraId="3315321C" w14:textId="77777777" w:rsidR="00E91313" w:rsidRDefault="00000000">
            <w:pPr>
              <w:jc w:val="center"/>
            </w:pPr>
            <w:r>
              <w:rPr>
                <w:sz w:val="18"/>
                <w:szCs w:val="18"/>
              </w:rPr>
              <w:t>Low</w:t>
            </w:r>
          </w:p>
        </w:tc>
        <w:tc>
          <w:tcPr>
            <w:tcW w:w="1100" w:type="dxa"/>
            <w:vAlign w:val="center"/>
          </w:tcPr>
          <w:p w14:paraId="4F301DBC" w14:textId="77777777" w:rsidR="00E91313" w:rsidRDefault="00000000">
            <w:pPr>
              <w:jc w:val="center"/>
            </w:pPr>
            <w:r>
              <w:rPr>
                <w:sz w:val="18"/>
                <w:szCs w:val="18"/>
              </w:rPr>
              <w:t>Medium</w:t>
            </w:r>
          </w:p>
        </w:tc>
        <w:tc>
          <w:tcPr>
            <w:tcW w:w="1000" w:type="dxa"/>
            <w:shd w:val="clear" w:color="auto" w:fill="D9EAD3"/>
            <w:vAlign w:val="center"/>
          </w:tcPr>
          <w:p w14:paraId="03F18CAB" w14:textId="77777777" w:rsidR="00E91313" w:rsidRDefault="00000000">
            <w:pPr>
              <w:jc w:val="center"/>
            </w:pPr>
            <w:r>
              <w:rPr>
                <w:sz w:val="18"/>
                <w:szCs w:val="18"/>
              </w:rPr>
              <w:t>2</w:t>
            </w:r>
          </w:p>
        </w:tc>
        <w:tc>
          <w:tcPr>
            <w:tcW w:w="1100" w:type="dxa"/>
            <w:shd w:val="clear" w:color="auto" w:fill="D9EAD3"/>
            <w:vAlign w:val="center"/>
          </w:tcPr>
          <w:p w14:paraId="64AE27A7" w14:textId="77777777" w:rsidR="00E91313" w:rsidRDefault="00000000">
            <w:pPr>
              <w:jc w:val="center"/>
            </w:pPr>
            <w:r>
              <w:rPr>
                <w:b/>
                <w:bCs/>
                <w:sz w:val="18"/>
                <w:szCs w:val="18"/>
              </w:rPr>
              <w:t>Low</w:t>
            </w:r>
          </w:p>
        </w:tc>
        <w:tc>
          <w:tcPr>
            <w:tcW w:w="3300" w:type="dxa"/>
            <w:vAlign w:val="center"/>
          </w:tcPr>
          <w:p w14:paraId="08341FF7" w14:textId="77777777" w:rsidR="00E91313" w:rsidRDefault="00000000">
            <w:r>
              <w:rPr>
                <w:sz w:val="18"/>
                <w:szCs w:val="18"/>
              </w:rPr>
              <w:t>Use intranet bulletins and scheduled facility-readiness check-ins tied to each project milestone date.</w:t>
            </w:r>
          </w:p>
        </w:tc>
      </w:tr>
      <w:tr w:rsidR="00E91313" w14:paraId="2CEF13FD" w14:textId="77777777">
        <w:tblPrEx>
          <w:tblCellMar>
            <w:top w:w="0" w:type="dxa"/>
            <w:bottom w:w="0" w:type="dxa"/>
          </w:tblCellMar>
        </w:tblPrEx>
        <w:tc>
          <w:tcPr>
            <w:tcW w:w="900" w:type="dxa"/>
            <w:vAlign w:val="center"/>
          </w:tcPr>
          <w:p w14:paraId="6C457C18" w14:textId="77777777" w:rsidR="00E91313" w:rsidRDefault="00000000">
            <w:pPr>
              <w:jc w:val="center"/>
            </w:pPr>
            <w:r>
              <w:rPr>
                <w:b/>
                <w:bCs/>
                <w:sz w:val="18"/>
                <w:szCs w:val="18"/>
              </w:rPr>
              <w:t>ST-04</w:t>
            </w:r>
          </w:p>
        </w:tc>
        <w:tc>
          <w:tcPr>
            <w:tcW w:w="3300" w:type="dxa"/>
            <w:vAlign w:val="center"/>
          </w:tcPr>
          <w:p w14:paraId="40B68C7F" w14:textId="77777777" w:rsidR="00E91313" w:rsidRDefault="00000000">
            <w:r>
              <w:rPr>
                <w:sz w:val="18"/>
                <w:szCs w:val="18"/>
              </w:rPr>
              <w:t xml:space="preserve">Doctors and nurses resist workload-rebalancing recommendations surfaced by the live resource dashboard (e.g., shifting load away from </w:t>
            </w:r>
            <w:proofErr w:type="spellStart"/>
            <w:r>
              <w:rPr>
                <w:sz w:val="18"/>
                <w:szCs w:val="18"/>
              </w:rPr>
              <w:t>Orthopedics</w:t>
            </w:r>
            <w:proofErr w:type="spellEnd"/>
            <w:r>
              <w:rPr>
                <w:sz w:val="18"/>
                <w:szCs w:val="18"/>
              </w:rPr>
              <w:t>).</w:t>
            </w:r>
          </w:p>
        </w:tc>
        <w:tc>
          <w:tcPr>
            <w:tcW w:w="1600" w:type="dxa"/>
            <w:vAlign w:val="center"/>
          </w:tcPr>
          <w:p w14:paraId="3638ADA4" w14:textId="77777777" w:rsidR="00E91313" w:rsidRDefault="00000000">
            <w:pPr>
              <w:jc w:val="center"/>
            </w:pPr>
            <w:r>
              <w:rPr>
                <w:sz w:val="18"/>
                <w:szCs w:val="18"/>
              </w:rPr>
              <w:t>Stakeholder</w:t>
            </w:r>
          </w:p>
        </w:tc>
        <w:tc>
          <w:tcPr>
            <w:tcW w:w="1100" w:type="dxa"/>
            <w:vAlign w:val="center"/>
          </w:tcPr>
          <w:p w14:paraId="376A4DB0" w14:textId="77777777" w:rsidR="00E91313" w:rsidRDefault="00000000">
            <w:pPr>
              <w:jc w:val="center"/>
            </w:pPr>
            <w:r>
              <w:rPr>
                <w:sz w:val="18"/>
                <w:szCs w:val="18"/>
              </w:rPr>
              <w:t>Medium</w:t>
            </w:r>
          </w:p>
        </w:tc>
        <w:tc>
          <w:tcPr>
            <w:tcW w:w="1100" w:type="dxa"/>
            <w:vAlign w:val="center"/>
          </w:tcPr>
          <w:p w14:paraId="04331C01" w14:textId="77777777" w:rsidR="00E91313" w:rsidRDefault="00000000">
            <w:pPr>
              <w:jc w:val="center"/>
            </w:pPr>
            <w:r>
              <w:rPr>
                <w:sz w:val="18"/>
                <w:szCs w:val="18"/>
              </w:rPr>
              <w:t>Medium</w:t>
            </w:r>
          </w:p>
        </w:tc>
        <w:tc>
          <w:tcPr>
            <w:tcW w:w="1000" w:type="dxa"/>
            <w:shd w:val="clear" w:color="auto" w:fill="FFF2CC"/>
            <w:vAlign w:val="center"/>
          </w:tcPr>
          <w:p w14:paraId="37C5F548" w14:textId="77777777" w:rsidR="00E91313" w:rsidRDefault="00000000">
            <w:pPr>
              <w:jc w:val="center"/>
            </w:pPr>
            <w:r>
              <w:rPr>
                <w:sz w:val="18"/>
                <w:szCs w:val="18"/>
              </w:rPr>
              <w:t>4</w:t>
            </w:r>
          </w:p>
        </w:tc>
        <w:tc>
          <w:tcPr>
            <w:tcW w:w="1100" w:type="dxa"/>
            <w:shd w:val="clear" w:color="auto" w:fill="FFF2CC"/>
            <w:vAlign w:val="center"/>
          </w:tcPr>
          <w:p w14:paraId="405F975C" w14:textId="77777777" w:rsidR="00E91313" w:rsidRDefault="00000000">
            <w:pPr>
              <w:jc w:val="center"/>
            </w:pPr>
            <w:r>
              <w:rPr>
                <w:b/>
                <w:bCs/>
                <w:sz w:val="18"/>
                <w:szCs w:val="18"/>
              </w:rPr>
              <w:t>Medium</w:t>
            </w:r>
          </w:p>
        </w:tc>
        <w:tc>
          <w:tcPr>
            <w:tcW w:w="3300" w:type="dxa"/>
            <w:vAlign w:val="center"/>
          </w:tcPr>
          <w:p w14:paraId="2E3E73D9" w14:textId="77777777" w:rsidR="00E91313" w:rsidRDefault="00000000">
            <w:r>
              <w:rPr>
                <w:sz w:val="18"/>
                <w:szCs w:val="18"/>
              </w:rPr>
              <w:t>Involve physicians and nurses directly in schedule-design feedback workshops; phase in rebalancing gradually and share transparent utilization data.</w:t>
            </w:r>
          </w:p>
        </w:tc>
      </w:tr>
      <w:tr w:rsidR="00E91313" w14:paraId="7D861C43" w14:textId="77777777">
        <w:tblPrEx>
          <w:tblCellMar>
            <w:top w:w="0" w:type="dxa"/>
            <w:bottom w:w="0" w:type="dxa"/>
          </w:tblCellMar>
        </w:tblPrEx>
        <w:tc>
          <w:tcPr>
            <w:tcW w:w="900" w:type="dxa"/>
            <w:vAlign w:val="center"/>
          </w:tcPr>
          <w:p w14:paraId="6ADEA7AD" w14:textId="77777777" w:rsidR="00E91313" w:rsidRDefault="00000000">
            <w:pPr>
              <w:jc w:val="center"/>
            </w:pPr>
            <w:r>
              <w:rPr>
                <w:b/>
                <w:bCs/>
                <w:sz w:val="18"/>
                <w:szCs w:val="18"/>
              </w:rPr>
              <w:t>ST-05</w:t>
            </w:r>
          </w:p>
        </w:tc>
        <w:tc>
          <w:tcPr>
            <w:tcW w:w="3300" w:type="dxa"/>
            <w:vAlign w:val="center"/>
          </w:tcPr>
          <w:p w14:paraId="7AD37EB9" w14:textId="77777777" w:rsidR="00E91313" w:rsidRDefault="00000000">
            <w:r>
              <w:rPr>
                <w:sz w:val="18"/>
                <w:szCs w:val="18"/>
              </w:rPr>
              <w:t>Patients continue to distrust or ignore automated SMS/Email notifications, so the 73.2% non-completion rate (no-shows, reschedules, cancellations) does not meaningfully improve.</w:t>
            </w:r>
          </w:p>
        </w:tc>
        <w:tc>
          <w:tcPr>
            <w:tcW w:w="1600" w:type="dxa"/>
            <w:vAlign w:val="center"/>
          </w:tcPr>
          <w:p w14:paraId="1EB1682F" w14:textId="77777777" w:rsidR="00E91313" w:rsidRDefault="00000000">
            <w:pPr>
              <w:jc w:val="center"/>
            </w:pPr>
            <w:r>
              <w:rPr>
                <w:sz w:val="18"/>
                <w:szCs w:val="18"/>
              </w:rPr>
              <w:t>Stakeholder</w:t>
            </w:r>
          </w:p>
        </w:tc>
        <w:tc>
          <w:tcPr>
            <w:tcW w:w="1100" w:type="dxa"/>
            <w:vAlign w:val="center"/>
          </w:tcPr>
          <w:p w14:paraId="16F698FC" w14:textId="77777777" w:rsidR="00E91313" w:rsidRDefault="00000000">
            <w:pPr>
              <w:jc w:val="center"/>
            </w:pPr>
            <w:r>
              <w:rPr>
                <w:sz w:val="18"/>
                <w:szCs w:val="18"/>
              </w:rPr>
              <w:t>Medium</w:t>
            </w:r>
          </w:p>
        </w:tc>
        <w:tc>
          <w:tcPr>
            <w:tcW w:w="1100" w:type="dxa"/>
            <w:vAlign w:val="center"/>
          </w:tcPr>
          <w:p w14:paraId="0D57C115" w14:textId="77777777" w:rsidR="00E91313" w:rsidRDefault="00000000">
            <w:pPr>
              <w:jc w:val="center"/>
            </w:pPr>
            <w:r>
              <w:rPr>
                <w:sz w:val="18"/>
                <w:szCs w:val="18"/>
              </w:rPr>
              <w:t>High</w:t>
            </w:r>
          </w:p>
        </w:tc>
        <w:tc>
          <w:tcPr>
            <w:tcW w:w="1000" w:type="dxa"/>
            <w:shd w:val="clear" w:color="auto" w:fill="F4CCCC"/>
            <w:vAlign w:val="center"/>
          </w:tcPr>
          <w:p w14:paraId="7A970BAE" w14:textId="77777777" w:rsidR="00E91313" w:rsidRDefault="00000000">
            <w:pPr>
              <w:jc w:val="center"/>
            </w:pPr>
            <w:r>
              <w:rPr>
                <w:sz w:val="18"/>
                <w:szCs w:val="18"/>
              </w:rPr>
              <w:t>6</w:t>
            </w:r>
          </w:p>
        </w:tc>
        <w:tc>
          <w:tcPr>
            <w:tcW w:w="1100" w:type="dxa"/>
            <w:shd w:val="clear" w:color="auto" w:fill="F4CCCC"/>
            <w:vAlign w:val="center"/>
          </w:tcPr>
          <w:p w14:paraId="0FA8163D" w14:textId="77777777" w:rsidR="00E91313" w:rsidRDefault="00000000">
            <w:pPr>
              <w:jc w:val="center"/>
            </w:pPr>
            <w:r>
              <w:rPr>
                <w:b/>
                <w:bCs/>
                <w:sz w:val="18"/>
                <w:szCs w:val="18"/>
              </w:rPr>
              <w:t>High</w:t>
            </w:r>
          </w:p>
        </w:tc>
        <w:tc>
          <w:tcPr>
            <w:tcW w:w="3300" w:type="dxa"/>
            <w:vAlign w:val="center"/>
          </w:tcPr>
          <w:p w14:paraId="3E69D7BC" w14:textId="77777777" w:rsidR="00E91313" w:rsidRDefault="00000000">
            <w:r>
              <w:rPr>
                <w:sz w:val="18"/>
                <w:szCs w:val="18"/>
              </w:rPr>
              <w:t>A/B test notification timing and channel; let patients choose a preferred contact method; track opt-in/engagement rates and follow up with low-engagement segments.</w:t>
            </w:r>
          </w:p>
        </w:tc>
      </w:tr>
    </w:tbl>
    <w:p w14:paraId="1CF735CC" w14:textId="77777777" w:rsidR="00E91313" w:rsidRDefault="00E91313">
      <w:pPr>
        <w:spacing w:before="200" w:after="200"/>
      </w:pPr>
    </w:p>
    <w:p w14:paraId="52D78589" w14:textId="77777777" w:rsidR="00E91313" w:rsidRDefault="00000000">
      <w:pPr>
        <w:pStyle w:val="Heading2"/>
        <w:spacing w:before="200" w:after="100"/>
      </w:pPr>
      <w:r>
        <w:rPr>
          <w:b/>
          <w:bCs/>
          <w:color w:val="1F4E78"/>
        </w:rPr>
        <w:t>Risk Assessment Matrix</w:t>
      </w:r>
    </w:p>
    <w:p w14:paraId="312ABBFA" w14:textId="77777777" w:rsidR="00E91313" w:rsidRDefault="00000000">
      <w:pPr>
        <w:spacing w:after="150"/>
      </w:pPr>
      <w:r>
        <w:t>The matrix below visualizes each risk's Likelihood-vs-Impact placement, color-coded per the standard convention: Red = High severity (immediate attention), Yellow = Medium severity (monitor and manage), Green = Low severity (regular review).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400"/>
      </w:tblGrid>
      <w:tr w:rsidR="00E91313" w14:paraId="19048ABC" w14:textId="77777777">
        <w:tblPrEx>
          <w:tblCellMar>
            <w:top w:w="0" w:type="dxa"/>
            <w:bottom w:w="0" w:type="dxa"/>
          </w:tblCellMar>
        </w:tblPrEx>
        <w:tc>
          <w:tcPr>
            <w:tcW w:w="1800" w:type="dxa"/>
            <w:shd w:val="clear" w:color="auto" w:fill="1F4E78"/>
          </w:tcPr>
          <w:p w14:paraId="4F7A2C2D" w14:textId="77777777" w:rsidR="00E91313" w:rsidRDefault="00000000">
            <w:pPr>
              <w:jc w:val="center"/>
            </w:pPr>
            <w:r>
              <w:rPr>
                <w:b/>
                <w:bCs/>
                <w:color w:val="FFFFFF"/>
                <w:sz w:val="16"/>
                <w:szCs w:val="16"/>
              </w:rPr>
              <w:t>Likelihood ↓ / Impact →</w:t>
            </w:r>
          </w:p>
        </w:tc>
        <w:tc>
          <w:tcPr>
            <w:tcW w:w="2400" w:type="dxa"/>
            <w:shd w:val="clear" w:color="auto" w:fill="1F4E78"/>
          </w:tcPr>
          <w:p w14:paraId="1CFDA9B2" w14:textId="77777777" w:rsidR="00E91313" w:rsidRDefault="00000000">
            <w:pPr>
              <w:jc w:val="center"/>
            </w:pPr>
            <w:r>
              <w:rPr>
                <w:b/>
                <w:bCs/>
                <w:color w:val="FFFFFF"/>
                <w:sz w:val="19"/>
                <w:szCs w:val="19"/>
              </w:rPr>
              <w:t>Low</w:t>
            </w:r>
          </w:p>
        </w:tc>
        <w:tc>
          <w:tcPr>
            <w:tcW w:w="2400" w:type="dxa"/>
            <w:shd w:val="clear" w:color="auto" w:fill="1F4E78"/>
          </w:tcPr>
          <w:p w14:paraId="4A63C1FE" w14:textId="77777777" w:rsidR="00E91313" w:rsidRDefault="00000000">
            <w:pPr>
              <w:jc w:val="center"/>
            </w:pPr>
            <w:r>
              <w:rPr>
                <w:b/>
                <w:bCs/>
                <w:color w:val="FFFFFF"/>
                <w:sz w:val="19"/>
                <w:szCs w:val="19"/>
              </w:rPr>
              <w:t>Medium</w:t>
            </w:r>
          </w:p>
        </w:tc>
        <w:tc>
          <w:tcPr>
            <w:tcW w:w="2400" w:type="dxa"/>
            <w:shd w:val="clear" w:color="auto" w:fill="1F4E78"/>
          </w:tcPr>
          <w:p w14:paraId="70160D2E" w14:textId="77777777" w:rsidR="00E91313" w:rsidRDefault="00000000">
            <w:pPr>
              <w:jc w:val="center"/>
            </w:pPr>
            <w:r>
              <w:rPr>
                <w:b/>
                <w:bCs/>
                <w:color w:val="FFFFFF"/>
                <w:sz w:val="19"/>
                <w:szCs w:val="19"/>
              </w:rPr>
              <w:t>High</w:t>
            </w:r>
          </w:p>
        </w:tc>
      </w:tr>
      <w:tr w:rsidR="00E91313" w14:paraId="4A03FC58" w14:textId="77777777">
        <w:tblPrEx>
          <w:tblCellMar>
            <w:top w:w="0" w:type="dxa"/>
            <w:bottom w:w="0" w:type="dxa"/>
          </w:tblCellMar>
        </w:tblPrEx>
        <w:tc>
          <w:tcPr>
            <w:tcW w:w="1800" w:type="dxa"/>
            <w:shd w:val="clear" w:color="auto" w:fill="1F4E78"/>
          </w:tcPr>
          <w:p w14:paraId="5E4B0CDC" w14:textId="77777777" w:rsidR="00E91313" w:rsidRDefault="00000000">
            <w:pPr>
              <w:jc w:val="center"/>
            </w:pPr>
            <w:r>
              <w:rPr>
                <w:b/>
                <w:bCs/>
                <w:color w:val="FFFFFF"/>
                <w:sz w:val="19"/>
                <w:szCs w:val="19"/>
              </w:rPr>
              <w:t>High</w:t>
            </w:r>
          </w:p>
        </w:tc>
        <w:tc>
          <w:tcPr>
            <w:tcW w:w="2400" w:type="dxa"/>
            <w:shd w:val="clear" w:color="auto" w:fill="FFD966"/>
            <w:vAlign w:val="center"/>
          </w:tcPr>
          <w:p w14:paraId="00394777" w14:textId="77777777" w:rsidR="00E91313" w:rsidRDefault="00000000">
            <w:pPr>
              <w:jc w:val="center"/>
            </w:pPr>
            <w:r>
              <w:rPr>
                <w:b/>
                <w:bCs/>
                <w:color w:val="000000"/>
                <w:sz w:val="18"/>
                <w:szCs w:val="18"/>
              </w:rPr>
              <w:t>—</w:t>
            </w:r>
          </w:p>
        </w:tc>
        <w:tc>
          <w:tcPr>
            <w:tcW w:w="2400" w:type="dxa"/>
            <w:shd w:val="clear" w:color="auto" w:fill="E06666"/>
            <w:vAlign w:val="center"/>
          </w:tcPr>
          <w:p w14:paraId="30775727" w14:textId="77777777" w:rsidR="00E91313" w:rsidRDefault="00000000">
            <w:pPr>
              <w:jc w:val="center"/>
            </w:pPr>
            <w:r>
              <w:rPr>
                <w:b/>
                <w:bCs/>
                <w:color w:val="000000"/>
                <w:sz w:val="18"/>
                <w:szCs w:val="18"/>
              </w:rPr>
              <w:t>OP-03</w:t>
            </w:r>
          </w:p>
        </w:tc>
        <w:tc>
          <w:tcPr>
            <w:tcW w:w="2400" w:type="dxa"/>
            <w:shd w:val="clear" w:color="auto" w:fill="E06666"/>
            <w:vAlign w:val="center"/>
          </w:tcPr>
          <w:p w14:paraId="6D57527A" w14:textId="77777777" w:rsidR="00E91313" w:rsidRDefault="00000000">
            <w:pPr>
              <w:jc w:val="center"/>
            </w:pPr>
            <w:r>
              <w:rPr>
                <w:b/>
                <w:bCs/>
                <w:color w:val="000000"/>
                <w:sz w:val="18"/>
                <w:szCs w:val="18"/>
              </w:rPr>
              <w:t>OP-04</w:t>
            </w:r>
          </w:p>
        </w:tc>
      </w:tr>
      <w:tr w:rsidR="00E91313" w14:paraId="4E32FE1F" w14:textId="77777777">
        <w:tblPrEx>
          <w:tblCellMar>
            <w:top w:w="0" w:type="dxa"/>
            <w:bottom w:w="0" w:type="dxa"/>
          </w:tblCellMar>
        </w:tblPrEx>
        <w:tc>
          <w:tcPr>
            <w:tcW w:w="1800" w:type="dxa"/>
            <w:shd w:val="clear" w:color="auto" w:fill="1F4E78"/>
          </w:tcPr>
          <w:p w14:paraId="15F496B6" w14:textId="77777777" w:rsidR="00E91313" w:rsidRDefault="00000000">
            <w:pPr>
              <w:jc w:val="center"/>
            </w:pPr>
            <w:r>
              <w:rPr>
                <w:b/>
                <w:bCs/>
                <w:color w:val="FFFFFF"/>
                <w:sz w:val="19"/>
                <w:szCs w:val="19"/>
              </w:rPr>
              <w:t>Medium</w:t>
            </w:r>
          </w:p>
        </w:tc>
        <w:tc>
          <w:tcPr>
            <w:tcW w:w="2400" w:type="dxa"/>
            <w:shd w:val="clear" w:color="auto" w:fill="93C47D"/>
            <w:vAlign w:val="center"/>
          </w:tcPr>
          <w:p w14:paraId="63467651" w14:textId="77777777" w:rsidR="00E91313" w:rsidRDefault="00000000">
            <w:pPr>
              <w:jc w:val="center"/>
            </w:pPr>
            <w:r>
              <w:rPr>
                <w:b/>
                <w:bCs/>
                <w:color w:val="1B4D1B"/>
                <w:sz w:val="18"/>
                <w:szCs w:val="18"/>
              </w:rPr>
              <w:t>—</w:t>
            </w:r>
          </w:p>
        </w:tc>
        <w:tc>
          <w:tcPr>
            <w:tcW w:w="2400" w:type="dxa"/>
            <w:shd w:val="clear" w:color="auto" w:fill="FFD966"/>
            <w:vAlign w:val="center"/>
          </w:tcPr>
          <w:p w14:paraId="2135F617" w14:textId="77777777" w:rsidR="00E91313" w:rsidRDefault="00000000">
            <w:pPr>
              <w:jc w:val="center"/>
            </w:pPr>
            <w:r>
              <w:rPr>
                <w:b/>
                <w:bCs/>
                <w:color w:val="000000"/>
                <w:sz w:val="18"/>
                <w:szCs w:val="18"/>
              </w:rPr>
              <w:t>OP-02, TE-03, ST-01, ST-02, ST-04</w:t>
            </w:r>
          </w:p>
        </w:tc>
        <w:tc>
          <w:tcPr>
            <w:tcW w:w="2400" w:type="dxa"/>
            <w:shd w:val="clear" w:color="auto" w:fill="E06666"/>
            <w:vAlign w:val="center"/>
          </w:tcPr>
          <w:p w14:paraId="2E2EA314" w14:textId="77777777" w:rsidR="00E91313" w:rsidRDefault="00000000">
            <w:pPr>
              <w:jc w:val="center"/>
            </w:pPr>
            <w:r>
              <w:rPr>
                <w:b/>
                <w:bCs/>
                <w:color w:val="000000"/>
                <w:sz w:val="18"/>
                <w:szCs w:val="18"/>
              </w:rPr>
              <w:t>OP-01, OP-05, TE-02, TE-04, ST-05</w:t>
            </w:r>
          </w:p>
        </w:tc>
      </w:tr>
      <w:tr w:rsidR="00E91313" w14:paraId="2FF0F875" w14:textId="77777777">
        <w:tblPrEx>
          <w:tblCellMar>
            <w:top w:w="0" w:type="dxa"/>
            <w:bottom w:w="0" w:type="dxa"/>
          </w:tblCellMar>
        </w:tblPrEx>
        <w:tc>
          <w:tcPr>
            <w:tcW w:w="1800" w:type="dxa"/>
            <w:shd w:val="clear" w:color="auto" w:fill="1F4E78"/>
          </w:tcPr>
          <w:p w14:paraId="154BCC86" w14:textId="77777777" w:rsidR="00E91313" w:rsidRDefault="00000000">
            <w:pPr>
              <w:jc w:val="center"/>
            </w:pPr>
            <w:r>
              <w:rPr>
                <w:b/>
                <w:bCs/>
                <w:color w:val="FFFFFF"/>
                <w:sz w:val="19"/>
                <w:szCs w:val="19"/>
              </w:rPr>
              <w:t>Low</w:t>
            </w:r>
          </w:p>
        </w:tc>
        <w:tc>
          <w:tcPr>
            <w:tcW w:w="2400" w:type="dxa"/>
            <w:shd w:val="clear" w:color="auto" w:fill="93C47D"/>
            <w:vAlign w:val="center"/>
          </w:tcPr>
          <w:p w14:paraId="17F1DB51" w14:textId="77777777" w:rsidR="00E91313" w:rsidRDefault="00000000">
            <w:pPr>
              <w:jc w:val="center"/>
            </w:pPr>
            <w:r>
              <w:rPr>
                <w:b/>
                <w:bCs/>
                <w:color w:val="1B4D1B"/>
                <w:sz w:val="18"/>
                <w:szCs w:val="18"/>
              </w:rPr>
              <w:t>—</w:t>
            </w:r>
          </w:p>
        </w:tc>
        <w:tc>
          <w:tcPr>
            <w:tcW w:w="2400" w:type="dxa"/>
            <w:shd w:val="clear" w:color="auto" w:fill="93C47D"/>
            <w:vAlign w:val="center"/>
          </w:tcPr>
          <w:p w14:paraId="34777377" w14:textId="77777777" w:rsidR="00E91313" w:rsidRDefault="00000000">
            <w:pPr>
              <w:jc w:val="center"/>
            </w:pPr>
            <w:r>
              <w:rPr>
                <w:b/>
                <w:bCs/>
                <w:color w:val="1B4D1B"/>
                <w:sz w:val="18"/>
                <w:szCs w:val="18"/>
              </w:rPr>
              <w:t>TE-05, ST-03</w:t>
            </w:r>
          </w:p>
        </w:tc>
        <w:tc>
          <w:tcPr>
            <w:tcW w:w="2400" w:type="dxa"/>
            <w:shd w:val="clear" w:color="auto" w:fill="FFD966"/>
            <w:vAlign w:val="center"/>
          </w:tcPr>
          <w:p w14:paraId="6595692E" w14:textId="77777777" w:rsidR="00E91313" w:rsidRDefault="00000000">
            <w:pPr>
              <w:jc w:val="center"/>
            </w:pPr>
            <w:r>
              <w:rPr>
                <w:b/>
                <w:bCs/>
                <w:color w:val="000000"/>
                <w:sz w:val="18"/>
                <w:szCs w:val="18"/>
              </w:rPr>
              <w:t>TE-01</w:t>
            </w:r>
          </w:p>
        </w:tc>
      </w:tr>
    </w:tbl>
    <w:p w14:paraId="4A7865D0" w14:textId="77777777" w:rsidR="00E91313" w:rsidRDefault="00000000">
      <w:r>
        <w:br w:type="page"/>
      </w:r>
    </w:p>
    <w:p w14:paraId="07E6B714" w14:textId="77777777" w:rsidR="00E91313" w:rsidRDefault="00000000">
      <w:pPr>
        <w:pStyle w:val="Heading1"/>
        <w:spacing w:before="300" w:after="150"/>
      </w:pPr>
      <w:r>
        <w:rPr>
          <w:b/>
          <w:bCs/>
          <w:color w:val="1F4E78"/>
        </w:rPr>
        <w:lastRenderedPageBreak/>
        <w:t>Task 3: SWOT Analysis</w:t>
      </w:r>
    </w:p>
    <w:p w14:paraId="390A3DED" w14:textId="77777777" w:rsidR="00E91313" w:rsidRDefault="00000000">
      <w:pPr>
        <w:spacing w:after="150"/>
      </w:pPr>
      <w:r>
        <w:t xml:space="preserve">The SWOT analysis below evaluates the </w:t>
      </w:r>
      <w:proofErr w:type="spellStart"/>
      <w:r>
        <w:t>HealthFirst</w:t>
      </w:r>
      <w:proofErr w:type="spellEnd"/>
      <w:r>
        <w:t xml:space="preserve"> Care Initiative's internal strengths and weaknesses alongside external opportunities and threats, drawing on the same operational, technical, and stakeholder findings that informed the Risk Register.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E91313" w14:paraId="398B4658" w14:textId="77777777">
        <w:tblPrEx>
          <w:tblCellMar>
            <w:top w:w="0" w:type="dxa"/>
            <w:bottom w:w="0" w:type="dxa"/>
          </w:tblCellMar>
        </w:tblPrEx>
        <w:tc>
          <w:tcPr>
            <w:tcW w:w="4700" w:type="dxa"/>
            <w:shd w:val="clear" w:color="auto" w:fill="D9EAD3"/>
            <w:tcMar>
              <w:top w:w="150" w:type="dxa"/>
              <w:left w:w="150" w:type="dxa"/>
              <w:bottom w:w="150" w:type="dxa"/>
              <w:right w:w="150" w:type="dxa"/>
            </w:tcMar>
          </w:tcPr>
          <w:p w14:paraId="58F687C2" w14:textId="77777777" w:rsidR="00E91313" w:rsidRDefault="00000000">
            <w:r>
              <w:rPr>
                <w:b/>
                <w:bCs/>
                <w:sz w:val="22"/>
                <w:szCs w:val="22"/>
              </w:rPr>
              <w:t>Strengths</w:t>
            </w:r>
          </w:p>
          <w:p w14:paraId="04C31571" w14:textId="77777777" w:rsidR="00E91313" w:rsidRDefault="00000000">
            <w:pPr>
              <w:pStyle w:val="ListParagraph"/>
              <w:numPr>
                <w:ilvl w:val="0"/>
                <w:numId w:val="1"/>
              </w:numPr>
            </w:pPr>
            <w:r>
              <w:rPr>
                <w:sz w:val="18"/>
                <w:szCs w:val="18"/>
              </w:rPr>
              <w:t>Strong, engaged executive/leadership sponsorship (Key Players quadrant) backing the initiative.</w:t>
            </w:r>
          </w:p>
          <w:p w14:paraId="4B1A3C1C" w14:textId="77777777" w:rsidR="00E91313" w:rsidRDefault="00000000">
            <w:pPr>
              <w:pStyle w:val="ListParagraph"/>
              <w:numPr>
                <w:ilvl w:val="0"/>
                <w:numId w:val="1"/>
              </w:numPr>
            </w:pPr>
            <w:r>
              <w:rPr>
                <w:sz w:val="18"/>
                <w:szCs w:val="18"/>
              </w:rPr>
              <w:t xml:space="preserve">Reliable, empirically validated baseline data — 216 appointment, 217 feedback, and 213 resource records </w:t>
            </w:r>
            <w:proofErr w:type="spellStart"/>
            <w:r>
              <w:rPr>
                <w:sz w:val="18"/>
                <w:szCs w:val="18"/>
              </w:rPr>
              <w:t>analyzed</w:t>
            </w:r>
            <w:proofErr w:type="spellEnd"/>
            <w:r>
              <w:rPr>
                <w:sz w:val="18"/>
                <w:szCs w:val="18"/>
              </w:rPr>
              <w:t>.</w:t>
            </w:r>
          </w:p>
          <w:p w14:paraId="4880D085" w14:textId="77777777" w:rsidR="00E91313" w:rsidRDefault="00000000">
            <w:pPr>
              <w:pStyle w:val="ListParagraph"/>
              <w:numPr>
                <w:ilvl w:val="0"/>
                <w:numId w:val="1"/>
              </w:numPr>
            </w:pPr>
            <w:r>
              <w:rPr>
                <w:sz w:val="18"/>
                <w:szCs w:val="18"/>
              </w:rPr>
              <w:t>Clear, quantified acceptance criteria (AC-01 through AC-04) that make success objectively measurable.</w:t>
            </w:r>
          </w:p>
          <w:p w14:paraId="10CC49B3" w14:textId="77777777" w:rsidR="00E91313" w:rsidRDefault="00000000">
            <w:pPr>
              <w:pStyle w:val="ListParagraph"/>
              <w:numPr>
                <w:ilvl w:val="0"/>
                <w:numId w:val="1"/>
              </w:numPr>
            </w:pPr>
            <w:r>
              <w:rPr>
                <w:sz w:val="18"/>
                <w:szCs w:val="18"/>
              </w:rPr>
              <w:t>Formal BRD, RTM, and Stakeholder Engagement Plan already approved, giving the project a documented foundation.</w:t>
            </w:r>
          </w:p>
        </w:tc>
        <w:tc>
          <w:tcPr>
            <w:tcW w:w="4700" w:type="dxa"/>
            <w:shd w:val="clear" w:color="auto" w:fill="F4CCCC"/>
            <w:tcMar>
              <w:top w:w="150" w:type="dxa"/>
              <w:left w:w="150" w:type="dxa"/>
              <w:bottom w:w="150" w:type="dxa"/>
              <w:right w:w="150" w:type="dxa"/>
            </w:tcMar>
          </w:tcPr>
          <w:p w14:paraId="0834012B" w14:textId="77777777" w:rsidR="00E91313" w:rsidRDefault="00000000">
            <w:r>
              <w:rPr>
                <w:b/>
                <w:bCs/>
                <w:sz w:val="22"/>
                <w:szCs w:val="22"/>
              </w:rPr>
              <w:t>Weaknesses</w:t>
            </w:r>
          </w:p>
          <w:p w14:paraId="4E1D7762" w14:textId="77777777" w:rsidR="00E91313" w:rsidRDefault="00000000">
            <w:pPr>
              <w:pStyle w:val="ListParagraph"/>
              <w:numPr>
                <w:ilvl w:val="0"/>
                <w:numId w:val="1"/>
              </w:numPr>
            </w:pPr>
            <w:r>
              <w:rPr>
                <w:sz w:val="18"/>
                <w:szCs w:val="18"/>
              </w:rPr>
              <w:t>Core workflows (billing exception handling, room/equipment requests) remain manual with no defined turnaround SLAs.</w:t>
            </w:r>
          </w:p>
          <w:p w14:paraId="5B79BD3F" w14:textId="77777777" w:rsidR="00E91313" w:rsidRDefault="00000000">
            <w:pPr>
              <w:pStyle w:val="ListParagraph"/>
              <w:numPr>
                <w:ilvl w:val="0"/>
                <w:numId w:val="1"/>
              </w:numPr>
            </w:pPr>
            <w:r>
              <w:rPr>
                <w:sz w:val="18"/>
                <w:szCs w:val="18"/>
              </w:rPr>
              <w:t>Departmental data silos and legacy database interoperability constraints slow integration.</w:t>
            </w:r>
          </w:p>
          <w:p w14:paraId="685E0123" w14:textId="77777777" w:rsidR="00E91313" w:rsidRDefault="00000000">
            <w:pPr>
              <w:pStyle w:val="ListParagraph"/>
              <w:numPr>
                <w:ilvl w:val="0"/>
                <w:numId w:val="1"/>
              </w:numPr>
            </w:pPr>
            <w:r>
              <w:rPr>
                <w:sz w:val="18"/>
                <w:szCs w:val="18"/>
              </w:rPr>
              <w:t>Significant resource/workload imbalance (</w:t>
            </w:r>
            <w:proofErr w:type="spellStart"/>
            <w:r>
              <w:rPr>
                <w:sz w:val="18"/>
                <w:szCs w:val="18"/>
              </w:rPr>
              <w:t>Orthopedics</w:t>
            </w:r>
            <w:proofErr w:type="spellEnd"/>
            <w:r>
              <w:rPr>
                <w:sz w:val="18"/>
                <w:szCs w:val="18"/>
              </w:rPr>
              <w:t xml:space="preserve"> 7.86 hrs/day) that scheduling automation alone will not fix.</w:t>
            </w:r>
          </w:p>
          <w:p w14:paraId="795E8117" w14:textId="77777777" w:rsidR="00E91313" w:rsidRDefault="00000000">
            <w:pPr>
              <w:pStyle w:val="ListParagraph"/>
              <w:numPr>
                <w:ilvl w:val="0"/>
                <w:numId w:val="1"/>
              </w:numPr>
            </w:pPr>
            <w:r>
              <w:rPr>
                <w:sz w:val="18"/>
                <w:szCs w:val="18"/>
              </w:rPr>
              <w:t>Budget is capped to approved cap-ex allocations, limiting scope for additional remediation.</w:t>
            </w:r>
          </w:p>
        </w:tc>
      </w:tr>
      <w:tr w:rsidR="00E91313" w14:paraId="1F880DDE" w14:textId="77777777">
        <w:tblPrEx>
          <w:tblCellMar>
            <w:top w:w="0" w:type="dxa"/>
            <w:bottom w:w="0" w:type="dxa"/>
          </w:tblCellMar>
        </w:tblPrEx>
        <w:tc>
          <w:tcPr>
            <w:tcW w:w="4700" w:type="dxa"/>
            <w:shd w:val="clear" w:color="auto" w:fill="FFF2CC"/>
            <w:tcMar>
              <w:top w:w="150" w:type="dxa"/>
              <w:left w:w="150" w:type="dxa"/>
              <w:bottom w:w="150" w:type="dxa"/>
              <w:right w:w="150" w:type="dxa"/>
            </w:tcMar>
          </w:tcPr>
          <w:p w14:paraId="2F166288" w14:textId="77777777" w:rsidR="00E91313" w:rsidRDefault="00000000">
            <w:r>
              <w:rPr>
                <w:b/>
                <w:bCs/>
                <w:sz w:val="22"/>
                <w:szCs w:val="22"/>
              </w:rPr>
              <w:t>Opportunities</w:t>
            </w:r>
          </w:p>
          <w:p w14:paraId="08CEB69A" w14:textId="77777777" w:rsidR="00E91313" w:rsidRDefault="00000000">
            <w:pPr>
              <w:pStyle w:val="ListParagraph"/>
              <w:numPr>
                <w:ilvl w:val="0"/>
                <w:numId w:val="1"/>
              </w:numPr>
            </w:pPr>
            <w:r>
              <w:rPr>
                <w:sz w:val="18"/>
                <w:szCs w:val="18"/>
              </w:rPr>
              <w:t>Automated conflict-detection engine and self-service kiosks can eliminate double-bookings and cut check-in time.</w:t>
            </w:r>
          </w:p>
          <w:p w14:paraId="7D3FF873" w14:textId="77777777" w:rsidR="00E91313" w:rsidRDefault="00000000">
            <w:pPr>
              <w:pStyle w:val="ListParagraph"/>
              <w:numPr>
                <w:ilvl w:val="0"/>
                <w:numId w:val="1"/>
              </w:numPr>
            </w:pPr>
            <w:r>
              <w:rPr>
                <w:sz w:val="18"/>
                <w:szCs w:val="18"/>
              </w:rPr>
              <w:t>Staff training programs can accelerate adoption and reduce manual-process errors.</w:t>
            </w:r>
          </w:p>
          <w:p w14:paraId="1A2B510F" w14:textId="77777777" w:rsidR="00E91313" w:rsidRDefault="00000000">
            <w:pPr>
              <w:pStyle w:val="ListParagraph"/>
              <w:numPr>
                <w:ilvl w:val="0"/>
                <w:numId w:val="1"/>
              </w:numPr>
            </w:pPr>
            <w:r>
              <w:rPr>
                <w:sz w:val="18"/>
                <w:szCs w:val="18"/>
              </w:rPr>
              <w:t xml:space="preserve">Live resource dashboard enables rebalancing idle capacity (General Medicine, </w:t>
            </w:r>
            <w:proofErr w:type="spellStart"/>
            <w:r>
              <w:rPr>
                <w:sz w:val="18"/>
                <w:szCs w:val="18"/>
              </w:rPr>
              <w:t>Orthopedics</w:t>
            </w:r>
            <w:proofErr w:type="spellEnd"/>
            <w:r>
              <w:rPr>
                <w:sz w:val="18"/>
                <w:szCs w:val="18"/>
              </w:rPr>
              <w:t xml:space="preserve">) toward overburdened </w:t>
            </w:r>
            <w:proofErr w:type="spellStart"/>
            <w:r>
              <w:rPr>
                <w:sz w:val="18"/>
                <w:szCs w:val="18"/>
              </w:rPr>
              <w:t>Pediatrics</w:t>
            </w:r>
            <w:proofErr w:type="spellEnd"/>
            <w:r>
              <w:rPr>
                <w:sz w:val="18"/>
                <w:szCs w:val="18"/>
              </w:rPr>
              <w:t>.</w:t>
            </w:r>
          </w:p>
          <w:p w14:paraId="0AD17AE7" w14:textId="77777777" w:rsidR="00E91313" w:rsidRDefault="00000000">
            <w:pPr>
              <w:pStyle w:val="ListParagraph"/>
              <w:numPr>
                <w:ilvl w:val="0"/>
                <w:numId w:val="1"/>
              </w:numPr>
            </w:pPr>
            <w:r>
              <w:rPr>
                <w:sz w:val="18"/>
                <w:szCs w:val="18"/>
              </w:rPr>
              <w:t>Phase 2 billing/financial system overhaul could close the remaining data-silo gap identified by IT &amp; Operations.</w:t>
            </w:r>
          </w:p>
        </w:tc>
        <w:tc>
          <w:tcPr>
            <w:tcW w:w="4700" w:type="dxa"/>
            <w:shd w:val="clear" w:color="auto" w:fill="D0E0E3"/>
            <w:tcMar>
              <w:top w:w="150" w:type="dxa"/>
              <w:left w:w="150" w:type="dxa"/>
              <w:bottom w:w="150" w:type="dxa"/>
              <w:right w:w="150" w:type="dxa"/>
            </w:tcMar>
          </w:tcPr>
          <w:p w14:paraId="2164AA37" w14:textId="77777777" w:rsidR="00E91313" w:rsidRDefault="00000000">
            <w:r>
              <w:rPr>
                <w:b/>
                <w:bCs/>
                <w:sz w:val="22"/>
                <w:szCs w:val="22"/>
              </w:rPr>
              <w:t>Threats</w:t>
            </w:r>
          </w:p>
          <w:p w14:paraId="2DE2BF99" w14:textId="77777777" w:rsidR="00E91313" w:rsidRDefault="00000000">
            <w:pPr>
              <w:pStyle w:val="ListParagraph"/>
              <w:numPr>
                <w:ilvl w:val="0"/>
                <w:numId w:val="1"/>
              </w:numPr>
            </w:pPr>
            <w:r>
              <w:rPr>
                <w:sz w:val="18"/>
                <w:szCs w:val="18"/>
              </w:rPr>
              <w:t>Data breach or HIPAA non-compliance during legacy-to-cloud EHR integration.</w:t>
            </w:r>
          </w:p>
          <w:p w14:paraId="6EDD0C39" w14:textId="77777777" w:rsidR="00E91313" w:rsidRDefault="00000000">
            <w:pPr>
              <w:pStyle w:val="ListParagraph"/>
              <w:numPr>
                <w:ilvl w:val="0"/>
                <w:numId w:val="1"/>
              </w:numPr>
            </w:pPr>
            <w:r>
              <w:rPr>
                <w:sz w:val="18"/>
                <w:szCs w:val="18"/>
              </w:rPr>
              <w:t>Stakeholder resistance to change from administrative and clinical staff accustomed to manual workflows.</w:t>
            </w:r>
          </w:p>
          <w:p w14:paraId="312AD707" w14:textId="77777777" w:rsidR="00E91313" w:rsidRDefault="00000000">
            <w:pPr>
              <w:pStyle w:val="ListParagraph"/>
              <w:numPr>
                <w:ilvl w:val="0"/>
                <w:numId w:val="1"/>
              </w:numPr>
            </w:pPr>
            <w:r>
              <w:rPr>
                <w:sz w:val="18"/>
                <w:szCs w:val="18"/>
              </w:rPr>
              <w:t>Patient distrust or low adoption of the automated notification system and self-service portal.</w:t>
            </w:r>
          </w:p>
          <w:p w14:paraId="5387E5CF" w14:textId="77777777" w:rsidR="00E91313" w:rsidRDefault="00000000">
            <w:pPr>
              <w:pStyle w:val="ListParagraph"/>
              <w:numPr>
                <w:ilvl w:val="0"/>
                <w:numId w:val="1"/>
              </w:numPr>
            </w:pPr>
            <w:r>
              <w:rPr>
                <w:sz w:val="18"/>
                <w:szCs w:val="18"/>
              </w:rPr>
              <w:t>Continued peak-hour (4-6 PM, Monday/weekend) congestion if staffing is not rebalanced alongside the technology rollout.</w:t>
            </w:r>
          </w:p>
        </w:tc>
      </w:tr>
    </w:tbl>
    <w:p w14:paraId="4188C50E" w14:textId="77777777" w:rsidR="00E91313" w:rsidRDefault="00E91313">
      <w:pPr>
        <w:spacing w:before="300" w:after="100"/>
      </w:pPr>
    </w:p>
    <w:p w14:paraId="36FC87E6" w14:textId="77777777" w:rsidR="00E91313" w:rsidRDefault="00000000">
      <w:pPr>
        <w:pStyle w:val="Heading1"/>
        <w:spacing w:before="300" w:after="150"/>
      </w:pPr>
      <w:r>
        <w:rPr>
          <w:b/>
          <w:bCs/>
          <w:color w:val="1F4E78"/>
        </w:rPr>
        <w:t>Summary &amp; Next Steps</w:t>
      </w:r>
    </w:p>
    <w:p w14:paraId="10F645EB" w14:textId="77777777" w:rsidR="00E91313" w:rsidRDefault="00000000">
      <w:pPr>
        <w:pStyle w:val="ListParagraph"/>
        <w:numPr>
          <w:ilvl w:val="0"/>
          <w:numId w:val="1"/>
        </w:numPr>
        <w:spacing w:after="80"/>
      </w:pPr>
      <w:r>
        <w:t xml:space="preserve">Prioritize the seven High-severity risks (OP-01, OP-03, OP-04, OP-05, TE-02, TE-04, ST-05) for immediate mitigation planning, since they concentrate around staffing/workload rebalancing, peak-hour capacity, and system reliability — the same themes surfaced throughout the BRD, process models, and </w:t>
      </w:r>
      <w:proofErr w:type="spellStart"/>
      <w:r>
        <w:t>swimlane</w:t>
      </w:r>
      <w:proofErr w:type="spellEnd"/>
      <w:r>
        <w:t xml:space="preserve"> analysis.</w:t>
      </w:r>
    </w:p>
    <w:p w14:paraId="52E50729" w14:textId="77777777" w:rsidR="00E91313" w:rsidRDefault="00000000">
      <w:pPr>
        <w:pStyle w:val="ListParagraph"/>
        <w:numPr>
          <w:ilvl w:val="0"/>
          <w:numId w:val="1"/>
        </w:numPr>
        <w:spacing w:after="80"/>
      </w:pPr>
      <w:r>
        <w:t>Track Medium-severity risks (six identified) through routine project status reviews, revisiting their likelihood/impact scores as mitigation actions take effect.</w:t>
      </w:r>
    </w:p>
    <w:p w14:paraId="375091FA" w14:textId="77777777" w:rsidR="00E91313" w:rsidRDefault="00000000">
      <w:pPr>
        <w:pStyle w:val="ListParagraph"/>
        <w:numPr>
          <w:ilvl w:val="0"/>
          <w:numId w:val="1"/>
        </w:numPr>
        <w:spacing w:after="80"/>
      </w:pPr>
      <w:r>
        <w:t>Maintain lightweight monitoring of the two Low-severity risks (TE-05, ST-03) without dedicating major resources unless conditions change.</w:t>
      </w:r>
    </w:p>
    <w:p w14:paraId="28FCF4BF" w14:textId="77777777" w:rsidR="00E91313" w:rsidRDefault="00000000">
      <w:pPr>
        <w:pStyle w:val="ListParagraph"/>
        <w:numPr>
          <w:ilvl w:val="0"/>
          <w:numId w:val="1"/>
        </w:numPr>
        <w:spacing w:after="80"/>
      </w:pPr>
      <w:r>
        <w:lastRenderedPageBreak/>
        <w:t>Revisit this Risk Register and SWOT analysis at each project milestone to confirm mitigation strategies remain aligned with the AC-01 through AC-04 acceptance criteria.</w:t>
      </w:r>
    </w:p>
    <w:p w14:paraId="0B45FD76" w14:textId="77777777" w:rsidR="00E91313" w:rsidRDefault="00000000">
      <w:pPr>
        <w:spacing w:after="150"/>
      </w:pPr>
      <w:r>
        <w:t>A companion Excel workbook (HealthFirst_Care_Risk_Register.xlsx) accompanies this document, containing the fully formula-driven Risk Register and an editable Risk Assessment Matrix.</w:t>
      </w:r>
    </w:p>
    <w:sectPr w:rsidR="00E91313">
      <w:pgSz w:w="15840" w:h="12240" w:orient="landscape"/>
      <w:pgMar w:top="720" w:right="600" w:bottom="720" w:left="6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61D9F"/>
    <w:multiLevelType w:val="hybridMultilevel"/>
    <w:tmpl w:val="FB1CE65A"/>
    <w:lvl w:ilvl="0" w:tplc="BEC621EC">
      <w:start w:val="1"/>
      <w:numFmt w:val="bullet"/>
      <w:lvlText w:val="●"/>
      <w:lvlJc w:val="left"/>
      <w:pPr>
        <w:ind w:left="720" w:hanging="360"/>
      </w:pPr>
    </w:lvl>
    <w:lvl w:ilvl="1" w:tplc="C1A69DFE">
      <w:start w:val="1"/>
      <w:numFmt w:val="bullet"/>
      <w:lvlText w:val="○"/>
      <w:lvlJc w:val="left"/>
      <w:pPr>
        <w:ind w:left="1440" w:hanging="360"/>
      </w:pPr>
    </w:lvl>
    <w:lvl w:ilvl="2" w:tplc="B4BE52AC">
      <w:start w:val="1"/>
      <w:numFmt w:val="bullet"/>
      <w:lvlText w:val="■"/>
      <w:lvlJc w:val="left"/>
      <w:pPr>
        <w:ind w:left="2160" w:hanging="360"/>
      </w:pPr>
    </w:lvl>
    <w:lvl w:ilvl="3" w:tplc="27F2B292">
      <w:start w:val="1"/>
      <w:numFmt w:val="bullet"/>
      <w:lvlText w:val="●"/>
      <w:lvlJc w:val="left"/>
      <w:pPr>
        <w:ind w:left="2880" w:hanging="360"/>
      </w:pPr>
    </w:lvl>
    <w:lvl w:ilvl="4" w:tplc="3A4AAE6E">
      <w:start w:val="1"/>
      <w:numFmt w:val="bullet"/>
      <w:lvlText w:val="○"/>
      <w:lvlJc w:val="left"/>
      <w:pPr>
        <w:ind w:left="3600" w:hanging="360"/>
      </w:pPr>
    </w:lvl>
    <w:lvl w:ilvl="5" w:tplc="43740EBE">
      <w:start w:val="1"/>
      <w:numFmt w:val="bullet"/>
      <w:lvlText w:val="■"/>
      <w:lvlJc w:val="left"/>
      <w:pPr>
        <w:ind w:left="4320" w:hanging="360"/>
      </w:pPr>
    </w:lvl>
    <w:lvl w:ilvl="6" w:tplc="DEE6A5BA">
      <w:start w:val="1"/>
      <w:numFmt w:val="bullet"/>
      <w:lvlText w:val="●"/>
      <w:lvlJc w:val="left"/>
      <w:pPr>
        <w:ind w:left="5040" w:hanging="360"/>
      </w:pPr>
    </w:lvl>
    <w:lvl w:ilvl="7" w:tplc="801C4C0A">
      <w:start w:val="1"/>
      <w:numFmt w:val="bullet"/>
      <w:lvlText w:val="●"/>
      <w:lvlJc w:val="left"/>
      <w:pPr>
        <w:ind w:left="5760" w:hanging="360"/>
      </w:pPr>
    </w:lvl>
    <w:lvl w:ilvl="8" w:tplc="9E3E37AE">
      <w:start w:val="1"/>
      <w:numFmt w:val="bullet"/>
      <w:lvlText w:val="●"/>
      <w:lvlJc w:val="left"/>
      <w:pPr>
        <w:ind w:left="6480" w:hanging="360"/>
      </w:pPr>
    </w:lvl>
  </w:abstractNum>
  <w:num w:numId="1" w16cid:durableId="38628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313"/>
    <w:rsid w:val="00814A35"/>
    <w:rsid w:val="00E36C87"/>
    <w:rsid w:val="00E91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CC98"/>
  <w15:docId w15:val="{414A0CDE-BB3D-4F31-B92A-5476F9C4D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1506</Words>
  <Characters>8587</Characters>
  <Application>Microsoft Office Word</Application>
  <DocSecurity>0</DocSecurity>
  <Lines>71</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imran khan</cp:lastModifiedBy>
  <cp:revision>2</cp:revision>
  <dcterms:created xsi:type="dcterms:W3CDTF">2026-09-01T07:15:00Z</dcterms:created>
  <dcterms:modified xsi:type="dcterms:W3CDTF">2026-09-01T07:19:00Z</dcterms:modified>
</cp:coreProperties>
</file>