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7931" w14:textId="77777777" w:rsidR="004220E8" w:rsidRDefault="004220E8">
      <w:pPr>
        <w:pBdr>
          <w:top w:val="nil"/>
          <w:left w:val="nil"/>
          <w:bottom w:val="nil"/>
          <w:right w:val="nil"/>
          <w:between w:val="nil"/>
        </w:pBdr>
        <w:spacing w:after="240" w:line="275" w:lineRule="auto"/>
        <w:rPr>
          <w:color w:val="000000"/>
        </w:rPr>
      </w:pPr>
    </w:p>
    <w:p w14:paraId="698725F7" w14:textId="77777777" w:rsidR="004220E8" w:rsidRDefault="00000000">
      <w:pPr>
        <w:pStyle w:val="Heading1"/>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Strategic Marketing Performance Analysis: A Comprehensive Review of Brand X's Marketing Investments</w:t>
      </w:r>
    </w:p>
    <w:p w14:paraId="00C8546B"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205B3EA0"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677E4AFA" w14:textId="77777777" w:rsidR="004220E8"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 Executive Summary: The Strategic Imperative</w:t>
      </w:r>
    </w:p>
    <w:p w14:paraId="730F4FC4"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2D740CCA"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report presents a comprehensive analysis of Brand X's marketing performance, derived from a detailed Marketing ROI analysis of its key sales drivers: Price, Distribution, Promotions, and Media. The findings reveal critical opportunities to optimize the brand’s marketing mix and enhance its competitive position. The central conclusion is that Brand X's digital investments are delivering disproportionately high returns compared to its traditional media spend, </w:t>
      </w:r>
      <w:proofErr w:type="spellStart"/>
      <w:r>
        <w:rPr>
          <w:rFonts w:ascii="Google Sans Text" w:eastAsia="Google Sans Text" w:hAnsi="Google Sans Text" w:cs="Google Sans Text"/>
          <w:color w:val="1B1C1D"/>
        </w:rPr>
        <w:t>signaling</w:t>
      </w:r>
      <w:proofErr w:type="spellEnd"/>
      <w:r>
        <w:rPr>
          <w:rFonts w:ascii="Google Sans Text" w:eastAsia="Google Sans Text" w:hAnsi="Google Sans Text" w:cs="Google Sans Text"/>
          <w:color w:val="1B1C1D"/>
        </w:rPr>
        <w:t xml:space="preserve"> a significant misalignment between current investment strategy and sales effectiveness. Correcting this imbalance represents the most powerful lever for immediate and future growth.</w:t>
      </w:r>
    </w:p>
    <w:p w14:paraId="581B5B27" w14:textId="77777777" w:rsidR="004220E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analysis highlights three core findings and associated strategic imperatives:</w:t>
      </w:r>
    </w:p>
    <w:p w14:paraId="2C84C2BB" w14:textId="77777777" w:rsidR="004220E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Finding 1: The ROI Chasm.</w:t>
      </w:r>
      <w:r>
        <w:rPr>
          <w:rFonts w:ascii="Google Sans Text" w:eastAsia="Google Sans Text" w:hAnsi="Google Sans Text" w:cs="Google Sans Text"/>
          <w:color w:val="1B1C1D"/>
        </w:rPr>
        <w:t xml:space="preserve"> Digital media channels, particularly YouTube and Facebook, are generating returns on investment that are over an order of magnitude higher than television advertising. This suggests that a fundamental shift in media budget allocation is necessary to maximize marketing efficiency.</w:t>
      </w:r>
    </w:p>
    <w:p w14:paraId="7C2F586C" w14:textId="77777777" w:rsidR="004220E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Finding 2: The Dual Nature of Price Sensitivity.</w:t>
      </w:r>
      <w:r>
        <w:rPr>
          <w:rFonts w:ascii="Google Sans Text" w:eastAsia="Google Sans Text" w:hAnsi="Google Sans Text" w:cs="Google Sans Text"/>
          <w:color w:val="1B1C1D"/>
        </w:rPr>
        <w:t xml:space="preserve"> Brand X's price elasticity varies significantly by product format and sales channel. The Powder format, particularly within the Modern Trade channel, exhibits a high degree of price sensitivity. Conversely, the Liquid format demonstrates more stable price resilience across all channels, presenting an opportunity for strategic pricing.</w:t>
      </w:r>
    </w:p>
    <w:p w14:paraId="3F6014EE" w14:textId="77777777" w:rsidR="004220E8"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Finding 3: The Competitive Dynamic.</w:t>
      </w:r>
      <w:r>
        <w:rPr>
          <w:rFonts w:ascii="Google Sans Text" w:eastAsia="Google Sans Text" w:hAnsi="Google Sans Text" w:cs="Google Sans Text"/>
          <w:color w:val="1B1C1D"/>
        </w:rPr>
        <w:t xml:space="preserve"> Actions by key competitor, Brand Y, have a measurable impact on Brand X's sales. The analysis confirms a positive correlation where a price increase by Brand Y leads to a sales gain for Brand X. Furthermore, Brand Y’s television investments appear to have a negative impact on Brand X's sales volume, reinforcing the competitive nature of media expenditures.</w:t>
      </w:r>
    </w:p>
    <w:p w14:paraId="640FC54D" w14:textId="77777777" w:rsidR="004220E8" w:rsidRDefault="00000000">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Based on these findings, three strategic recommendations are proposed to drive a more efficient and profitable marketing strategy:</w:t>
      </w:r>
    </w:p>
    <w:p w14:paraId="4C1108D1" w14:textId="77777777" w:rsidR="004220E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Aggressive Media Reallocation:</w:t>
      </w:r>
      <w:r>
        <w:rPr>
          <w:rFonts w:ascii="Google Sans Text" w:eastAsia="Google Sans Text" w:hAnsi="Google Sans Text" w:cs="Google Sans Text"/>
          <w:color w:val="1B1C1D"/>
        </w:rPr>
        <w:t xml:space="preserve"> A systematic and immediate rebalancing of the media budget is recommended. Funds should be significantly shifted away from underperforming traditional TV channels, particularly the Liquids TV investments, and reallocated to high-ROI digital channels such as YouTube and Facebook.</w:t>
      </w:r>
    </w:p>
    <w:p w14:paraId="448C1EB4" w14:textId="77777777" w:rsidR="004220E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Implement a Granular Pricing Model:</w:t>
      </w:r>
      <w:r>
        <w:rPr>
          <w:rFonts w:ascii="Google Sans Text" w:eastAsia="Google Sans Text" w:hAnsi="Google Sans Text" w:cs="Google Sans Text"/>
          <w:color w:val="1B1C1D"/>
        </w:rPr>
        <w:t xml:space="preserve"> The brand should move away from a one-size-fits-all pricing strategy. A differential pricing and promotional approach </w:t>
      </w:r>
      <w:proofErr w:type="gramStart"/>
      <w:r>
        <w:rPr>
          <w:rFonts w:ascii="Google Sans Text" w:eastAsia="Google Sans Text" w:hAnsi="Google Sans Text" w:cs="Google Sans Text"/>
          <w:color w:val="1B1C1D"/>
        </w:rPr>
        <w:t>is</w:t>
      </w:r>
      <w:proofErr w:type="gramEnd"/>
      <w:r>
        <w:rPr>
          <w:rFonts w:ascii="Google Sans Text" w:eastAsia="Google Sans Text" w:hAnsi="Google Sans Text" w:cs="Google Sans Text"/>
          <w:color w:val="1B1C1D"/>
        </w:rPr>
        <w:t xml:space="preserve"> advised for the Powder format in Modern Trade to manage its high price sensitivity. The brand should also consider leveraging the lower elasticity of the Liquid format to optimize revenue.</w:t>
      </w:r>
    </w:p>
    <w:p w14:paraId="4E82C4FE" w14:textId="77777777" w:rsidR="004220E8"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Exploit Competitive Dynamics:</w:t>
      </w:r>
      <w:r>
        <w:rPr>
          <w:rFonts w:ascii="Google Sans Text" w:eastAsia="Google Sans Text" w:hAnsi="Google Sans Text" w:cs="Google Sans Text"/>
          <w:color w:val="1B1C1D"/>
        </w:rPr>
        <w:t xml:space="preserve"> A formal framework for competitive intelligence should be established to monitor and respond to Brand Y's strategic moves. This includes leveraging competitor pricing signals to inform Brand X's own pricing and promotional decisions.</w:t>
      </w:r>
    </w:p>
    <w:p w14:paraId="09CC29CE" w14:textId="77777777" w:rsidR="004220E8" w:rsidRDefault="004220E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86C7C07" w14:textId="77777777" w:rsidR="004220E8"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II. The Business and Market Context: Setting the Stage</w:t>
      </w:r>
    </w:p>
    <w:p w14:paraId="74DF2195"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2F1859E0"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This report is framed by the business context of Brand X, a dominant fast-moving consumer goods (FMCG) brand in the laundry category of a South-East Asian country. With a market share exceeding 45%, Brand X holds a commanding lead over its key competitor, Brand Y, which has a 15% market share.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The brand’s product portfolio includes two main formats, Powders and Liquids, which are distributed and sold through two primary retail channels: Modern Trade (MT) and Traditional Trade (TT). The brand maintains a larger presence in the Traditional Trade channel, a point of significance for understanding its overall distribution strategy.</w:t>
      </w:r>
      <w:r>
        <w:rPr>
          <w:rFonts w:ascii="Google Sans Text" w:eastAsia="Google Sans Text" w:hAnsi="Google Sans Text" w:cs="Google Sans Text"/>
          <w:color w:val="575B5F"/>
          <w:sz w:val="24"/>
          <w:szCs w:val="24"/>
          <w:vertAlign w:val="superscript"/>
        </w:rPr>
        <w:t>1</w:t>
      </w:r>
    </w:p>
    <w:p w14:paraId="543CACE2"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Recent strategic shifts by Brand X include an increase in TV investments dedicated to promoting its Liquids format, as well as heightened promotional investments for Liquids in Modern Trade and Powders in Traditional Trade. Concurrently, the key competitor, Brand Y, has reduced its own TV investments, a strategic move that has a measurable impact on Brand X's performance.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The objective of this analysis is to quantify the impact of these marketing drivers—Price, Distribution, Promotions, and Media—on Brand X’s sales volume, thereby providing a clear roadmap for future investment decisions. The following sections provide a detailed breakdown of the findings and the strategic implications of the data.</w:t>
      </w:r>
    </w:p>
    <w:p w14:paraId="36C13105"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825B45" w14:textId="77777777" w:rsidR="004220E8"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III. Analysis of Marketing Drivers and Their Impact</w:t>
      </w:r>
    </w:p>
    <w:p w14:paraId="1FF4205D"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738A4F65"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marketing performance of Brand X is driven by a complex interplay of various factors. An analysis of the driver elasticities reveals how each lever influences sales, with some drivers having a much more pronounced effect than others.</w:t>
      </w:r>
    </w:p>
    <w:p w14:paraId="1C14DE10"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97D5C4"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Price Elasticity: The Dual Nature of Sensitivity</w:t>
      </w:r>
    </w:p>
    <w:p w14:paraId="46F0A4C2"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18ED772D"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overall price elasticity for Brand X is measured at −0.9, which indicates a standard, negative relationship between price and sales volume.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For every 1% increase in the brand's price, the analysis forecasts a 0.9% decrease in sales volume.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This figure confirms that consumers are responsive to price adjustments, necessitating a carefully considered pricing strategy.</w:t>
      </w:r>
    </w:p>
    <w:p w14:paraId="6901C4E0"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deeper examination of the competitive landscape reveals a crucial competitive dynamic. The cross-elasticity for competitor Y's price is 0.5.</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This positive value signifies that Brand X’s sales volume increases by 0.5% for every 1% price increase implemented by Brand Y.</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This suggests that a substantial segment of the market perceives Brand X and Brand Y as close substitutes. Brand X can strategically benefit from Brand Y's price hikes by maintaining its price point to attract price-sensitive consumers who switch brands, thereby gaining market share without having to initiate a promotional cycle. This information is invaluable for competitive intelligence and should be formally integrated into Brand X's pricing protocol.</w:t>
      </w:r>
    </w:p>
    <w:p w14:paraId="03EAA2D1" w14:textId="77777777" w:rsidR="004220E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most nuanced and actionable data, however, lies in the outlet and format-specific price impacts. The analysis provides a breakdown of how sales volume responds to price changes for both the Powder and Liquid formats across the Modern Trade and Traditional Trade channels.</w:t>
      </w:r>
    </w:p>
    <w:p w14:paraId="5B74CC71" w14:textId="77777777" w:rsidR="004220E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X Powder:</w:t>
      </w:r>
      <w:r>
        <w:rPr>
          <w:rFonts w:ascii="Google Sans Text" w:eastAsia="Google Sans Text" w:hAnsi="Google Sans Text" w:cs="Google Sans Text"/>
          <w:color w:val="1B1C1D"/>
        </w:rPr>
        <w:t xml:space="preserve"> This format exhibits a price impact of −1.0 in Modern Trade outlets and −0.9 in Traditional Trade outlets.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The</w:t>
      </w:r>
      <w:r>
        <w:rPr>
          <w:color w:val="000000"/>
        </w:rPr>
        <w:br/>
      </w:r>
      <w:r>
        <w:rPr>
          <w:rFonts w:ascii="Google Sans Text" w:eastAsia="Google Sans Text" w:hAnsi="Google Sans Text" w:cs="Google Sans Text"/>
          <w:color w:val="1B1C1D"/>
        </w:rPr>
        <w:t xml:space="preserve">−1.0 elasticity in Modern Trade indicates that a 1% price increase results in a direct 1% loss of sales volume. This suggests that Modern Trade shoppers are highly price-sensitive and frequently engage in direct price comparisons at the point of sale. The slightly lower elasticity in Traditional Trade, where shoppers may be driven by different purchasing </w:t>
      </w:r>
      <w:proofErr w:type="spellStart"/>
      <w:r>
        <w:rPr>
          <w:rFonts w:ascii="Google Sans Text" w:eastAsia="Google Sans Text" w:hAnsi="Google Sans Text" w:cs="Google Sans Text"/>
          <w:color w:val="1B1C1D"/>
        </w:rPr>
        <w:t>behaviors</w:t>
      </w:r>
      <w:proofErr w:type="spellEnd"/>
      <w:r>
        <w:rPr>
          <w:rFonts w:ascii="Google Sans Text" w:eastAsia="Google Sans Text" w:hAnsi="Google Sans Text" w:cs="Google Sans Text"/>
          <w:color w:val="1B1C1D"/>
        </w:rPr>
        <w:t xml:space="preserve"> such as convenience or established brand loyalty with the retailer, offers a marginal degree of pricing flexibility. The difference in price sensitivity between these two channels for the Powder format necessitates a strategic approach that is </w:t>
      </w:r>
      <w:r>
        <w:rPr>
          <w:rFonts w:ascii="Google Sans Text" w:eastAsia="Google Sans Text" w:hAnsi="Google Sans Text" w:cs="Google Sans Text"/>
          <w:color w:val="1B1C1D"/>
        </w:rPr>
        <w:lastRenderedPageBreak/>
        <w:t>tailored to each trade environment.</w:t>
      </w:r>
    </w:p>
    <w:p w14:paraId="2AD404D0" w14:textId="77777777" w:rsidR="004220E8"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X Liquid:</w:t>
      </w:r>
      <w:r>
        <w:rPr>
          <w:rFonts w:ascii="Google Sans Text" w:eastAsia="Google Sans Text" w:hAnsi="Google Sans Text" w:cs="Google Sans Text"/>
          <w:color w:val="1B1C1D"/>
        </w:rPr>
        <w:t xml:space="preserve"> In contrast to the Powder format, the Liquid format demonstrates a uniform price impact of −0.8 across both Modern Trade and Traditional Trade outlets.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The lower absolute value of this elasticity compared to the Powder format suggests that customers purchasing the Liquid format are less motivated by price. This can be interpreted as a potential indication that the Liquid format is perceived as a more differentiated or premium offering. The stable elasticity across channels means that pricing decisions for this format can be made with greater predictability and may present opportunities for strategic price increases without a significant risk of sales volume erosion.</w:t>
      </w:r>
    </w:p>
    <w:p w14:paraId="22C95969" w14:textId="77777777" w:rsidR="004220E8" w:rsidRDefault="004220E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77CD50"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Promotional and Distribution Impact: Unveiling Hidden Roles</w:t>
      </w:r>
    </w:p>
    <w:p w14:paraId="0C0C4A6F"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4E904C08"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analysis of other marketing drivers reveals their specific roles within the brand's overall strategy. The elasticities for both Price Promotions and Visibility in Stores are extremely low, measured at 0.01 for each.</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A near-zero elasticity for these drivers suggests that they are not primarily responsible for generating incremental sales volume. This finding challenges the conventional wisdom that promotions are a direct driver of sales. Rather than a failure, it is more likely that these activities serve a different, more strategic purpose. Their role may be to maintain a competitive presence on the shelf, stimulate customer trial, manage inventory levels, or defend market share against competitor activities, rather than generating direct, measurable sales increases. The brand's recent increase in promotional investments for Liquids in Modern Trade and Powders in Traditional Trade would benefit from a review to align these activities with their true function, which appears to be focused on non-volume-based objectives.</w:t>
      </w:r>
    </w:p>
    <w:p w14:paraId="10C1A23B"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Conversely, the elasticity for Distribution is a strong 0.8.</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This confirms that a brand's presence and availability in the market are fundamental drivers of sales. Given Brand X's pre-existing larger presence in the Traditional Trade channel, this metric underscores the importance of a robust distribution network as a foundational strength.</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Maintaining and potentially expanding this network is a critical component of the brand's long-term growth strategy.</w:t>
      </w:r>
    </w:p>
    <w:p w14:paraId="6F79644F"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0A115A" w14:textId="77777777" w:rsidR="004220E8"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IV. Deep Dive: Media Channel Performance Evaluation</w:t>
      </w:r>
    </w:p>
    <w:p w14:paraId="60487DD7"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58107A45"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The evaluation of media channel performance provides the most critical and actionable findings of this analysis. A side-by-side comparison of the key metrics for each channel reveals a significant disparity in efficiency and effectiveness. The following table summarizes the performance of each media channel.</w:t>
      </w:r>
    </w:p>
    <w:tbl>
      <w:tblPr>
        <w:tblStyle w:val="a"/>
        <w:tblW w:w="11160" w:type="dxa"/>
        <w:tblInd w:w="-1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38"/>
        <w:gridCol w:w="1560"/>
        <w:gridCol w:w="1560"/>
        <w:gridCol w:w="1560"/>
        <w:gridCol w:w="1560"/>
        <w:gridCol w:w="2182"/>
      </w:tblGrid>
      <w:tr w:rsidR="004220E8" w14:paraId="1D3D90AE" w14:textId="77777777" w:rsidTr="00624E1E">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F88C1"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Activity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E05DE"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Spends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3E080"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Incremental Sales Volume Generated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D879F2"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ROI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B2508"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CPM</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8A84F"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Effectiveness</w:t>
            </w:r>
          </w:p>
        </w:tc>
      </w:tr>
      <w:tr w:rsidR="004220E8" w14:paraId="2E5F8BA3" w14:textId="77777777" w:rsidTr="00624E1E">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41C9B"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Powder TV Investments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A4565"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52,178,378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4FA6C"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15,812,547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7ED0E"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E1A89"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0.30</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CDB8D"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0.66</w:t>
            </w:r>
          </w:p>
        </w:tc>
      </w:tr>
      <w:tr w:rsidR="004220E8" w14:paraId="63AAA01A" w14:textId="77777777" w:rsidTr="00624E1E">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CB6C5"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Liquids TV Investments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C7324"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31,409,137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A022C"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12,276,815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22082"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602DA"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0.39</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8470D"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0.50</w:t>
            </w:r>
          </w:p>
        </w:tc>
      </w:tr>
      <w:tr w:rsidR="004220E8" w14:paraId="70AF0D73" w14:textId="77777777" w:rsidTr="00624E1E">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CF23E"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Digital Display Investments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6047A"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32,428,891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66887"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1,561,536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4E353"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8.15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1D0A7"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0.05</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E66EA"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0.39</w:t>
            </w:r>
          </w:p>
        </w:tc>
      </w:tr>
      <w:tr w:rsidR="004220E8" w14:paraId="2ED852B6" w14:textId="77777777" w:rsidTr="00624E1E">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3EAF1"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Facebook Investments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8E442"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45,882,935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9A779"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2,439,874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A8B38"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13.83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BE160"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0.05</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1E76E"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0.74</w:t>
            </w:r>
          </w:p>
        </w:tc>
      </w:tr>
      <w:tr w:rsidR="004220E8" w14:paraId="3CCF31D8" w14:textId="77777777" w:rsidTr="00624E1E">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9CB3C"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Digital Search Investments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6A2B4"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58,987,698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C8811"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3,562,459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CC240"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10.73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4F56E"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0.06</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8512E"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0.65</w:t>
            </w:r>
          </w:p>
        </w:tc>
      </w:tr>
      <w:tr w:rsidR="004220E8" w14:paraId="3A3791FA" w14:textId="77777777" w:rsidTr="00624E1E">
        <w:trPr>
          <w:trHeight w:val="648"/>
        </w:trPr>
        <w:tc>
          <w:tcPr>
            <w:tcW w:w="27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B80707"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YouTube Investments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29665"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72,873,136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08E75"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4,368,785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622C1"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15.75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D01084"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0.06</w:t>
            </w:r>
          </w:p>
        </w:tc>
        <w:tc>
          <w:tcPr>
            <w:tcW w:w="21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67FF4" w14:textId="77777777" w:rsidR="004220E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0.94</w:t>
            </w:r>
          </w:p>
        </w:tc>
      </w:tr>
    </w:tbl>
    <w:p w14:paraId="00E7F19A" w14:textId="77777777" w:rsidR="004220E8" w:rsidRDefault="00000000">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All values have been rounded for clarity.</w:t>
      </w:r>
    </w:p>
    <w:p w14:paraId="5D2C42E3"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060EE32C"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Efficiency Analysis: ROI, CPM, and Effectiveness</w:t>
      </w:r>
    </w:p>
    <w:p w14:paraId="042DD2B9"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6CF9BE79" w14:textId="77777777" w:rsidR="004220E8" w:rsidRDefault="0000000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The data from the performance metrics reveals a pronounced chasm in efficiency between the digital and traditional media channels.</w:t>
      </w:r>
      <w:r>
        <w:rPr>
          <w:rFonts w:ascii="Google Sans Text" w:eastAsia="Google Sans Text" w:hAnsi="Google Sans Text" w:cs="Google Sans Text"/>
          <w:color w:val="575B5F"/>
          <w:sz w:val="24"/>
          <w:szCs w:val="24"/>
          <w:vertAlign w:val="superscript"/>
        </w:rPr>
        <w:t>1</w:t>
      </w:r>
    </w:p>
    <w:p w14:paraId="440D1BCC" w14:textId="77777777" w:rsidR="004220E8"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Return on Investment (ROI):</w:t>
      </w:r>
      <w:r>
        <w:rPr>
          <w:rFonts w:ascii="Google Sans Text" w:eastAsia="Google Sans Text" w:hAnsi="Google Sans Text" w:cs="Google Sans Text"/>
          <w:color w:val="1B1C1D"/>
        </w:rPr>
        <w:t xml:space="preserve"> The most striking finding is the vastly superior ROI of digital media. YouTube investments generated an ROI of 15.75, followed closely by </w:t>
      </w:r>
      <w:r>
        <w:rPr>
          <w:rFonts w:ascii="Google Sans Text" w:eastAsia="Google Sans Text" w:hAnsi="Google Sans Text" w:cs="Google Sans Text"/>
          <w:color w:val="1B1C1D"/>
        </w:rPr>
        <w:lastRenderedPageBreak/>
        <w:t>Facebook at 13.83 and Digital Search at 10.73.</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In stark contrast, television investments yielded significantly lower returns, with Powder TV at 2.17 and Liquids TV at a </w:t>
      </w:r>
      <w:proofErr w:type="spellStart"/>
      <w:r>
        <w:rPr>
          <w:rFonts w:ascii="Google Sans Text" w:eastAsia="Google Sans Text" w:hAnsi="Google Sans Text" w:cs="Google Sans Text"/>
          <w:color w:val="1B1C1D"/>
        </w:rPr>
        <w:t>meager</w:t>
      </w:r>
      <w:proofErr w:type="spellEnd"/>
      <w:r>
        <w:rPr>
          <w:rFonts w:ascii="Google Sans Text" w:eastAsia="Google Sans Text" w:hAnsi="Google Sans Text" w:cs="Google Sans Text"/>
          <w:color w:val="1B1C1D"/>
        </w:rPr>
        <w:t xml:space="preserve"> 1.27.</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The ROI of YouTube is more than twelve times greater than that of Liquids TV, a channel where investments have recently been increased. This data provides an irrefutable argument for a fundamental re-evaluation of the brand’s media investment strategy.</w:t>
      </w:r>
    </w:p>
    <w:p w14:paraId="45F0340E" w14:textId="77777777" w:rsidR="004220E8"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Cost and Conversion:</w:t>
      </w:r>
      <w:r>
        <w:rPr>
          <w:rFonts w:ascii="Google Sans Text" w:eastAsia="Google Sans Text" w:hAnsi="Google Sans Text" w:cs="Google Sans Text"/>
          <w:color w:val="1B1C1D"/>
        </w:rPr>
        <w:t xml:space="preserve"> The superior ROI of digital media is a function of both lower cost and higher conversion power. The Cost Per Mille (CPM) for all digital channels is exceptionally low, ranging from 0.05 to 0.06, which is an order of magnitude lower than the CPM for TV (0.30 to 0.39).</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This indicates that digital platforms are far more cost-efficient in reaching a target audience. The high Effectiveness metrics for channels like YouTube (</w:t>
      </w:r>
      <w:r>
        <w:rPr>
          <w:color w:val="000000"/>
        </w:rPr>
        <w:br/>
      </w:r>
      <w:r>
        <w:rPr>
          <w:rFonts w:ascii="Google Sans Text" w:eastAsia="Google Sans Text" w:hAnsi="Google Sans Text" w:cs="Google Sans Text"/>
          <w:color w:val="1B1C1D"/>
        </w:rPr>
        <w:t>0.94) and Facebook (0.74) suggest that not only is it cheaper to reach an audience through these channels, but that audience is also more receptive to the advertising message and more likely to convert to a sale.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The combination of low cost and high conversion power is the dual engine driving the exceptional returns of digital media. While Digital Display has a high ROI, its lower effectiveness score (</w:t>
      </w:r>
      <w:r>
        <w:rPr>
          <w:color w:val="000000"/>
        </w:rPr>
        <w:br/>
      </w:r>
      <w:r>
        <w:rPr>
          <w:rFonts w:ascii="Google Sans Text" w:eastAsia="Google Sans Text" w:hAnsi="Google Sans Text" w:cs="Google Sans Text"/>
          <w:color w:val="1B1C1D"/>
        </w:rPr>
        <w:t>0.39) suggests its primary value may lie in awareness and reach, rather than direct conversion.</w:t>
      </w:r>
    </w:p>
    <w:p w14:paraId="2B09D9D9" w14:textId="77777777" w:rsidR="004220E8"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Another crucial competitive dimension emerges from the data: the impact of Brand Y’s TV investments. Despite Brand Y reducing its TV investments, the remaining expenditure has a negative impact on Brand X's sales, leading to an incremental sales volume of −3,545 for Brand X.</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This finding suggests that a portion of Brand Y’s TV advertising is directly causing sales erosion for Brand X. This further validates the strategy of either leveraging Brand Y’s pricing and media actions or, at a minimum, not replicating their strategy of significant TV investment.</w:t>
      </w:r>
    </w:p>
    <w:p w14:paraId="33F72EBA"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C867B1"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Channel-Specific Commentary</w:t>
      </w:r>
    </w:p>
    <w:p w14:paraId="1F3ECE24"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4776F094" w14:textId="77777777" w:rsidR="004220E8"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analysis of each channel's performance offers more specific guidance for investment decisions.</w:t>
      </w:r>
    </w:p>
    <w:p w14:paraId="38F82BC4" w14:textId="77777777" w:rsidR="004220E8"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Television Investments:</w:t>
      </w:r>
      <w:r>
        <w:rPr>
          <w:rFonts w:ascii="Google Sans Text" w:eastAsia="Google Sans Text" w:hAnsi="Google Sans Text" w:cs="Google Sans Text"/>
          <w:color w:val="1B1C1D"/>
        </w:rPr>
        <w:t xml:space="preserve"> The increased investment in Liquids TV has proven to be an inefficient use of capital, generating a minimal ROI of 1.27. While Powder TV performed better with an ROI of 2.17, it still pales in comparison to the digital alternatives. The data suggests that television </w:t>
      </w:r>
      <w:proofErr w:type="gramStart"/>
      <w:r>
        <w:rPr>
          <w:rFonts w:ascii="Google Sans Text" w:eastAsia="Google Sans Text" w:hAnsi="Google Sans Text" w:cs="Google Sans Text"/>
          <w:color w:val="1B1C1D"/>
        </w:rPr>
        <w:t>as a whole is</w:t>
      </w:r>
      <w:proofErr w:type="gramEnd"/>
      <w:r>
        <w:rPr>
          <w:rFonts w:ascii="Google Sans Text" w:eastAsia="Google Sans Text" w:hAnsi="Google Sans Text" w:cs="Google Sans Text"/>
          <w:color w:val="1B1C1D"/>
        </w:rPr>
        <w:t xml:space="preserve"> a declining channel for this brand in terms of return on investment.</w:t>
      </w:r>
    </w:p>
    <w:p w14:paraId="23B3DB6A" w14:textId="77777777" w:rsidR="004220E8"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lastRenderedPageBreak/>
        <w:t>Digital Investments:</w:t>
      </w:r>
      <w:r>
        <w:rPr>
          <w:rFonts w:ascii="Google Sans Text" w:eastAsia="Google Sans Text" w:hAnsi="Google Sans Text" w:cs="Google Sans Text"/>
          <w:color w:val="1B1C1D"/>
        </w:rPr>
        <w:t xml:space="preserve"> YouTube's performance is exemplary across all metrics, making it the clear leader and a prime candidate for a significant increase in investment. Facebook and Digital Search also deliver strong returns and should be scaled up. These digital channels provide the brand with a powerful opportunity to improve its marketing efficiency and drive more sales volume per dollar invested.</w:t>
      </w:r>
    </w:p>
    <w:p w14:paraId="45F549D9" w14:textId="77777777" w:rsidR="004220E8" w:rsidRDefault="004220E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E1EE997" w14:textId="77777777" w:rsidR="004220E8"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V. Strategic Recommendations for Optimized Marketing Investments</w:t>
      </w:r>
    </w:p>
    <w:p w14:paraId="32F424F1"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5B39F85B"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Based on the comprehensive analysis of marketing drivers and media channel performance, a three-part strategic plan is proposed to optimize Brand X's marketing investments and secure its market leadership.</w:t>
      </w:r>
    </w:p>
    <w:p w14:paraId="59F9ADD9"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8F4229"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Strategic Investment Reallocation: Maximize ROI</w:t>
      </w:r>
    </w:p>
    <w:p w14:paraId="44EA010D"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6037279D"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data provides compelling evidence that the current media investment mix is suboptimal. A fundamental and systematic shift of budget away from traditional television advertising and towards high-performing digital channels is recommended. The first phase of this reallocation should focus on the low-performing Liquids TV channel, with its budget being a primary source of capital to fund expansion in digital. The immense ROI potential of YouTube, Facebook, and Digital Search offers a clear path to generating a greater volume of incremental sales for the same level of investment. A phased reallocation will allow for continuous monitoring and a data-driven approach to scaling up investments in the most efficient channels.</w:t>
      </w:r>
    </w:p>
    <w:p w14:paraId="3EF78E59"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1CBDC8"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Granular and Dynamic Pricing Strategy: Capture Value and Manage Risk</w:t>
      </w:r>
    </w:p>
    <w:p w14:paraId="7BA96623"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2CC04DAB"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brand must adopt a more nuanced pricing strategy that accounts for the varying sensitivities by product and channel. The high price elasticity of the Powder format in Modern Trade necessitates a careful approach to pricing and promotions in this specific segment to </w:t>
      </w:r>
      <w:r>
        <w:rPr>
          <w:rFonts w:ascii="Google Sans Text" w:eastAsia="Google Sans Text" w:hAnsi="Google Sans Text" w:cs="Google Sans Text"/>
          <w:color w:val="1B1C1D"/>
        </w:rPr>
        <w:lastRenderedPageBreak/>
        <w:t>avoid significant volume loss. Conversely, the more stable elasticity of the Liquid format across both channels provides an opportunity for strategic price increases to maximize revenue and margin. A dynamic pricing protocol should also be developed to allow the brand to strategically respond to competitor Y’s pricing actions, leveraging the positive cross-elasticity to gain market share. This shift from a uniform pricing model to a granular one will allow the brand to better manage risk and capture value across its diverse portfolio and distribution channels.</w:t>
      </w:r>
    </w:p>
    <w:p w14:paraId="687063D3" w14:textId="77777777" w:rsidR="004220E8" w:rsidRDefault="004220E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B2732A" w14:textId="77777777" w:rsidR="004220E8"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Strategic Driver Alignment: Synergistic Growth</w:t>
      </w:r>
    </w:p>
    <w:p w14:paraId="6AF8E01B" w14:textId="77777777" w:rsidR="004220E8" w:rsidRDefault="004220E8">
      <w:pPr>
        <w:pBdr>
          <w:top w:val="nil"/>
          <w:left w:val="nil"/>
          <w:bottom w:val="nil"/>
          <w:right w:val="nil"/>
          <w:between w:val="nil"/>
        </w:pBdr>
        <w:spacing w:after="240" w:line="275" w:lineRule="auto"/>
        <w:rPr>
          <w:rFonts w:ascii="Google Sans" w:eastAsia="Google Sans" w:hAnsi="Google Sans" w:cs="Google Sans"/>
          <w:color w:val="1B1C1D"/>
        </w:rPr>
      </w:pPr>
    </w:p>
    <w:p w14:paraId="68BA6172" w14:textId="77777777" w:rsidR="004220E8"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Given the low elasticity of Price Promotions and In-Store Visibility, the brand should re-evaluate their primary purpose. Instead of expecting them to drive sales volume, their role should be redefined to support other strategic goals, such as building brand awareness, maintaining competitive shelf space, or encouraging customer trial. These drivers should not operate in a silo but should be strategically aligned with the brand's media and pricing strategies to achieve a synergistic effect. For example, a targeted in-store visibility campaign could support the launch of new products or a specific promotional initiative, thereby creating a more cohesive and effective marketing approach. A pilot program could be initiated to test the impact of more closely integrating these drivers.</w:t>
      </w:r>
    </w:p>
    <w:p w14:paraId="51393325" w14:textId="77777777" w:rsidR="004220E8" w:rsidRDefault="00000000">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By adopting these strategic recommendations, Brand X can capitalize on the clear evidence of its marketing performance. The path forward involves a data-driven shift from traditional to digital media, the implementation of a more intelligent and dynamic pricing model, and a redefinition of the roles of promotional and distribution drivers to create a cohesive and highly effective marketing strategy.</w:t>
      </w:r>
    </w:p>
    <w:p w14:paraId="1A6BFF64" w14:textId="77777777" w:rsidR="004220E8"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3C3156DA" w14:textId="77777777" w:rsidR="004220E8"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Kantar_ROI</w:t>
      </w:r>
      <w:proofErr w:type="spellEnd"/>
      <w:r>
        <w:rPr>
          <w:rFonts w:ascii="Google Sans" w:eastAsia="Google Sans" w:hAnsi="Google Sans" w:cs="Google Sans"/>
          <w:sz w:val="24"/>
          <w:szCs w:val="24"/>
        </w:rPr>
        <w:t xml:space="preserve"> Case Study.xlsx</w:t>
      </w:r>
    </w:p>
    <w:sectPr w:rsidR="004220E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CBB54BA-DE84-4A19-A935-0FC8908ACD46}"/>
    <w:embedItalic r:id="rId2" w:fontKey="{D5F90514-451F-4EFC-A35B-D97E97FCCE61}"/>
  </w:font>
  <w:font w:name="Google Sans">
    <w:charset w:val="00"/>
    <w:family w:val="auto"/>
    <w:pitch w:val="default"/>
    <w:embedRegular r:id="rId3" w:fontKey="{488F3A9C-9FF4-4B99-8C51-5FFADDA0D2DF}"/>
    <w:embedBold r:id="rId4" w:fontKey="{14192D7B-DF5D-4F84-BD70-5399D5FF9E6A}"/>
  </w:font>
  <w:font w:name="Google Sans Text">
    <w:altName w:val="Calibri"/>
    <w:charset w:val="00"/>
    <w:family w:val="auto"/>
    <w:pitch w:val="default"/>
    <w:embedRegular r:id="rId5" w:fontKey="{82122DB9-440E-4D4A-A82E-9C65E474A5AB}"/>
    <w:embedBold r:id="rId6" w:fontKey="{CBB93DBE-841F-4F9E-981E-093162DA73C2}"/>
    <w:embedItalic r:id="rId7" w:fontKey="{F8B3A54D-6780-4B23-8459-BF8E6FB010B0}"/>
  </w:font>
  <w:font w:name="Calibri">
    <w:panose1 w:val="020F0502020204030204"/>
    <w:charset w:val="00"/>
    <w:family w:val="swiss"/>
    <w:pitch w:val="variable"/>
    <w:sig w:usb0="E4002EFF" w:usb1="C200247B" w:usb2="00000009" w:usb3="00000000" w:csb0="000001FF" w:csb1="00000000"/>
    <w:embedRegular r:id="rId8" w:fontKey="{4A3F541C-FCE4-4573-8188-C581EB9A9F6E}"/>
  </w:font>
  <w:font w:name="Cambria">
    <w:panose1 w:val="02040503050406030204"/>
    <w:charset w:val="00"/>
    <w:family w:val="roman"/>
    <w:pitch w:val="variable"/>
    <w:sig w:usb0="E00006FF" w:usb1="420024FF" w:usb2="02000000" w:usb3="00000000" w:csb0="0000019F" w:csb1="00000000"/>
    <w:embedRegular r:id="rId9" w:fontKey="{131D4E5E-3678-4008-A434-2C25ED3EA3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66E56"/>
    <w:multiLevelType w:val="multilevel"/>
    <w:tmpl w:val="91003F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9916C2C"/>
    <w:multiLevelType w:val="multilevel"/>
    <w:tmpl w:val="5E08EB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E3128FF"/>
    <w:multiLevelType w:val="multilevel"/>
    <w:tmpl w:val="018EEE5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67DD46DA"/>
    <w:multiLevelType w:val="multilevel"/>
    <w:tmpl w:val="A03E07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732C2009"/>
    <w:multiLevelType w:val="multilevel"/>
    <w:tmpl w:val="8108B0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79753D19"/>
    <w:multiLevelType w:val="multilevel"/>
    <w:tmpl w:val="586486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41584556">
    <w:abstractNumId w:val="0"/>
  </w:num>
  <w:num w:numId="2" w16cid:durableId="211621367">
    <w:abstractNumId w:val="4"/>
  </w:num>
  <w:num w:numId="3" w16cid:durableId="987590612">
    <w:abstractNumId w:val="3"/>
  </w:num>
  <w:num w:numId="4" w16cid:durableId="307167971">
    <w:abstractNumId w:val="5"/>
  </w:num>
  <w:num w:numId="5" w16cid:durableId="1845709588">
    <w:abstractNumId w:val="1"/>
  </w:num>
  <w:num w:numId="6" w16cid:durableId="320547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0E8"/>
    <w:rsid w:val="004220E8"/>
    <w:rsid w:val="00484C5C"/>
    <w:rsid w:val="00624E1E"/>
    <w:rsid w:val="00CC3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38CE"/>
  <w15:docId w15:val="{772FADBB-72A9-46C1-B978-9BCB26A2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8</Pages>
  <Words>2462</Words>
  <Characters>14038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Pritam Saha</cp:lastModifiedBy>
  <cp:revision>2</cp:revision>
  <dcterms:created xsi:type="dcterms:W3CDTF">2025-08-29T10:59:00Z</dcterms:created>
  <dcterms:modified xsi:type="dcterms:W3CDTF">2025-08-29T14:26:00Z</dcterms:modified>
</cp:coreProperties>
</file>