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A3560"/>
          <w:sz w:val="44"/>
          <w:szCs w:val="44"/>
        </w:rPr>
        <w:t xml:space="preserve">Delivery Intelligence Platform</w:t>
      </w:r>
    </w:p>
    <w:p>
      <w:pPr>
        <w:spacing w:after="80" w:before="0"/>
      </w:pPr>
      <w:r>
        <w:rPr>
          <w:rFonts w:ascii="Arial" w:cs="Arial" w:eastAsia="Arial" w:hAnsi="Arial"/>
          <w:color w:val="5A6E99"/>
          <w:sz w:val="26"/>
          <w:szCs w:val="26"/>
        </w:rPr>
        <w:t xml:space="preserve">Analytical Methodology &amp; Model Governance</w:t>
      </w:r>
    </w:p>
    <w:p>
      <w:pPr>
        <w:spacing w:after="480" w:before="0"/>
      </w:pPr>
      <w:r>
        <w:rPr>
          <w:rFonts w:ascii="Arial" w:cs="Arial" w:eastAsia="Arial" w:hAnsi="Arial"/>
          <w:color w:val="5A6E99"/>
          <w:sz w:val="18"/>
          <w:szCs w:val="18"/>
        </w:rPr>
        <w:t xml:space="preserve">Version 1.0  |  Solytics Partners  |  NNG Project</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1. Purpose and Scope</w:t>
      </w:r>
    </w:p>
    <w:p>
      <w:pPr>
        <w:spacing w:after="80" w:before="40"/>
      </w:pPr>
      <w:r>
        <w:rPr>
          <w:rFonts w:ascii="Arial" w:cs="Arial" w:eastAsia="Arial" w:hAnsi="Arial"/>
          <w:sz w:val="20"/>
          <w:szCs w:val="20"/>
        </w:rPr>
        <w:t xml:space="preserve">This document describes the analytical methodology, model architecture, statistical assumptions, and governance framework underpinning the Delivery Intelligence Platform. It is intended for analytical reviewers, technical stakeholders, and leadership seeking to understand the basis for platform outputs.</w:t>
      </w:r>
    </w:p>
    <w:p>
      <w:pPr>
        <w:spacing w:after="80" w:before="40"/>
      </w:pPr>
      <w:r>
        <w:rPr>
          <w:rFonts w:ascii="Arial" w:cs="Arial" w:eastAsia="Arial" w:hAnsi="Arial"/>
          <w:sz w:val="20"/>
          <w:szCs w:val="20"/>
        </w:rPr>
        <w:t xml:space="preserve">The platform ingests operational data from Jira Cloud and applies statistical modelling, machine learning, and graph analysis to surface delivery risk signals and planning intelligence. All outputs are probabilistic estimates, not deterministic predictions.</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2. Data Pipeline</w:t>
      </w:r>
    </w:p>
    <w:p>
      <w:pPr>
        <w:pStyle w:val="Heading2"/>
        <w:spacing w:after="80" w:before="240"/>
      </w:pPr>
      <w:r>
        <w:rPr>
          <w:rFonts w:ascii="Arial" w:cs="Arial" w:eastAsia="Arial" w:hAnsi="Arial"/>
          <w:b/>
          <w:bCs/>
          <w:color w:val="1A3560"/>
          <w:sz w:val="22"/>
          <w:szCs w:val="22"/>
        </w:rPr>
        <w:t xml:space="preserve">2.1 Source</w:t>
      </w:r>
    </w:p>
    <w:p>
      <w:pPr>
        <w:spacing w:after="80" w:before="40"/>
      </w:pPr>
      <w:r>
        <w:rPr>
          <w:rFonts w:ascii="Arial" w:cs="Arial" w:eastAsia="Arial" w:hAnsi="Arial"/>
          <w:sz w:val="20"/>
          <w:szCs w:val="20"/>
        </w:rPr>
        <w:t xml:space="preserve">Data is sourced exclusively from the Jira Cloud REST API v3 via paginated JQL queries. No external data sources are used.</w:t>
      </w:r>
    </w:p>
    <w:p>
      <w:pPr>
        <w:spacing w:after="40" w:before="40"/>
      </w:pPr>
      <w:r>
        <w:rPr>
          <w:rFonts w:ascii="Arial" w:cs="Arial" w:eastAsia="Arial" w:hAnsi="Arial"/>
          <w:b/>
          <w:bCs/>
          <w:color w:val="1A3560"/>
          <w:sz w:val="20"/>
          <w:szCs w:val="20"/>
        </w:rPr>
        <w:t xml:space="preserve">Project scope: </w:t>
      </w:r>
      <w:r>
        <w:rPr>
          <w:rFonts w:ascii="Arial" w:cs="Arial" w:eastAsia="Arial" w:hAnsi="Arial"/>
          <w:sz w:val="20"/>
          <w:szCs w:val="20"/>
        </w:rPr>
        <w:t xml:space="preserve">NNG (configurable via JIRA_PROJECT env var)</w:t>
      </w:r>
    </w:p>
    <w:p>
      <w:pPr>
        <w:spacing w:after="40" w:before="40"/>
      </w:pPr>
      <w:r>
        <w:rPr>
          <w:rFonts w:ascii="Arial" w:cs="Arial" w:eastAsia="Arial" w:hAnsi="Arial"/>
          <w:b/>
          <w:bCs/>
          <w:color w:val="1A3560"/>
          <w:sz w:val="20"/>
          <w:szCs w:val="20"/>
        </w:rPr>
        <w:t xml:space="preserve">Fetch window: </w:t>
      </w:r>
      <w:r>
        <w:rPr>
          <w:rFonts w:ascii="Arial" w:cs="Arial" w:eastAsia="Arial" w:hAnsi="Arial"/>
          <w:sz w:val="20"/>
          <w:szCs w:val="20"/>
        </w:rPr>
        <w:t xml:space="preserve">Configurable via DAYS_BACK (default: 365 days)</w:t>
      </w:r>
    </w:p>
    <w:p>
      <w:pPr>
        <w:spacing w:after="40" w:before="40"/>
      </w:pPr>
      <w:r>
        <w:rPr>
          <w:rFonts w:ascii="Arial" w:cs="Arial" w:eastAsia="Arial" w:hAnsi="Arial"/>
          <w:b/>
          <w:bCs/>
          <w:color w:val="1A3560"/>
          <w:sz w:val="20"/>
          <w:szCs w:val="20"/>
        </w:rPr>
        <w:t xml:space="preserve">Volume: </w:t>
      </w:r>
      <w:r>
        <w:rPr>
          <w:rFonts w:ascii="Arial" w:cs="Arial" w:eastAsia="Arial" w:hAnsi="Arial"/>
          <w:sz w:val="20"/>
          <w:szCs w:val="20"/>
        </w:rPr>
        <w:t xml:space="preserve">Up to MAX_ISSUES records per sync (default: 2000)</w:t>
      </w:r>
    </w:p>
    <w:p>
      <w:pPr>
        <w:spacing w:after="40" w:before="40"/>
      </w:pPr>
      <w:r>
        <w:rPr>
          <w:rFonts w:ascii="Arial" w:cs="Arial" w:eastAsia="Arial" w:hAnsi="Arial"/>
          <w:b/>
          <w:bCs/>
          <w:color w:val="1A3560"/>
          <w:sz w:val="20"/>
          <w:szCs w:val="20"/>
        </w:rPr>
        <w:t xml:space="preserve">Refresh interval: </w:t>
      </w:r>
      <w:r>
        <w:rPr>
          <w:rFonts w:ascii="Arial" w:cs="Arial" w:eastAsia="Arial" w:hAnsi="Arial"/>
          <w:sz w:val="20"/>
          <w:szCs w:val="20"/>
        </w:rPr>
        <w:t xml:space="preserve">TTL-based cache, 600 seconds, with manual refresh</w:t>
      </w:r>
    </w:p>
    <w:p>
      <w:pPr>
        <w:spacing w:after="40" w:before="40"/>
      </w:pPr>
      <w:r>
        <w:rPr>
          <w:rFonts w:ascii="Arial" w:cs="Arial" w:eastAsia="Arial" w:hAnsi="Arial"/>
          <w:b/>
          <w:bCs/>
          <w:color w:val="1A3560"/>
          <w:sz w:val="20"/>
          <w:szCs w:val="20"/>
        </w:rPr>
        <w:t xml:space="preserve">Timezone: </w:t>
      </w:r>
      <w:r>
        <w:rPr>
          <w:rFonts w:ascii="Arial" w:cs="Arial" w:eastAsia="Arial" w:hAnsi="Arial"/>
          <w:sz w:val="20"/>
          <w:szCs w:val="20"/>
        </w:rPr>
        <w:t xml:space="preserve">All timestamps converted to IST (Asia/Kolkata)</w:t>
      </w:r>
    </w:p>
    <w:p>
      <w:pPr>
        <w:pStyle w:val="Heading2"/>
        <w:spacing w:after="80" w:before="240"/>
      </w:pPr>
      <w:r>
        <w:rPr>
          <w:rFonts w:ascii="Arial" w:cs="Arial" w:eastAsia="Arial" w:hAnsi="Arial"/>
          <w:b/>
          <w:bCs/>
          <w:color w:val="1A3560"/>
          <w:sz w:val="22"/>
          <w:szCs w:val="22"/>
        </w:rPr>
        <w:t xml:space="preserve">2.2 Fields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Field</w:t>
            </w:r>
          </w:p>
        </w:tc>
        <w:tc>
          <w:tcPr>
            <w:tcW w:type="dxa" w:w="416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Usage</w:t>
            </w:r>
          </w:p>
        </w:tc>
      </w:tr>
      <w:tr>
        <w:tc>
          <w:tcPr>
            <w:tcW w:type="dxa" w:w="5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summary, issuetype, status, assignee, priority</w:t>
            </w:r>
          </w:p>
        </w:tc>
        <w:tc>
          <w:tcPr>
            <w:tcW w:type="dxa" w:w="41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Classification and routing</w:t>
            </w:r>
          </w:p>
        </w:tc>
      </w:tr>
      <w:tr>
        <w:tc>
          <w:tcPr>
            <w:tcW w:type="dxa" w:w="5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labels, issuelinks, parent, fixVersions</w:t>
            </w:r>
          </w:p>
        </w:tc>
        <w:tc>
          <w:tcPr>
            <w:tcW w:type="dxa" w:w="41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Initiative mapping, graph construction</w:t>
            </w:r>
          </w:p>
        </w:tc>
      </w:tr>
      <w:tr>
        <w:tc>
          <w:tcPr>
            <w:tcW w:type="dxa" w:w="5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created, updated, duedate</w:t>
            </w:r>
          </w:p>
        </w:tc>
        <w:tc>
          <w:tcPr>
            <w:tcW w:type="dxa" w:w="41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Cycle time calculation, staleness, due status</w:t>
            </w:r>
          </w:p>
        </w:tc>
      </w:tr>
      <w:tr>
        <w:tc>
          <w:tcPr>
            <w:tcW w:type="dxa" w:w="5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comment (latest body)</w:t>
            </w:r>
          </w:p>
        </w:tc>
        <w:tc>
          <w:tcPr>
            <w:tcW w:type="dxa" w:w="41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Delivery coordination log context</w:t>
            </w:r>
          </w:p>
        </w:tc>
      </w:tr>
    </w:tbl>
    <w:p>
      <w:pPr>
        <w:pStyle w:val="Heading2"/>
        <w:spacing w:after="80" w:before="240"/>
      </w:pPr>
      <w:r>
        <w:rPr>
          <w:rFonts w:ascii="Arial" w:cs="Arial" w:eastAsia="Arial" w:hAnsi="Arial"/>
          <w:b/>
          <w:bCs/>
          <w:color w:val="1A3560"/>
          <w:sz w:val="22"/>
          <w:szCs w:val="22"/>
        </w:rPr>
        <w:t xml:space="preserve">2.3 Derived Fields</w:t>
      </w:r>
    </w:p>
    <w:p>
      <w:pPr>
        <w:spacing w:after="80" w:before="40"/>
      </w:pPr>
      <w:r>
        <w:rPr>
          <w:rFonts w:ascii="Arial" w:cs="Arial" w:eastAsia="Arial" w:hAnsi="Arial"/>
          <w:sz w:val="20"/>
          <w:szCs w:val="20"/>
        </w:rPr>
        <w:t xml:space="preserve">The following fields are computed at parse time and are not present in raw Jira data:</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days_stale: (today - updated).days in IST</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due_flag: Categorical — Beyond Target Date / Due This Week / On Track / No Due Date / Closed</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cycle_time: (updated - created).days for Closed issues only</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closed_on_time: Binary target — 1 if closed on or before due date, 0 otherwise</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3. Feature Engineering</w:t>
      </w:r>
    </w:p>
    <w:p>
      <w:pPr>
        <w:pStyle w:val="Heading2"/>
        <w:spacing w:after="80" w:before="240"/>
      </w:pPr>
      <w:r>
        <w:rPr>
          <w:rFonts w:ascii="Arial" w:cs="Arial" w:eastAsia="Arial" w:hAnsi="Arial"/>
          <w:b/>
          <w:bCs/>
          <w:color w:val="1A3560"/>
          <w:sz w:val="22"/>
          <w:szCs w:val="22"/>
        </w:rPr>
        <w:t xml:space="preserve">3.1 Feature Set</w:t>
      </w:r>
    </w:p>
    <w:p>
      <w:pPr>
        <w:spacing w:after="80" w:before="40"/>
      </w:pPr>
      <w:r>
        <w:rPr>
          <w:rFonts w:ascii="Arial" w:cs="Arial" w:eastAsia="Arial" w:hAnsi="Arial"/>
          <w:sz w:val="20"/>
          <w:szCs w:val="20"/>
        </w:rPr>
        <w:t xml:space="preserve">Ten features are constructed for model training. Features are designed to capture delivery risk from multiple dimensions without creating individual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Feature</w:t>
            </w:r>
          </w:p>
        </w:tc>
        <w:tc>
          <w:tcPr>
            <w:tcW w:type="dxa" w:w="35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Construction</w:t>
            </w:r>
          </w:p>
        </w:tc>
        <w:tc>
          <w:tcPr>
            <w:tcW w:type="dxa" w:w="366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Rationale</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priority_score</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Ordinal: Highest=4, High=3, Medium=2, Low=1, Lowest=0</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Higher priority correlates with escalation pressure</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type_risk</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Bug=3, Story=2, Task=1, Sub-task=1, QA-Sub-task=0</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Bugs historically have higher variance in cycle time</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is_unassigned</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Binary: 1 if assignee = 'Unassigned'</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Unowned items have no accountable workflow</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has_due</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Binary: 1 if duedate is set</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Issues without due dates have no delivery signal</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days_stale</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Integer: days since last Jira update</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Primary slip predictor in feature importance analysis</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label_count</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Integer: number of labels</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Proxy for cross-initiative complexity</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link_count</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Integer: total issue links</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Higher connectivity = higher dependency risk</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blocker_count</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Integer: outward blocking links</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Direct causal relationship with downstream delay</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blocked_count</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Integer: inward blocked-by links</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Indicates upstream dependency constraint</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comment_count</w:t>
            </w:r>
          </w:p>
        </w:tc>
        <w:tc>
          <w:tcPr>
            <w:tcW w:type="dxa" w:w="35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Integer: total comments</w:t>
            </w:r>
          </w:p>
        </w:tc>
        <w:tc>
          <w:tcPr>
            <w:tcW w:type="dxa" w:w="36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Activity proxy — low comments on old issues signal neglect</w:t>
            </w:r>
          </w:p>
        </w:tc>
      </w:tr>
    </w:tbl>
    <w:p>
      <w:pPr>
        <w:pStyle w:val="Heading2"/>
        <w:spacing w:after="80" w:before="240"/>
      </w:pPr>
      <w:r>
        <w:rPr>
          <w:rFonts w:ascii="Arial" w:cs="Arial" w:eastAsia="Arial" w:hAnsi="Arial"/>
          <w:b/>
          <w:bCs/>
          <w:color w:val="1A3560"/>
          <w:sz w:val="22"/>
          <w:szCs w:val="22"/>
        </w:rPr>
        <w:t xml:space="preserve">3.2 Graph Features (NetworkX)</w:t>
      </w:r>
    </w:p>
    <w:p>
      <w:pPr>
        <w:spacing w:after="80" w:before="40"/>
      </w:pPr>
      <w:r>
        <w:rPr>
          <w:rFonts w:ascii="Arial" w:cs="Arial" w:eastAsia="Arial" w:hAnsi="Arial"/>
          <w:sz w:val="20"/>
          <w:szCs w:val="20"/>
        </w:rPr>
        <w:t xml:space="preserve">Two graph-theoretic features are computed from the issue dependency graph:</w:t>
      </w:r>
    </w:p>
    <w:p>
      <w:pPr>
        <w:spacing w:after="40" w:before="40"/>
      </w:pPr>
      <w:r>
        <w:rPr>
          <w:rFonts w:ascii="Arial" w:cs="Arial" w:eastAsia="Arial" w:hAnsi="Arial"/>
          <w:b/>
          <w:bCs/>
          <w:color w:val="1A3560"/>
          <w:sz w:val="20"/>
          <w:szCs w:val="20"/>
        </w:rPr>
        <w:t xml:space="preserve">degree_centrality: </w:t>
      </w:r>
      <w:r>
        <w:rPr>
          <w:rFonts w:ascii="Arial" w:cs="Arial" w:eastAsia="Arial" w:hAnsi="Arial"/>
          <w:sz w:val="20"/>
          <w:szCs w:val="20"/>
        </w:rPr>
        <w:t xml:space="preserve">Proportion of all issues connected to this issue (NetworkX DiGraph). High centrality = high systemic exposure.</w:t>
      </w:r>
    </w:p>
    <w:p>
      <w:pPr>
        <w:spacing w:after="40" w:before="40"/>
      </w:pPr>
      <w:r>
        <w:rPr>
          <w:rFonts w:ascii="Arial" w:cs="Arial" w:eastAsia="Arial" w:hAnsi="Arial"/>
          <w:b/>
          <w:bCs/>
          <w:color w:val="1A3560"/>
          <w:sz w:val="20"/>
          <w:szCs w:val="20"/>
        </w:rPr>
        <w:t xml:space="preserve">betweenness_centrality: </w:t>
      </w:r>
      <w:r>
        <w:rPr>
          <w:rFonts w:ascii="Arial" w:cs="Arial" w:eastAsia="Arial" w:hAnsi="Arial"/>
          <w:sz w:val="20"/>
          <w:szCs w:val="20"/>
        </w:rPr>
        <w:t xml:space="preserve">Frequency with which an issue lies on the shortest path between other issues. High betweenness = single point of failure in dependency chain.</w:t>
      </w:r>
    </w:p>
    <w:p>
      <w:pPr>
        <w:spacing w:after="80" w:before="40"/>
      </w:pPr>
      <w:r>
        <w:rPr>
          <w:rFonts w:ascii="Arial" w:cs="Arial" w:eastAsia="Arial" w:hAnsi="Arial"/>
          <w:sz w:val="20"/>
          <w:szCs w:val="20"/>
        </w:rPr>
        <w:t xml:space="preserve">These features are computed on each data refresh and appended to the feature matrix before training.</w:t>
      </w:r>
    </w:p>
    <w:p>
      <w:pPr>
        <w:pStyle w:val="Heading2"/>
        <w:spacing w:after="80" w:before="240"/>
      </w:pPr>
      <w:r>
        <w:rPr>
          <w:rFonts w:ascii="Arial" w:cs="Arial" w:eastAsia="Arial" w:hAnsi="Arial"/>
          <w:b/>
          <w:bCs/>
          <w:color w:val="1A3560"/>
          <w:sz w:val="22"/>
          <w:szCs w:val="22"/>
        </w:rPr>
        <w:t xml:space="preserve">3.3 Preprocessing</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Missing values: imputed with 0 (structural — absence of a value is informative)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Scaling: StandardScaler (zero mean, unit variance) fitted on full dataset, applied to train and inference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Class imbalance: addressed via class_weight='balanced' in tree-based classifiers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Train/test split: stratified by target class, default 80/20</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4. Model Architecture</w:t>
      </w:r>
    </w:p>
    <w:p>
      <w:pPr>
        <w:pStyle w:val="Heading2"/>
        <w:spacing w:after="80" w:before="240"/>
      </w:pPr>
      <w:r>
        <w:rPr>
          <w:rFonts w:ascii="Arial" w:cs="Arial" w:eastAsia="Arial" w:hAnsi="Arial"/>
          <w:b/>
          <w:bCs/>
          <w:color w:val="1A3560"/>
          <w:sz w:val="22"/>
          <w:szCs w:val="22"/>
        </w:rPr>
        <w:t xml:space="preserve">4.1 Slip Predictor (Supervised Classification)</w:t>
      </w:r>
    </w:p>
    <w:p>
      <w:pPr>
        <w:spacing w:after="80" w:before="40"/>
      </w:pPr>
      <w:r>
        <w:rPr>
          <w:rFonts w:ascii="Arial" w:cs="Arial" w:eastAsia="Arial" w:hAnsi="Arial"/>
          <w:sz w:val="20"/>
          <w:szCs w:val="20"/>
        </w:rPr>
        <w:t xml:space="preserve">Task: Binary classification — will this issue close on or before its due date?</w:t>
      </w:r>
    </w:p>
    <w:p>
      <w:pPr>
        <w:spacing w:after="80" w:before="40"/>
      </w:pPr>
      <w:r>
        <w:rPr>
          <w:rFonts w:ascii="Arial" w:cs="Arial" w:eastAsia="Arial" w:hAnsi="Arial"/>
          <w:sz w:val="20"/>
          <w:szCs w:val="20"/>
        </w:rPr>
        <w:t xml:space="preserve">Training set: All Closed issues with a due date set. Label: closed_on_time (1 = on time, 0 = slipped).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Parameter</w:t>
            </w:r>
          </w:p>
        </w:tc>
        <w:tc>
          <w:tcPr>
            <w:tcW w:type="dxa" w:w="28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Default</w:t>
            </w:r>
          </w:p>
        </w:tc>
        <w:tc>
          <w:tcPr>
            <w:tcW w:type="dxa" w:w="376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Configurable</w:t>
            </w:r>
          </w:p>
        </w:tc>
      </w:tr>
      <w:tr>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Algorithm</w:t>
            </w:r>
          </w:p>
        </w:tc>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Random Forest (class-balanced)</w:t>
            </w:r>
          </w:p>
        </w:tc>
        <w:tc>
          <w:tcPr>
            <w:tcW w:type="dxa" w:w="3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Yes — RF / Gradient Boosting / Logistic Regression</w:t>
            </w:r>
          </w:p>
        </w:tc>
      </w:tr>
      <w:tr>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n_estimators</w:t>
            </w:r>
          </w:p>
        </w:tc>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200</w:t>
            </w:r>
          </w:p>
        </w:tc>
        <w:tc>
          <w:tcPr>
            <w:tcW w:type="dxa" w:w="3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Yes — 50 to 500</w:t>
            </w:r>
          </w:p>
        </w:tc>
      </w:tr>
      <w:tr>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max_depth</w:t>
            </w:r>
          </w:p>
        </w:tc>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Unlimited</w:t>
            </w:r>
          </w:p>
        </w:tc>
        <w:tc>
          <w:tcPr>
            <w:tcW w:type="dxa" w:w="3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Yes — 2 to 20</w:t>
            </w:r>
          </w:p>
        </w:tc>
      </w:tr>
      <w:tr>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test_size</w:t>
            </w:r>
          </w:p>
        </w:tc>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0.20 (stratified)</w:t>
            </w:r>
          </w:p>
        </w:tc>
        <w:tc>
          <w:tcPr>
            <w:tcW w:type="dxa" w:w="3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Yes — 10% to 40%</w:t>
            </w:r>
          </w:p>
        </w:tc>
      </w:tr>
      <w:tr>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Evaluation</w:t>
            </w:r>
          </w:p>
        </w:tc>
        <w:tc>
          <w:tcPr>
            <w:tcW w:type="dxa" w:w="2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AUC-ROC (test) + 5-fold stratified CV AUC</w:t>
            </w:r>
          </w:p>
        </w:tc>
        <w:tc>
          <w:tcPr>
            <w:tcW w:type="dxa" w:w="3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Fixed</w:t>
            </w:r>
          </w:p>
        </w:tc>
      </w:tr>
    </w:tbl>
    <w:p>
      <w:pPr>
        <w:spacing w:after="80" w:before="40"/>
      </w:pPr>
      <w:r>
        <w:rPr>
          <w:rFonts w:ascii="Arial" w:cs="Arial" w:eastAsia="Arial" w:hAnsi="Arial"/>
          <w:sz w:val="20"/>
          <w:szCs w:val="20"/>
        </w:rPr>
        <w:t xml:space="preserve">Inference: The trained model scores all currently open issues with a due date, producing a Delivery Risk Signal (0–100%). This signal reflects the model's estimated probability that the issue will not close on time given current features.</w:t>
      </w:r>
    </w:p>
    <w:p>
      <w:pPr>
        <w:pStyle w:val="Heading2"/>
        <w:spacing w:after="80" w:before="240"/>
      </w:pPr>
      <w:r>
        <w:rPr>
          <w:rFonts w:ascii="Arial" w:cs="Arial" w:eastAsia="Arial" w:hAnsi="Arial"/>
          <w:b/>
          <w:bCs/>
          <w:color w:val="1A3560"/>
          <w:sz w:val="22"/>
          <w:szCs w:val="22"/>
        </w:rPr>
        <w:t xml:space="preserve">4.2 Risk Clustering (Unsupervised)</w:t>
      </w:r>
    </w:p>
    <w:p>
      <w:pPr>
        <w:spacing w:after="80" w:before="40"/>
      </w:pPr>
      <w:r>
        <w:rPr>
          <w:rFonts w:ascii="Arial" w:cs="Arial" w:eastAsia="Arial" w:hAnsi="Arial"/>
          <w:sz w:val="20"/>
          <w:szCs w:val="20"/>
        </w:rPr>
        <w:t xml:space="preserve">Task: Segment open issues into risk tiers using K-Means clustering on the scaled feature matrix.</w:t>
      </w:r>
    </w:p>
    <w:p>
      <w:pPr>
        <w:spacing w:after="40" w:before="40"/>
      </w:pPr>
      <w:r>
        <w:rPr>
          <w:rFonts w:ascii="Arial" w:cs="Arial" w:eastAsia="Arial" w:hAnsi="Arial"/>
          <w:b/>
          <w:bCs/>
          <w:color w:val="1A3560"/>
          <w:sz w:val="20"/>
          <w:szCs w:val="20"/>
        </w:rPr>
        <w:t xml:space="preserve">Algorithm: </w:t>
      </w:r>
      <w:r>
        <w:rPr>
          <w:rFonts w:ascii="Arial" w:cs="Arial" w:eastAsia="Arial" w:hAnsi="Arial"/>
          <w:sz w:val="20"/>
          <w:szCs w:val="20"/>
        </w:rPr>
        <w:t xml:space="preserve">K-Means (sklearn, n_init=10, random_state=42)</w:t>
      </w:r>
    </w:p>
    <w:p>
      <w:pPr>
        <w:spacing w:after="40" w:before="40"/>
      </w:pPr>
      <w:r>
        <w:rPr>
          <w:rFonts w:ascii="Arial" w:cs="Arial" w:eastAsia="Arial" w:hAnsi="Arial"/>
          <w:b/>
          <w:bCs/>
          <w:color w:val="1A3560"/>
          <w:sz w:val="20"/>
          <w:szCs w:val="20"/>
        </w:rPr>
        <w:t xml:space="preserve">Default clusters: </w:t>
      </w:r>
      <w:r>
        <w:rPr>
          <w:rFonts w:ascii="Arial" w:cs="Arial" w:eastAsia="Arial" w:hAnsi="Arial"/>
          <w:sz w:val="20"/>
          <w:szCs w:val="20"/>
        </w:rPr>
        <w:t xml:space="preserve">3 (Critical / Elevated / Standard) — configurable 2–5</w:t>
      </w:r>
    </w:p>
    <w:p>
      <w:pPr>
        <w:spacing w:after="40" w:before="40"/>
      </w:pPr>
      <w:r>
        <w:rPr>
          <w:rFonts w:ascii="Arial" w:cs="Arial" w:eastAsia="Arial" w:hAnsi="Arial"/>
          <w:b/>
          <w:bCs/>
          <w:color w:val="1A3560"/>
          <w:sz w:val="20"/>
          <w:szCs w:val="20"/>
        </w:rPr>
        <w:t xml:space="preserve">Cluster labelling: </w:t>
      </w:r>
      <w:r>
        <w:rPr>
          <w:rFonts w:ascii="Arial" w:cs="Arial" w:eastAsia="Arial" w:hAnsi="Arial"/>
          <w:sz w:val="20"/>
          <w:szCs w:val="20"/>
        </w:rPr>
        <w:t xml:space="preserve">Clusters are ranked by composite centroid score: priority_score + blocker_count + days_stale. Highest composite = Critical.</w:t>
      </w:r>
    </w:p>
    <w:p>
      <w:pPr>
        <w:spacing w:after="80" w:before="40"/>
      </w:pPr>
      <w:r>
        <w:rPr>
          <w:rFonts w:ascii="Arial" w:cs="Arial" w:eastAsia="Arial" w:hAnsi="Arial"/>
          <w:sz w:val="20"/>
          <w:szCs w:val="20"/>
        </w:rPr>
        <w:t xml:space="preserve">Limitation: K-Means assumes spherical clusters and Euclidean distance. With mixed ordinal and binary features, cluster boundaries are approximate. Results should be interpreted directionally.</w:t>
      </w:r>
    </w:p>
    <w:p>
      <w:pPr>
        <w:pStyle w:val="Heading2"/>
        <w:spacing w:after="80" w:before="240"/>
      </w:pPr>
      <w:r>
        <w:rPr>
          <w:rFonts w:ascii="Arial" w:cs="Arial" w:eastAsia="Arial" w:hAnsi="Arial"/>
          <w:b/>
          <w:bCs/>
          <w:color w:val="1A3560"/>
          <w:sz w:val="22"/>
          <w:szCs w:val="22"/>
        </w:rPr>
        <w:t xml:space="preserve">4.3 Outlier Pattern Detection (Unsupervised)</w:t>
      </w:r>
    </w:p>
    <w:p>
      <w:pPr>
        <w:spacing w:after="40" w:before="40"/>
      </w:pPr>
      <w:r>
        <w:rPr>
          <w:rFonts w:ascii="Arial" w:cs="Arial" w:eastAsia="Arial" w:hAnsi="Arial"/>
          <w:b/>
          <w:bCs/>
          <w:color w:val="1A3560"/>
          <w:sz w:val="20"/>
          <w:szCs w:val="20"/>
        </w:rPr>
        <w:t xml:space="preserve">Algorithm: </w:t>
      </w:r>
      <w:r>
        <w:rPr>
          <w:rFonts w:ascii="Arial" w:cs="Arial" w:eastAsia="Arial" w:hAnsi="Arial"/>
          <w:sz w:val="20"/>
          <w:szCs w:val="20"/>
        </w:rPr>
        <w:t xml:space="preserve">Isolation Forest (sklearn)</w:t>
      </w:r>
    </w:p>
    <w:p>
      <w:pPr>
        <w:spacing w:after="40" w:before="40"/>
      </w:pPr>
      <w:r>
        <w:rPr>
          <w:rFonts w:ascii="Arial" w:cs="Arial" w:eastAsia="Arial" w:hAnsi="Arial"/>
          <w:b/>
          <w:bCs/>
          <w:color w:val="1A3560"/>
          <w:sz w:val="20"/>
          <w:szCs w:val="20"/>
        </w:rPr>
        <w:t xml:space="preserve">Contamination: </w:t>
      </w:r>
      <w:r>
        <w:rPr>
          <w:rFonts w:ascii="Arial" w:cs="Arial" w:eastAsia="Arial" w:hAnsi="Arial"/>
          <w:sz w:val="20"/>
          <w:szCs w:val="20"/>
        </w:rPr>
        <w:t xml:space="preserve">Default 10% — configurable 5%–30%</w:t>
      </w:r>
    </w:p>
    <w:p>
      <w:pPr>
        <w:spacing w:after="80" w:before="40"/>
      </w:pPr>
      <w:r>
        <w:rPr>
          <w:rFonts w:ascii="Arial" w:cs="Arial" w:eastAsia="Arial" w:hAnsi="Arial"/>
          <w:sz w:val="20"/>
          <w:szCs w:val="20"/>
        </w:rPr>
        <w:t xml:space="preserve">Isolation Forest identifies issues whose feature combinations are statistically anomalous relative to the broader population. These are flagged as 'outlier patterns' and warrant manual review. This is not a performance indicator — outliers may represent genuinely unusual delivery contexts.</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5. Velocity Forecasting (Time Series)</w:t>
      </w:r>
    </w:p>
    <w:p>
      <w:pPr>
        <w:pStyle w:val="Heading2"/>
        <w:spacing w:after="80" w:before="240"/>
      </w:pPr>
      <w:r>
        <w:rPr>
          <w:rFonts w:ascii="Arial" w:cs="Arial" w:eastAsia="Arial" w:hAnsi="Arial"/>
          <w:b/>
          <w:bCs/>
          <w:color w:val="1A3560"/>
          <w:sz w:val="22"/>
          <w:szCs w:val="22"/>
        </w:rPr>
        <w:t xml:space="preserve">5.1 Model Selection</w:t>
      </w:r>
    </w:p>
    <w:p>
      <w:pPr>
        <w:spacing w:after="80" w:before="40"/>
      </w:pPr>
      <w:r>
        <w:rPr>
          <w:rFonts w:ascii="Arial" w:cs="Arial" w:eastAsia="Arial" w:hAnsi="Arial"/>
          <w:sz w:val="20"/>
          <w:szCs w:val="20"/>
        </w:rPr>
        <w:t xml:space="preserve">Weekly closed-issue counts are modelled as a time series. The platform attempts SARIMA before falling back to ARIMA.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Model</w:t>
            </w:r>
          </w:p>
        </w:tc>
        <w:tc>
          <w:tcPr>
            <w:tcW w:type="dxa" w:w="40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Specification</w:t>
            </w:r>
          </w:p>
        </w:tc>
        <w:tc>
          <w:tcPr>
            <w:tcW w:type="dxa" w:w="336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Condition</w:t>
            </w:r>
          </w:p>
        </w:tc>
      </w:tr>
      <w:tr>
        <w:tc>
          <w:tcPr>
            <w:tcW w:type="dxa" w:w="2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SARIMA</w:t>
            </w:r>
          </w:p>
        </w:tc>
        <w:tc>
          <w:tcPr>
            <w:tcW w:type="dxa" w:w="4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(1, d, 1)(1, 0, 1, 4)</w:t>
            </w:r>
          </w:p>
        </w:tc>
        <w:tc>
          <w:tcPr>
            <w:tcW w:type="dxa" w:w="33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Primary — quarterly seasonal pattern</w:t>
            </w:r>
          </w:p>
        </w:tc>
      </w:tr>
      <w:tr>
        <w:tc>
          <w:tcPr>
            <w:tcW w:type="dxa" w:w="2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ARIMA</w:t>
            </w:r>
          </w:p>
        </w:tc>
        <w:tc>
          <w:tcPr>
            <w:tcW w:type="dxa" w:w="4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(1, d, 1)</w:t>
            </w:r>
          </w:p>
        </w:tc>
        <w:tc>
          <w:tcPr>
            <w:tcW w:type="dxa" w:w="33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Fallback if SARIMA fails to converge</w:t>
            </w:r>
          </w:p>
        </w:tc>
      </w:tr>
    </w:tbl>
    <w:p>
      <w:pPr>
        <w:pStyle w:val="Heading2"/>
        <w:spacing w:after="80" w:before="240"/>
      </w:pPr>
      <w:r>
        <w:rPr>
          <w:rFonts w:ascii="Arial" w:cs="Arial" w:eastAsia="Arial" w:hAnsi="Arial"/>
          <w:b/>
          <w:bCs/>
          <w:color w:val="1A3560"/>
          <w:sz w:val="22"/>
          <w:szCs w:val="22"/>
        </w:rPr>
        <w:t xml:space="preserve">5.2 Stationarity</w:t>
      </w:r>
    </w:p>
    <w:p>
      <w:pPr>
        <w:spacing w:after="80" w:before="40"/>
      </w:pPr>
      <w:r>
        <w:rPr>
          <w:rFonts w:ascii="Arial" w:cs="Arial" w:eastAsia="Arial" w:hAnsi="Arial"/>
          <w:sz w:val="20"/>
          <w:szCs w:val="20"/>
        </w:rPr>
        <w:t xml:space="preserve">The Augmented Dickey-Fuller (ADF) test is applied to the velocity series before fitting. If the null hypothesis (unit root present) is not rejected at p &lt; 0.05, differencing order d is set to 1. This is reported on the Advanced Analytics page as a statistical test result.</w:t>
      </w:r>
    </w:p>
    <w:p>
      <w:pPr>
        <w:spacing w:after="40" w:before="40"/>
      </w:pPr>
      <w:r>
        <w:rPr>
          <w:rFonts w:ascii="Arial" w:cs="Arial" w:eastAsia="Arial" w:hAnsi="Arial"/>
          <w:b/>
          <w:bCs/>
          <w:color w:val="1A3560"/>
          <w:sz w:val="20"/>
          <w:szCs w:val="20"/>
        </w:rPr>
        <w:t xml:space="preserve">Null hypothesis: </w:t>
      </w:r>
      <w:r>
        <w:rPr>
          <w:rFonts w:ascii="Arial" w:cs="Arial" w:eastAsia="Arial" w:hAnsi="Arial"/>
          <w:sz w:val="20"/>
          <w:szCs w:val="20"/>
        </w:rPr>
        <w:t xml:space="preserve">Series has a unit root (non-stationary)</w:t>
      </w:r>
    </w:p>
    <w:p>
      <w:pPr>
        <w:spacing w:after="40" w:before="40"/>
      </w:pPr>
      <w:r>
        <w:rPr>
          <w:rFonts w:ascii="Arial" w:cs="Arial" w:eastAsia="Arial" w:hAnsi="Arial"/>
          <w:b/>
          <w:bCs/>
          <w:color w:val="1A3560"/>
          <w:sz w:val="20"/>
          <w:szCs w:val="20"/>
        </w:rPr>
        <w:t xml:space="preserve">Decision rule: </w:t>
      </w:r>
      <w:r>
        <w:rPr>
          <w:rFonts w:ascii="Arial" w:cs="Arial" w:eastAsia="Arial" w:hAnsi="Arial"/>
          <w:sz w:val="20"/>
          <w:szCs w:val="20"/>
        </w:rPr>
        <w:t xml:space="preserve">p &lt; 0.05 → stationary (d=0); p &gt;= 0.05 → differencing applied (d=1)</w:t>
      </w:r>
    </w:p>
    <w:p>
      <w:pPr>
        <w:pStyle w:val="Heading2"/>
        <w:spacing w:after="80" w:before="240"/>
      </w:pPr>
      <w:r>
        <w:rPr>
          <w:rFonts w:ascii="Arial" w:cs="Arial" w:eastAsia="Arial" w:hAnsi="Arial"/>
          <w:b/>
          <w:bCs/>
          <w:color w:val="1A3560"/>
          <w:sz w:val="22"/>
          <w:szCs w:val="22"/>
        </w:rPr>
        <w:t xml:space="preserve">5.3 Forecast Output</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Horizon: 8 weeks ahead (configurable in code)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Confidence interval: 80% (alpha=0.20) from statsmodels get_forecast()</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Minimum history required: 8 weeks of closed issues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Model quality indicator: AIC reported alongside forecast</w:t>
      </w:r>
    </w:p>
    <w:p>
      <w:pPr>
        <w:spacing w:after="80" w:before="40"/>
      </w:pPr>
      <w:r>
        <w:rPr>
          <w:rFonts w:ascii="Arial" w:cs="Arial" w:eastAsia="Arial" w:hAnsi="Arial"/>
          <w:sz w:val="20"/>
          <w:szCs w:val="20"/>
        </w:rPr>
        <w:t xml:space="preserve">Note: Forecasts are based on historical closure patterns only. They do not account for planned scope changes, team size changes, or external events.</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6. Statistical Tests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000"/>
      </w:tblGrid>
      <w:tr>
        <w:tc>
          <w:tcPr>
            <w:tcW w:type="dxa" w:w="18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Test</w:t>
            </w:r>
          </w:p>
        </w:tc>
        <w:tc>
          <w:tcPr>
            <w:tcW w:type="dxa" w:w="22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Applied To</w:t>
            </w:r>
          </w:p>
        </w:tc>
        <w:tc>
          <w:tcPr>
            <w:tcW w:type="dxa" w:w="24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Null Hypothesis</w:t>
            </w:r>
          </w:p>
        </w:tc>
        <w:tc>
          <w:tcPr>
            <w:tcW w:type="dxa" w:w="30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Interpretation</w:t>
            </w:r>
          </w:p>
        </w:tc>
      </w:tr>
      <w:tr>
        <w:tc>
          <w:tcPr>
            <w:tcW w:type="dxa" w:w="1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ADF</w:t>
            </w:r>
          </w:p>
        </w:tc>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Weekly velocity series</w:t>
            </w:r>
          </w:p>
        </w:tc>
        <w:tc>
          <w:tcPr>
            <w:tcW w:type="dxa" w:w="24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Unit root present (non-stationary)</w:t>
            </w:r>
          </w:p>
        </w:tc>
        <w:tc>
          <w:tcPr>
            <w:tcW w:type="dxa" w:w="3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p &lt; 0.05: series is stationary, ARIMA appropriate</w:t>
            </w:r>
          </w:p>
        </w:tc>
      </w:tr>
      <w:tr>
        <w:tc>
          <w:tcPr>
            <w:tcW w:type="dxa" w:w="1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Shapiro-Wilk</w:t>
            </w:r>
          </w:p>
        </w:tc>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Cycle time distribution (n ≤ 50)</w:t>
            </w:r>
          </w:p>
        </w:tc>
        <w:tc>
          <w:tcPr>
            <w:tcW w:type="dxa" w:w="24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Data drawn from normal distribution</w:t>
            </w:r>
          </w:p>
        </w:tc>
        <w:tc>
          <w:tcPr>
            <w:tcW w:type="dxa" w:w="3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p &lt; 0.05: non-normal, use non-parametric tests</w:t>
            </w:r>
          </w:p>
        </w:tc>
      </w:tr>
      <w:tr>
        <w:tc>
          <w:tcPr>
            <w:tcW w:type="dxa" w:w="1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Mann-Whitney U</w:t>
            </w:r>
          </w:p>
        </w:tc>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Cycle time: High vs Medium priority</w:t>
            </w:r>
          </w:p>
        </w:tc>
        <w:tc>
          <w:tcPr>
            <w:tcW w:type="dxa" w:w="24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No difference in central tendency</w:t>
            </w:r>
          </w:p>
        </w:tc>
        <w:tc>
          <w:tcPr>
            <w:tcW w:type="dxa" w:w="3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p &lt; 0.05: priority has significant effect on cycle time</w:t>
            </w:r>
          </w:p>
        </w:tc>
      </w:tr>
      <w:tr>
        <w:tc>
          <w:tcPr>
            <w:tcW w:type="dxa" w:w="1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Kruskal-Wallis</w:t>
            </w:r>
          </w:p>
        </w:tc>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Cycle time: Bug vs Task vs Story vs Sub-task</w:t>
            </w:r>
          </w:p>
        </w:tc>
        <w:tc>
          <w:tcPr>
            <w:tcW w:type="dxa" w:w="24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No difference across groups</w:t>
            </w:r>
          </w:p>
        </w:tc>
        <w:tc>
          <w:tcPr>
            <w:tcW w:type="dxa" w:w="3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p &lt; 0.05: issue type has significant effect on cycle time</w:t>
            </w:r>
          </w:p>
        </w:tc>
      </w:tr>
    </w:tbl>
    <w:p>
      <w:pPr>
        <w:spacing w:after="80" w:before="40"/>
      </w:pPr>
      <w:r>
        <w:rPr>
          <w:rFonts w:ascii="Arial" w:cs="Arial" w:eastAsia="Arial" w:hAnsi="Arial"/>
          <w:sz w:val="20"/>
          <w:szCs w:val="20"/>
        </w:rPr>
        <w:t xml:space="preserve">All tests use alpha = 0.05. Results are displayed with test statistic, p-value, and plain-language conclusion on the Advanced Analytics page.</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7. Monte Carlo Sprint Simulation</w:t>
      </w:r>
    </w:p>
    <w:p>
      <w:pPr>
        <w:pStyle w:val="Heading2"/>
        <w:spacing w:after="80" w:before="240"/>
      </w:pPr>
      <w:r>
        <w:rPr>
          <w:rFonts w:ascii="Arial" w:cs="Arial" w:eastAsia="Arial" w:hAnsi="Arial"/>
          <w:b/>
          <w:bCs/>
          <w:color w:val="1A3560"/>
          <w:sz w:val="22"/>
          <w:szCs w:val="22"/>
        </w:rPr>
        <w:t xml:space="preserve">7.1 Methodology</w:t>
      </w:r>
    </w:p>
    <w:p>
      <w:pPr>
        <w:spacing w:after="80" w:before="40"/>
      </w:pPr>
      <w:r>
        <w:rPr>
          <w:rFonts w:ascii="Arial" w:cs="Arial" w:eastAsia="Arial" w:hAnsi="Arial"/>
          <w:sz w:val="20"/>
          <w:szCs w:val="20"/>
        </w:rPr>
        <w:t xml:space="preserve">The sprint simulation engine estimates the probability that all in-scope open issues will complete on time, given historical cycle time distributions and current team load.</w:t>
      </w:r>
    </w:p>
    <w:p>
      <w:pPr>
        <w:spacing w:after="80" w:before="40"/>
      </w:pPr>
      <w:r>
        <w:rPr>
          <w:rFonts w:ascii="Arial" w:cs="Arial" w:eastAsia="Arial" w:hAnsi="Arial"/>
          <w:sz w:val="20"/>
          <w:szCs w:val="20"/>
        </w:rPr>
        <w:t xml:space="preserve">For each simulation run:</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For each open issue with a due date, sample a completion time from a Normal distribution parameterised by historical median and standard deviation for that issue type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Add the issue's current staleness (days since last progress) as remaining elapsed time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Compare sampled total time to days remaining until due date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Count the issue as 'completed' if sampled time &lt;= days remaining</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Record the fraction of issues completed in this run</w:t>
      </w:r>
    </w:p>
    <w:p>
      <w:pPr>
        <w:spacing w:after="80" w:before="40"/>
      </w:pPr>
      <w:r>
        <w:rPr>
          <w:rFonts w:ascii="Arial" w:cs="Arial" w:eastAsia="Arial" w:hAnsi="Arial"/>
          <w:sz w:val="20"/>
          <w:szCs w:val="20"/>
        </w:rPr>
        <w:t xml:space="preserve">Repeat for n_sim runs (default: 500). Report P(all complete) and mean completion fraction.</w:t>
      </w:r>
    </w:p>
    <w:p>
      <w:pPr>
        <w:pStyle w:val="Heading2"/>
        <w:spacing w:after="80" w:before="240"/>
      </w:pPr>
      <w:r>
        <w:rPr>
          <w:rFonts w:ascii="Arial" w:cs="Arial" w:eastAsia="Arial" w:hAnsi="Arial"/>
          <w:b/>
          <w:bCs/>
          <w:color w:val="1A3560"/>
          <w:sz w:val="22"/>
          <w:szCs w:val="22"/>
        </w:rPr>
        <w:t xml:space="preserve">7.2 Configurable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Parameter</w:t>
            </w:r>
          </w:p>
        </w:tc>
        <w:tc>
          <w:tcPr>
            <w:tcW w:type="dxa" w:w="18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Default</w:t>
            </w:r>
          </w:p>
        </w:tc>
        <w:tc>
          <w:tcPr>
            <w:tcW w:type="dxa" w:w="536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Effect</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n_sim</w:t>
            </w:r>
          </w:p>
        </w:tc>
        <w:tc>
          <w:tcPr>
            <w:tcW w:type="dxa" w:w="1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500</w:t>
            </w:r>
          </w:p>
        </w:tc>
        <w:tc>
          <w:tcPr>
            <w:tcW w:type="dxa" w:w="53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Number of Monte Carlo runs. Higher = more stable probability estimate.</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sigma multiplier</w:t>
            </w:r>
          </w:p>
        </w:tc>
        <w:tc>
          <w:tcPr>
            <w:tcW w:type="dxa" w:w="1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0.5</w:t>
            </w:r>
          </w:p>
        </w:tc>
        <w:tc>
          <w:tcPr>
            <w:tcW w:type="dxa" w:w="53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Scales the standard deviation of the cycle time distribution. Higher = more uncertainty modelled.</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bug_buffer_rate</w:t>
            </w:r>
          </w:p>
        </w:tc>
        <w:tc>
          <w:tcPr>
            <w:tcW w:type="dxa" w:w="1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0.20</w:t>
            </w:r>
          </w:p>
        </w:tc>
        <w:tc>
          <w:tcPr>
            <w:tcW w:type="dxa" w:w="53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Fraction of planned tasks expected to generate additional bug items. Added as extra scope.</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velocity_adjustment</w:t>
            </w:r>
          </w:p>
        </w:tc>
        <w:tc>
          <w:tcPr>
            <w:tcW w:type="dxa" w:w="18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1.0</w:t>
            </w:r>
          </w:p>
        </w:tc>
        <w:tc>
          <w:tcPr>
            <w:tcW w:type="dxa" w:w="53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Scales historical median cycle time up or down to model capacity changes.</w:t>
            </w:r>
          </w:p>
        </w:tc>
      </w:tr>
    </w:tbl>
    <w:p>
      <w:pPr>
        <w:pStyle w:val="Heading2"/>
        <w:spacing w:after="80" w:before="240"/>
      </w:pPr>
      <w:r>
        <w:rPr>
          <w:rFonts w:ascii="Arial" w:cs="Arial" w:eastAsia="Arial" w:hAnsi="Arial"/>
          <w:b/>
          <w:bCs/>
          <w:color w:val="1A3560"/>
          <w:sz w:val="22"/>
          <w:szCs w:val="22"/>
        </w:rPr>
        <w:t xml:space="preserve">7.3 Assumptions and Limitations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Cycle time distributions are assumed Normal. In practice, cycle times are right-skewed. The Normal approximation may underestimate tail risk.</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Correlation between issue delays (e.g., blockers causing cascades) is not modelled in the base simulation. The Dependency Propagation page handles cascade analysis separately.</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Issues without due dates are treated as 50/50 (Bernoulli 0.5) by default.</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Historical cycle times are computed from all closed issues, not just recent ones. This may not reflect current team velocity.</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8. Delivery Confidence Score</w:t>
      </w:r>
    </w:p>
    <w:p>
      <w:pPr>
        <w:spacing w:after="80" w:before="40"/>
      </w:pPr>
      <w:r>
        <w:rPr>
          <w:rFonts w:ascii="Arial" w:cs="Arial" w:eastAsia="Arial" w:hAnsi="Arial"/>
          <w:sz w:val="20"/>
          <w:szCs w:val="20"/>
        </w:rPr>
        <w:t xml:space="preserve">The Delivery Confidence Score (0–100) is a composite index shown on the Executive Intelligence Briefing page. It is computed at each data refresh from live issue state.</w:t>
      </w:r>
    </w:p>
    <w:p>
      <w:pPr>
        <w:pStyle w:val="Heading2"/>
        <w:spacing w:after="80" w:before="240"/>
      </w:pPr>
      <w:r>
        <w:rPr>
          <w:rFonts w:ascii="Arial" w:cs="Arial" w:eastAsia="Arial" w:hAnsi="Arial"/>
          <w:b/>
          <w:bCs/>
          <w:color w:val="1A3560"/>
          <w:sz w:val="22"/>
          <w:szCs w:val="22"/>
        </w:rPr>
        <w:t xml:space="preserve">8.1 Formula</w:t>
      </w:r>
    </w:p>
    <w:p>
      <w:pPr>
        <w:spacing w:after="80" w:before="40"/>
      </w:pPr>
      <w:r>
        <w:rPr>
          <w:rFonts w:ascii="Arial" w:cs="Arial" w:eastAsia="Arial" w:hAnsi="Arial"/>
          <w:sz w:val="20"/>
          <w:szCs w:val="20"/>
        </w:rPr>
        <w:t xml:space="preserve">Score = 100 - (overdue_rate x 35 + stale_rate x 25 + blocker_density x 20 + bug_rate x 12 + unassigned_rate x 8) + velocity_trend x 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000"/>
      </w:tblGrid>
      <w:tr>
        <w:tc>
          <w:tcPr>
            <w:tcW w:type="dxa" w:w="22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Component</w:t>
            </w:r>
          </w:p>
        </w:tc>
        <w:tc>
          <w:tcPr>
            <w:tcW w:type="dxa" w:w="12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Weight</w:t>
            </w:r>
          </w:p>
        </w:tc>
        <w:tc>
          <w:tcPr>
            <w:tcW w:type="dxa" w:w="60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Definition</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overdue_rate</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35%</w:t>
            </w:r>
          </w:p>
        </w:tc>
        <w:tc>
          <w:tcPr>
            <w:tcW w:type="dxa" w:w="6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Fraction of open issues beyond target date</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stale_rate</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25%</w:t>
            </w:r>
          </w:p>
        </w:tc>
        <w:tc>
          <w:tcPr>
            <w:tcW w:type="dxa" w:w="6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Fraction of open issues with &gt;7 days since last progress</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blocker_density</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20%</w:t>
            </w:r>
          </w:p>
        </w:tc>
        <w:tc>
          <w:tcPr>
            <w:tcW w:type="dxa" w:w="6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Active blocking links / total open issues, capped at 1.0</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bug_rate</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12%</w:t>
            </w:r>
          </w:p>
        </w:tc>
        <w:tc>
          <w:tcPr>
            <w:tcW w:type="dxa" w:w="6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Bug issues / total issues</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unassigned_rate</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8%</w:t>
            </w:r>
          </w:p>
        </w:tc>
        <w:tc>
          <w:tcPr>
            <w:tcW w:type="dxa" w:w="6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Unassigned open issues / total open issues</w:t>
            </w:r>
          </w:p>
        </w:tc>
      </w:tr>
      <w:tr>
        <w:tc>
          <w:tcPr>
            <w:tcW w:type="dxa" w:w="2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velocity_trend</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+/-10</w:t>
            </w:r>
          </w:p>
        </w:tc>
        <w:tc>
          <w:tcPr>
            <w:tcW w:type="dxa" w:w="60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Recent 4-week vs prior 4-week closure rate (bounded +-20%)</w:t>
            </w:r>
          </w:p>
        </w:tc>
      </w:tr>
    </w:tbl>
    <w:p>
      <w:pPr>
        <w:spacing w:after="80" w:before="40"/>
      </w:pPr>
      <w:r>
        <w:rPr>
          <w:rFonts w:ascii="Arial" w:cs="Arial" w:eastAsia="Arial" w:hAnsi="Arial"/>
          <w:sz w:val="20"/>
          <w:szCs w:val="20"/>
        </w:rPr>
        <w:t xml:space="preserve">Score is bounded [0, 100]. A score &gt;= 70 is classified Healthy; 45–69 is At Risk; below 45 is Critical.</w:t>
      </w:r>
    </w:p>
    <w:p>
      <w:pPr>
        <w:spacing w:after="80" w:before="40"/>
      </w:pPr>
      <w:r>
        <w:rPr>
          <w:rFonts w:ascii="Arial" w:cs="Arial" w:eastAsia="Arial" w:hAnsi="Arial"/>
          <w:sz w:val="20"/>
          <w:szCs w:val="20"/>
        </w:rPr>
        <w:t xml:space="preserve">This score is indicative, not prescriptive. It is designed to prompt investigation, not to replace judgement.</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9. Delivery Variance Signal</w:t>
      </w:r>
    </w:p>
    <w:p>
      <w:pPr>
        <w:spacing w:after="80" w:before="40"/>
      </w:pPr>
      <w:r>
        <w:rPr>
          <w:rFonts w:ascii="Arial" w:cs="Arial" w:eastAsia="Arial" w:hAnsi="Arial"/>
          <w:sz w:val="20"/>
          <w:szCs w:val="20"/>
        </w:rPr>
        <w:t xml:space="preserve">The Delivery Variance Signal tracks the consistency between stated target completion dates (logged via the Delivery Coordination page) and actual delivery outcomes per workstream.</w:t>
      </w:r>
    </w:p>
    <w:p>
      <w:pPr>
        <w:spacing w:after="40" w:before="40"/>
      </w:pPr>
      <w:r>
        <w:rPr>
          <w:rFonts w:ascii="Arial" w:cs="Arial" w:eastAsia="Arial" w:hAnsi="Arial"/>
          <w:b/>
          <w:bCs/>
          <w:color w:val="1A3560"/>
          <w:sz w:val="20"/>
          <w:szCs w:val="20"/>
        </w:rPr>
        <w:t xml:space="preserve">Base metric: </w:t>
      </w:r>
      <w:r>
        <w:rPr>
          <w:rFonts w:ascii="Arial" w:cs="Arial" w:eastAsia="Arial" w:hAnsi="Arial"/>
          <w:sz w:val="20"/>
          <w:szCs w:val="20"/>
        </w:rPr>
        <w:t xml:space="preserve">On-time updates / Total forecast events with a target date</w:t>
      </w:r>
    </w:p>
    <w:p>
      <w:pPr>
        <w:spacing w:after="40" w:before="40"/>
      </w:pPr>
      <w:r>
        <w:rPr>
          <w:rFonts w:ascii="Arial" w:cs="Arial" w:eastAsia="Arial" w:hAnsi="Arial"/>
          <w:b/>
          <w:bCs/>
          <w:color w:val="1A3560"/>
          <w:sz w:val="20"/>
          <w:szCs w:val="20"/>
        </w:rPr>
        <w:t xml:space="preserve">Penalty: </w:t>
      </w:r>
      <w:r>
        <w:rPr>
          <w:rFonts w:ascii="Arial" w:cs="Arial" w:eastAsia="Arial" w:hAnsi="Arial"/>
          <w:sz w:val="20"/>
          <w:szCs w:val="20"/>
        </w:rPr>
        <w:t xml:space="preserve">Subtracted for extended overrun (0.5 points per day beyond target, capped at 30 points)</w:t>
      </w:r>
    </w:p>
    <w:p>
      <w:pPr>
        <w:spacing w:after="40" w:before="40"/>
      </w:pPr>
      <w:r>
        <w:rPr>
          <w:rFonts w:ascii="Arial" w:cs="Arial" w:eastAsia="Arial" w:hAnsi="Arial"/>
          <w:b/>
          <w:bCs/>
          <w:color w:val="1A3560"/>
          <w:sz w:val="20"/>
          <w:szCs w:val="20"/>
        </w:rPr>
        <w:t xml:space="preserve">Display: </w:t>
      </w:r>
      <w:r>
        <w:rPr>
          <w:rFonts w:ascii="Arial" w:cs="Arial" w:eastAsia="Arial" w:hAnsi="Arial"/>
          <w:sz w:val="20"/>
          <w:szCs w:val="20"/>
        </w:rPr>
        <w:t xml:space="preserve">Index 0–100% per workstream. Shown alongside total forecasts, on-time count, delayed count, and average days of overrun.</w:t>
      </w:r>
    </w:p>
    <w:p>
      <w:pPr>
        <w:spacing w:after="80" w:before="40"/>
      </w:pPr>
      <w:r>
        <w:rPr>
          <w:rFonts w:ascii="Arial" w:cs="Arial" w:eastAsia="Arial" w:hAnsi="Arial"/>
          <w:sz w:val="20"/>
          <w:szCs w:val="20"/>
        </w:rPr>
        <w:t xml:space="preserve">This metric requires standup ETA data to populate. It will show no data if no target completion dates have been logged in the Delivery Coordination page.</w:t>
      </w:r>
    </w:p>
    <w:p>
      <w:pPr>
        <w:spacing w:after="80" w:before="40"/>
      </w:pPr>
      <w:r>
        <w:rPr>
          <w:rFonts w:ascii="Arial" w:cs="Arial" w:eastAsia="Arial" w:hAnsi="Arial"/>
          <w:sz w:val="20"/>
          <w:szCs w:val="20"/>
        </w:rPr>
        <w:t xml:space="preserve">Framing note: This signal reflects workstream planning consistency — the degree to which forecast dates align with outcomes. It is not an individual performance measure.</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10. Dependency Propagation Analysis</w:t>
      </w:r>
    </w:p>
    <w:p>
      <w:pPr>
        <w:spacing w:after="80" w:before="40"/>
      </w:pPr>
      <w:r>
        <w:rPr>
          <w:rFonts w:ascii="Arial" w:cs="Arial" w:eastAsia="Arial" w:hAnsi="Arial"/>
          <w:sz w:val="20"/>
          <w:szCs w:val="20"/>
        </w:rPr>
        <w:t xml:space="preserve">The dependency propagation engine estimates the cascade impact of each active blocker using breadth-first search (BFS) on a directed graph of issue links.</w:t>
      </w:r>
    </w:p>
    <w:p>
      <w:pPr>
        <w:pStyle w:val="Heading2"/>
        <w:spacing w:after="80" w:before="240"/>
      </w:pPr>
      <w:r>
        <w:rPr>
          <w:rFonts w:ascii="Arial" w:cs="Arial" w:eastAsia="Arial" w:hAnsi="Arial"/>
          <w:b/>
          <w:bCs/>
          <w:color w:val="1A3560"/>
          <w:sz w:val="22"/>
          <w:szCs w:val="22"/>
        </w:rPr>
        <w:t xml:space="preserve">10.1 Graph Construction</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Nodes: all issues in the dataset</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Directed edges: outward blocking links (A blocks B creates edge A → B)</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Library: NetworkX DiGraph</w:t>
      </w:r>
    </w:p>
    <w:p>
      <w:pPr>
        <w:pStyle w:val="Heading2"/>
        <w:spacing w:after="80" w:before="240"/>
      </w:pPr>
      <w:r>
        <w:rPr>
          <w:rFonts w:ascii="Arial" w:cs="Arial" w:eastAsia="Arial" w:hAnsi="Arial"/>
          <w:b/>
          <w:bCs/>
          <w:color w:val="1A3560"/>
          <w:sz w:val="22"/>
          <w:szCs w:val="22"/>
        </w:rPr>
        <w:t xml:space="preserve">10.2 Cascade Scoring</w:t>
      </w:r>
    </w:p>
    <w:p>
      <w:pPr>
        <w:spacing w:after="40" w:before="40"/>
      </w:pPr>
      <w:r>
        <w:rPr>
          <w:rFonts w:ascii="Arial" w:cs="Arial" w:eastAsia="Arial" w:hAnsi="Arial"/>
          <w:b/>
          <w:bCs/>
          <w:color w:val="1A3560"/>
          <w:sz w:val="20"/>
          <w:szCs w:val="20"/>
        </w:rPr>
        <w:t xml:space="preserve">Downstream count: </w:t>
      </w:r>
      <w:r>
        <w:rPr>
          <w:rFonts w:ascii="Arial" w:cs="Arial" w:eastAsia="Arial" w:hAnsi="Arial"/>
          <w:sz w:val="20"/>
          <w:szCs w:val="20"/>
        </w:rPr>
        <w:t xml:space="preserve">Number of non-closed issue nodes reachable from this node via BFS (descendants)</w:t>
      </w:r>
    </w:p>
    <w:p>
      <w:pPr>
        <w:spacing w:after="40" w:before="40"/>
      </w:pPr>
      <w:r>
        <w:rPr>
          <w:rFonts w:ascii="Arial" w:cs="Arial" w:eastAsia="Arial" w:hAnsi="Arial"/>
          <w:b/>
          <w:bCs/>
          <w:color w:val="1A3560"/>
          <w:sz w:val="20"/>
          <w:szCs w:val="20"/>
        </w:rPr>
        <w:t xml:space="preserve">Cascade days: </w:t>
      </w:r>
      <w:r>
        <w:rPr>
          <w:rFonts w:ascii="Arial" w:cs="Arial" w:eastAsia="Arial" w:hAnsi="Arial"/>
          <w:sz w:val="20"/>
          <w:szCs w:val="20"/>
        </w:rPr>
        <w:t xml:space="preserve">Mean staleness of downstream issues — proxy for accumulated delay already present in the chain</w:t>
      </w:r>
    </w:p>
    <w:p>
      <w:pPr>
        <w:spacing w:after="40" w:before="40"/>
      </w:pPr>
      <w:r>
        <w:rPr>
          <w:rFonts w:ascii="Arial" w:cs="Arial" w:eastAsia="Arial" w:hAnsi="Arial"/>
          <w:b/>
          <w:bCs/>
          <w:color w:val="1A3560"/>
          <w:sz w:val="20"/>
          <w:szCs w:val="20"/>
        </w:rPr>
        <w:t xml:space="preserve">Assignees affected: </w:t>
      </w:r>
      <w:r>
        <w:rPr>
          <w:rFonts w:ascii="Arial" w:cs="Arial" w:eastAsia="Arial" w:hAnsi="Arial"/>
          <w:sz w:val="20"/>
          <w:szCs w:val="20"/>
        </w:rPr>
        <w:t xml:space="preserve">Number of distinct assignees on downstream issues</w:t>
      </w:r>
    </w:p>
    <w:p>
      <w:pPr>
        <w:spacing w:after="40" w:before="40"/>
      </w:pPr>
      <w:r>
        <w:rPr>
          <w:rFonts w:ascii="Arial" w:cs="Arial" w:eastAsia="Arial" w:hAnsi="Arial"/>
          <w:b/>
          <w:bCs/>
          <w:color w:val="1A3560"/>
          <w:sz w:val="20"/>
          <w:szCs w:val="20"/>
        </w:rPr>
        <w:t xml:space="preserve">Impact Score: </w:t>
      </w:r>
      <w:r>
        <w:rPr>
          <w:rFonts w:ascii="Arial" w:cs="Arial" w:eastAsia="Arial" w:hAnsi="Arial"/>
          <w:sz w:val="20"/>
          <w:szCs w:val="20"/>
        </w:rPr>
        <w:t xml:space="preserve">(downstream_count x 10) + (cascade_days x 0.5)</w:t>
      </w:r>
    </w:p>
    <w:p>
      <w:pPr>
        <w:spacing w:after="80" w:before="40"/>
      </w:pPr>
      <w:r>
        <w:rPr>
          <w:rFonts w:ascii="Arial" w:cs="Arial" w:eastAsia="Arial" w:hAnsi="Arial"/>
          <w:sz w:val="20"/>
          <w:szCs w:val="20"/>
        </w:rPr>
        <w:t xml:space="preserve">Issues are ranked by Impact Score descending. The top results are surfaced on the Operational Intelligence page and in the Executive Intelligence Briefing alert strip.</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11. Model Governance</w:t>
      </w:r>
    </w:p>
    <w:p>
      <w:pPr>
        <w:pStyle w:val="Heading2"/>
        <w:spacing w:after="80" w:before="240"/>
      </w:pPr>
      <w:r>
        <w:rPr>
          <w:rFonts w:ascii="Arial" w:cs="Arial" w:eastAsia="Arial" w:hAnsi="Arial"/>
          <w:b/>
          <w:bCs/>
          <w:color w:val="1A3560"/>
          <w:sz w:val="22"/>
          <w:szCs w:val="22"/>
        </w:rPr>
        <w:t xml:space="preserve">11.1 Retraining</w:t>
      </w:r>
    </w:p>
    <w:p>
      <w:pPr>
        <w:spacing w:after="80" w:before="40"/>
      </w:pPr>
      <w:r>
        <w:rPr>
          <w:rFonts w:ascii="Arial" w:cs="Arial" w:eastAsia="Arial" w:hAnsi="Arial"/>
          <w:sz w:val="20"/>
          <w:szCs w:val="20"/>
        </w:rPr>
        <w:t xml:space="preserve">Models are retrained on demand via the Predictive Analytics page. There is no automated scheduled retraining. It is recommended to retrain after each major release cycle to incorporate fresh historical outcomes.</w:t>
      </w:r>
    </w:p>
    <w:p>
      <w:pPr>
        <w:pStyle w:val="Heading2"/>
        <w:spacing w:after="80" w:before="240"/>
      </w:pPr>
      <w:r>
        <w:rPr>
          <w:rFonts w:ascii="Arial" w:cs="Arial" w:eastAsia="Arial" w:hAnsi="Arial"/>
          <w:b/>
          <w:bCs/>
          <w:color w:val="1A3560"/>
          <w:sz w:val="22"/>
          <w:szCs w:val="22"/>
        </w:rPr>
        <w:t xml:space="preserve">11.2 Model Persistence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slip_predictor.pkl — trained classifier</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scaler.pkl — StandardScaler fitted on training data</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kmeans.pkl — K-Means cluster model</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isoforest.pkl — Isolation Forest model</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meta.json — training metadata: timestamp, AUC, config, feature importance, class balance</w:t>
      </w:r>
    </w:p>
    <w:p>
      <w:pPr>
        <w:spacing w:after="80" w:before="40"/>
      </w:pPr>
      <w:r>
        <w:rPr>
          <w:rFonts w:ascii="Arial" w:cs="Arial" w:eastAsia="Arial" w:hAnsi="Arial"/>
          <w:sz w:val="20"/>
          <w:szCs w:val="20"/>
        </w:rPr>
        <w:t xml:space="preserve">All files are saved to MODEL_DIR (default: data/models/). On Render free tier, this directory is ephemeral and cleared on redeploy. Models must be retrained after each deployment.</w:t>
      </w:r>
    </w:p>
    <w:p>
      <w:pPr>
        <w:pStyle w:val="Heading2"/>
        <w:spacing w:after="80" w:before="240"/>
      </w:pPr>
      <w:r>
        <w:rPr>
          <w:rFonts w:ascii="Arial" w:cs="Arial" w:eastAsia="Arial" w:hAnsi="Arial"/>
          <w:b/>
          <w:bCs/>
          <w:color w:val="1A3560"/>
          <w:sz w:val="22"/>
          <w:szCs w:val="22"/>
        </w:rPr>
        <w:t xml:space="preserve">11.3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Metric</w:t>
            </w:r>
          </w:p>
        </w:tc>
        <w:tc>
          <w:tcPr>
            <w:tcW w:type="dxa" w:w="120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Reported</w:t>
            </w:r>
          </w:p>
        </w:tc>
        <w:tc>
          <w:tcPr>
            <w:tcW w:type="dxa" w:w="5760"/>
            <w:tcBorders>
              <w:top w:val="single" w:color="D4DFFF" w:sz="1"/>
              <w:left w:val="single" w:color="D4DFFF" w:sz="1"/>
              <w:bottom w:val="single" w:color="D4DFFF" w:sz="1"/>
              <w:right w:val="single" w:color="D4DFFF" w:sz="1"/>
            </w:tcBorders>
            <w:shd w:fill="EEF4FF" w:val="clear"/>
            <w:tcMar>
              <w:top w:type="dxa" w:w="100"/>
              <w:left w:type="dxa" w:w="140"/>
              <w:bottom w:type="dxa" w:w="100"/>
              <w:right w:type="dxa" w:w="140"/>
            </w:tcMar>
          </w:tcPr>
          <w:p>
            <w:r>
              <w:rPr>
                <w:rFonts w:ascii="Arial" w:cs="Arial" w:eastAsia="Arial" w:hAnsi="Arial"/>
                <w:b/>
                <w:bCs/>
                <w:color w:val="1A3560"/>
                <w:sz w:val="18"/>
                <w:szCs w:val="18"/>
              </w:rPr>
              <w:t xml:space="preserve">Interpretation</w:t>
            </w:r>
          </w:p>
        </w:tc>
      </w:tr>
      <w:tr>
        <w:tc>
          <w:tcPr>
            <w:tcW w:type="dxa" w:w="24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AUC-ROC (test set)</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Yes</w:t>
            </w:r>
          </w:p>
        </w:tc>
        <w:tc>
          <w:tcPr>
            <w:tcW w:type="dxa" w:w="5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Discrimination ability. 0.5 = random, 1.0 = perfect. Context: operational data with 6 features typically yields 0.65–0.75.</w:t>
            </w:r>
          </w:p>
        </w:tc>
      </w:tr>
      <w:tr>
        <w:tc>
          <w:tcPr>
            <w:tcW w:type="dxa" w:w="24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AUC-ROC (5-fold CV)</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Yes</w:t>
            </w:r>
          </w:p>
        </w:tc>
        <w:tc>
          <w:tcPr>
            <w:tcW w:type="dxa" w:w="5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Stability of AUC across folds. Large gap between test and CV AUC signals overfitting.</w:t>
            </w:r>
          </w:p>
        </w:tc>
      </w:tr>
      <w:tr>
        <w:tc>
          <w:tcPr>
            <w:tcW w:type="dxa" w:w="24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CV std deviation</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Yes</w:t>
            </w:r>
          </w:p>
        </w:tc>
        <w:tc>
          <w:tcPr>
            <w:tcW w:type="dxa" w:w="5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Variance in AUC across folds. High std = unstable model.</w:t>
            </w:r>
          </w:p>
        </w:tc>
      </w:tr>
      <w:tr>
        <w:tc>
          <w:tcPr>
            <w:tcW w:type="dxa" w:w="24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Historical slip rate</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Yes</w:t>
            </w:r>
          </w:p>
        </w:tc>
        <w:tc>
          <w:tcPr>
            <w:tcW w:type="dxa" w:w="5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Baseline rate. Model must outperform naive prediction (always predict majority class).</w:t>
            </w:r>
          </w:p>
        </w:tc>
      </w:tr>
      <w:tr>
        <w:tc>
          <w:tcPr>
            <w:tcW w:type="dxa" w:w="24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Feature importance</w:t>
            </w:r>
          </w:p>
        </w:tc>
        <w:tc>
          <w:tcPr>
            <w:tcW w:type="dxa" w:w="120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Yes</w:t>
            </w:r>
          </w:p>
        </w:tc>
        <w:tc>
          <w:tcPr>
            <w:tcW w:type="dxa" w:w="5760"/>
            <w:tcBorders>
              <w:top w:val="single" w:color="D4DFFF" w:sz="1"/>
              <w:left w:val="single" w:color="D4DFFF" w:sz="1"/>
              <w:bottom w:val="single" w:color="D4DFFF" w:sz="1"/>
              <w:right w:val="single" w:color="D4DFFF" w:sz="1"/>
            </w:tcBorders>
            <w:shd w:fill="FFFFFF" w:val="clear"/>
            <w:tcMar>
              <w:top w:type="dxa" w:w="100"/>
              <w:left w:type="dxa" w:w="140"/>
              <w:bottom w:type="dxa" w:w="100"/>
              <w:right w:type="dxa" w:w="140"/>
            </w:tcMar>
          </w:tcPr>
          <w:p>
            <w:r>
              <w:rPr>
                <w:rFonts w:ascii="Arial" w:cs="Arial" w:eastAsia="Arial" w:hAnsi="Arial"/>
                <w:b w:val="false"/>
                <w:bCs w:val="false"/>
                <w:color w:val="0B1D3A"/>
                <w:sz w:val="18"/>
                <w:szCs w:val="18"/>
              </w:rPr>
              <w:t xml:space="preserve">Relative contribution of each feature. Dominated by days_stale in current data.</w:t>
            </w:r>
          </w:p>
        </w:tc>
      </w:tr>
    </w:tbl>
    <w:p>
      <w:pPr>
        <w:pStyle w:val="Heading2"/>
        <w:spacing w:after="80" w:before="240"/>
      </w:pPr>
      <w:r>
        <w:rPr>
          <w:rFonts w:ascii="Arial" w:cs="Arial" w:eastAsia="Arial" w:hAnsi="Arial"/>
          <w:b/>
          <w:bCs/>
          <w:color w:val="1A3560"/>
          <w:sz w:val="22"/>
          <w:szCs w:val="22"/>
        </w:rPr>
        <w:t xml:space="preserve">11.4 Known Limitations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Training set size: approximately 1,000 labeled examples (closed issues with due dates). This is sufficient for a baseline model but insufficient for deep learning or complex ensemble methods.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Label quality: closed_on_time uses updated date as a proxy for close date. If issues are updated after closure for administrative reasons, the label may be incorrect.</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Feature leakage: days_stale dominates feature importance. This is expected — issues that have not been updated are more likely to slip. It does not constitute leakage in the strict sense but does mean the model is primarily a staleness detector.</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Temporal drift: the model is trained on historical patterns that may not reflect current team composition, process changes, or scope changes.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Distribution shift: closed issues (training) may have systematically different feature distributions than open issues (inference). This is inherent to survival bias in Jira data.</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12. Interpreting Outputs — Guidance for Reviewers</w:t>
      </w:r>
    </w:p>
    <w:p>
      <w:pPr>
        <w:pStyle w:val="Heading2"/>
        <w:spacing w:after="80" w:before="240"/>
      </w:pPr>
      <w:r>
        <w:rPr>
          <w:rFonts w:ascii="Arial" w:cs="Arial" w:eastAsia="Arial" w:hAnsi="Arial"/>
          <w:b/>
          <w:bCs/>
          <w:color w:val="1A3560"/>
          <w:sz w:val="22"/>
          <w:szCs w:val="22"/>
        </w:rPr>
        <w:t xml:space="preserve">12.1 What These Numbers Mean</w:t>
      </w:r>
    </w:p>
    <w:p>
      <w:pPr>
        <w:spacing w:after="80" w:before="40"/>
      </w:pPr>
      <w:r>
        <w:rPr>
          <w:rFonts w:ascii="Arial" w:cs="Arial" w:eastAsia="Arial" w:hAnsi="Arial"/>
          <w:sz w:val="20"/>
          <w:szCs w:val="20"/>
        </w:rPr>
        <w:t xml:space="preserve">All probabilistic outputs (Delivery Risk Signal %, Delivery Confidence Score, Sprint Completion Probability) are estimates derived from historical patterns. They are not guarantees.</w:t>
      </w:r>
    </w:p>
    <w:p>
      <w:pPr>
        <w:spacing w:after="80" w:before="40"/>
      </w:pPr>
      <w:r>
        <w:rPr>
          <w:rFonts w:ascii="Arial" w:cs="Arial" w:eastAsia="Arial" w:hAnsi="Arial"/>
          <w:sz w:val="20"/>
          <w:szCs w:val="20"/>
        </w:rPr>
        <w:t xml:space="preserve">A Delivery Risk Signal of 80% means: based on historical delivery patterns for issues with similar features, issues in this state have historically not closed on time approximately 80% of the time.</w:t>
      </w:r>
    </w:p>
    <w:p>
      <w:pPr>
        <w:spacing w:after="80" w:before="40"/>
      </w:pPr>
      <w:r>
        <w:rPr>
          <w:rFonts w:ascii="Arial" w:cs="Arial" w:eastAsia="Arial" w:hAnsi="Arial"/>
          <w:sz w:val="20"/>
          <w:szCs w:val="20"/>
        </w:rPr>
        <w:t xml:space="preserve">A Sprint Completion Probability of 65% means: across 500 simulated scenarios with sampled cycle times, 65% of simulations resulted in all issues completing before their due dates.</w:t>
      </w:r>
    </w:p>
    <w:p>
      <w:pPr>
        <w:pStyle w:val="Heading2"/>
        <w:spacing w:after="80" w:before="240"/>
      </w:pPr>
      <w:r>
        <w:rPr>
          <w:rFonts w:ascii="Arial" w:cs="Arial" w:eastAsia="Arial" w:hAnsi="Arial"/>
          <w:b/>
          <w:bCs/>
          <w:color w:val="1A3560"/>
          <w:sz w:val="22"/>
          <w:szCs w:val="22"/>
        </w:rPr>
        <w:t xml:space="preserve">12.2 Appropriate Use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Use outputs as one input into planning conversations, not as the sole basis for decisions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High Delivery Risk Signal on an issue warrants a conversation — not an automatic escalation</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Delivery Confidence Score trending downward over multiple weeks is more meaningful than a single reading</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Monte Carlo results are sensitive to input assumptions — review the sigma multiplier and velocity adjustment before drawing conclusions</w:t>
      </w:r>
    </w:p>
    <w:p>
      <w:pPr>
        <w:pStyle w:val="Heading2"/>
        <w:spacing w:after="80" w:before="240"/>
      </w:pPr>
      <w:r>
        <w:rPr>
          <w:rFonts w:ascii="Arial" w:cs="Arial" w:eastAsia="Arial" w:hAnsi="Arial"/>
          <w:b/>
          <w:bCs/>
          <w:color w:val="1A3560"/>
          <w:sz w:val="22"/>
          <w:szCs w:val="22"/>
        </w:rPr>
        <w:t xml:space="preserve">12.3 What These Numbers Do Not Mean</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They are not performance scores for individuals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A low Delivery Variance Signal for a workstream does not indicate unreliable people — it may indicate unrealistic planning, scope creep, or dependency issues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Outlier pattern detection flags unusual feature combinations, not problematic behaviour</w:t>
      </w:r>
    </w:p>
    <w:p>
      <w:pPr>
        <w:pBdr>
          <w:bottom w:val="single" w:color="D4DFFF" w:sz="4"/>
        </w:pBdr>
        <w:spacing w:after="120" w:before="120"/>
      </w:pPr>
    </w:p>
    <w:p>
      <w:pPr>
        <w:pStyle w:val="Heading1"/>
        <w:spacing w:after="120" w:before="360"/>
      </w:pPr>
      <w:r>
        <w:rPr>
          <w:rFonts w:ascii="Arial" w:cs="Arial" w:eastAsia="Arial" w:hAnsi="Arial"/>
          <w:b/>
          <w:bCs/>
          <w:color w:val="1A3560"/>
          <w:sz w:val="28"/>
          <w:szCs w:val="28"/>
        </w:rPr>
        <w:t xml:space="preserve">13. Sprint Structure Planner — Methodology</w:t>
      </w:r>
    </w:p>
    <w:p>
      <w:pPr>
        <w:spacing w:after="80" w:before="40"/>
      </w:pPr>
      <w:r>
        <w:rPr>
          <w:rFonts w:ascii="Arial" w:cs="Arial" w:eastAsia="Arial" w:hAnsi="Arial"/>
          <w:sz w:val="20"/>
          <w:szCs w:val="20"/>
        </w:rPr>
        <w:t xml:space="preserve">The Sprint Structure Planner generates a recommended Epic / Story / Task / Bug hierarchy from a free-text delivery goal description using the Anthropic Claude API.</w:t>
      </w:r>
    </w:p>
    <w:p>
      <w:pPr>
        <w:pStyle w:val="Heading2"/>
        <w:spacing w:after="80" w:before="240"/>
      </w:pPr>
      <w:r>
        <w:rPr>
          <w:rFonts w:ascii="Arial" w:cs="Arial" w:eastAsia="Arial" w:hAnsi="Arial"/>
          <w:b/>
          <w:bCs/>
          <w:color w:val="1A3560"/>
          <w:sz w:val="22"/>
          <w:szCs w:val="22"/>
        </w:rPr>
        <w:t xml:space="preserve">13.1 Inputs to the AI Model</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Free-text feature/goal description (user-provided)</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Historical median and standard deviation of cycle times per issue type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Current active allocation per team member</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Target label, deadline, and team size</w:t>
      </w:r>
    </w:p>
    <w:p>
      <w:pPr>
        <w:pStyle w:val="Heading2"/>
        <w:spacing w:after="80" w:before="240"/>
      </w:pPr>
      <w:r>
        <w:rPr>
          <w:rFonts w:ascii="Arial" w:cs="Arial" w:eastAsia="Arial" w:hAnsi="Arial"/>
          <w:b/>
          <w:bCs/>
          <w:color w:val="1A3560"/>
          <w:sz w:val="22"/>
          <w:szCs w:val="22"/>
        </w:rPr>
        <w:t xml:space="preserve">13.2 Effort Estimation</w:t>
      </w:r>
    </w:p>
    <w:p>
      <w:pPr>
        <w:spacing w:after="80" w:before="40"/>
      </w:pPr>
      <w:r>
        <w:rPr>
          <w:rFonts w:ascii="Arial" w:cs="Arial" w:eastAsia="Arial" w:hAnsi="Arial"/>
          <w:sz w:val="20"/>
          <w:szCs w:val="20"/>
        </w:rPr>
        <w:t xml:space="preserve">Effort estimates in the generated plan are informed by the historical cycle time context provided to the model. They are not computed deterministically — they reflect the AI model's inference given the historical benchmarks.</w:t>
      </w:r>
    </w:p>
    <w:p>
      <w:pPr>
        <w:spacing w:after="80" w:before="40"/>
      </w:pPr>
      <w:r>
        <w:rPr>
          <w:rFonts w:ascii="Arial" w:cs="Arial" w:eastAsia="Arial" w:hAnsi="Arial"/>
          <w:sz w:val="20"/>
          <w:szCs w:val="20"/>
        </w:rPr>
        <w:t xml:space="preserve">After plan generation, the platform runs a Monte Carlo simulation on the generated structure using the same engine described in Section 7, applying the user's configured sigma multiplier and bug buffer rate.</w:t>
      </w:r>
    </w:p>
    <w:p>
      <w:pPr>
        <w:pStyle w:val="Heading2"/>
        <w:spacing w:after="80" w:before="240"/>
      </w:pPr>
      <w:r>
        <w:rPr>
          <w:rFonts w:ascii="Arial" w:cs="Arial" w:eastAsia="Arial" w:hAnsi="Arial"/>
          <w:b/>
          <w:bCs/>
          <w:color w:val="1A3560"/>
          <w:sz w:val="22"/>
          <w:szCs w:val="22"/>
        </w:rPr>
        <w:t xml:space="preserve">13.3 Limitations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Generated structures are AI suggestions, not authoritative plans. They should be reviewed and adjusted by the delivery team before use.</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Jira ticket creation is irreversible via the platform. Verify the plan before clicking Create Tickets.</w:t>
      </w:r>
    </w:p>
    <w:p>
      <w:pPr>
        <w:spacing w:after="40" w:before="40"/>
        <w:ind w:left="360" w:hanging="180"/>
      </w:pPr>
      <w:r>
        <w:rPr>
          <w:rFonts w:ascii="Arial" w:cs="Arial" w:eastAsia="Arial" w:hAnsi="Arial"/>
          <w:color w:val="1A3560"/>
          <w:sz w:val="20"/>
          <w:szCs w:val="20"/>
        </w:rPr>
        <w:t xml:space="preserve">–  </w:t>
      </w:r>
      <w:r>
        <w:rPr>
          <w:rFonts w:ascii="Arial" w:cs="Arial" w:eastAsia="Arial" w:hAnsi="Arial"/>
          <w:sz w:val="20"/>
          <w:szCs w:val="20"/>
        </w:rPr>
        <w:t xml:space="preserve">The AI model does not have access to real-time Jira data during generation — it works from the summary statistics provided in the prompt.</w:t>
      </w:r>
    </w:p>
    <w:p>
      <w:pPr>
        <w:pBdr>
          <w:bottom w:val="single" w:color="D4DFFF" w:sz="4"/>
        </w:pBdr>
        <w:spacing w:after="120" w:before="120"/>
      </w:pPr>
    </w:p>
    <w:p>
      <w:pPr>
        <w:spacing w:before="240"/>
      </w:pPr>
      <w:r>
        <w:rPr>
          <w:rFonts w:ascii="Arial" w:cs="Arial" w:eastAsia="Arial" w:hAnsi="Arial"/>
          <w:i/>
          <w:iCs/>
          <w:color w:val="5A6E99"/>
          <w:sz w:val="16"/>
          <w:szCs w:val="16"/>
        </w:rPr>
        <w:t xml:space="preserve">Delivery Intelligence Platform  |  Methodology v1.0  |  Internal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2026-05-08T03:31:08.047Z</dcterms:created>
  <dcterms:modified xsi:type="dcterms:W3CDTF">2026-05-08T03:31:08.048Z</dcterms:modified>
</cp:coreProperties>
</file>

<file path=docProps/custom.xml><?xml version="1.0" encoding="utf-8"?>
<Properties xmlns="http://schemas.openxmlformats.org/officeDocument/2006/custom-properties" xmlns:vt="http://schemas.openxmlformats.org/officeDocument/2006/docPropsVTypes"/>
</file>