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T33 SALES OBJECTION-HANDLING COACH</w:t>
      </w:r>
    </w:p>
    <w:p>
      <w:pPr>
        <w:jc w:val="center"/>
      </w:pPr>
      <w:r>
        <w:rPr>
          <w:b/>
          <w:sz w:val="36"/>
        </w:rPr>
        <w:t>Final Project Report</w:t>
      </w:r>
    </w:p>
    <w:p>
      <w:pPr>
        <w:jc w:val="center"/>
      </w:pPr>
      <w:r>
        <w:rPr>
          <w:i/>
        </w:rPr>
        <w:t>CloudLedger • Source-Grounded AI Sales Coaching</w:t>
      </w:r>
    </w:p>
    <w:p/>
    <w:p>
      <w:pPr>
        <w:jc w:val="center"/>
      </w:pPr>
      <w:r>
        <w:rPr>
          <w:b/>
        </w:rPr>
        <w:t>Final demonstrated coaching score: 20/25 (80%)</w:t>
      </w:r>
    </w:p>
    <w:p>
      <w:r>
        <w:br w:type="page"/>
      </w:r>
    </w:p>
    <w:p>
      <w:pPr>
        <w:pStyle w:val="Heading1"/>
      </w:pPr>
      <w:r>
        <w:t>1. Objective</w:t>
      </w:r>
    </w:p>
    <w:p>
      <w:r>
        <w:t>The objective of the T33 Sales Objection-Handling Coach is to build a source-grounded AI coach that helps a salesperson practise realistic buyer conversations for CloudLedger, while controlling unsupported product claims and providing transcript-grounded coaching.</w:t>
      </w:r>
    </w:p>
    <w:p>
      <w:pPr>
        <w:pStyle w:val="Heading1"/>
      </w:pPr>
      <w:r>
        <w:t>2. Business Problem and Scenario</w:t>
      </w:r>
    </w:p>
    <w:p>
      <w:r>
        <w:t>CloudLedger is positioned as accounting and GST software for SMEs. The project scenario uses a buyer who is the owner of a 40-employee distribution business in Nashik. The buyer currently uses Excel and a local accountant. CloudLedger is priced at ₹1,499 per user per month, while two popular accounting tools are approximately 15–25% cheaper. The sales goal is to book a paid 30-day pilot.</w:t>
      </w:r>
    </w:p>
    <w:p>
      <w:r>
        <w:t>The project focuses on five objection areas:</w:t>
      </w:r>
    </w:p>
    <w:p>
      <w:pPr>
        <w:pStyle w:val="ListBullet"/>
      </w:pPr>
      <w:r>
        <w:t>Price</w:t>
      </w:r>
    </w:p>
    <w:p>
      <w:pPr>
        <w:pStyle w:val="ListBullet"/>
      </w:pPr>
      <w:r>
        <w:t>Need</w:t>
      </w:r>
    </w:p>
    <w:p>
      <w:pPr>
        <w:pStyle w:val="ListBullet"/>
      </w:pPr>
      <w:r>
        <w:t>Competition</w:t>
      </w:r>
    </w:p>
    <w:p>
      <w:pPr>
        <w:pStyle w:val="ListBullet"/>
      </w:pPr>
      <w:r>
        <w:t>Trust</w:t>
      </w:r>
    </w:p>
    <w:p>
      <w:pPr>
        <w:pStyle w:val="ListBullet"/>
      </w:pPr>
      <w:r>
        <w:t>Risk</w:t>
      </w:r>
    </w:p>
    <w:p>
      <w:r>
        <w:t>The supplied Objection Library contains 20 objections across 11 categories. The Scenario, Objection Library and Data Dictionary were treated as the source boundary for product and scenario facts.</w:t>
      </w:r>
    </w:p>
    <w:p>
      <w:pPr>
        <w:pStyle w:val="Heading1"/>
      </w:pPr>
      <w:r>
        <w:t>3. Source Grounding and Responsible AI</w:t>
      </w:r>
    </w:p>
    <w:p>
      <w:r>
        <w:t>A central design requirement was that the coach should not convert suggestions in the Objection Library into confirmed CloudLedger capabilities. Unsupported claims were treated as a grounding risk.</w:t>
      </w:r>
    </w:p>
    <w:p>
      <w:r>
        <w:t>Examples of facts that were not to be invented or confirmed without evidence included:</w:t>
      </w:r>
    </w:p>
    <w:p>
      <w:pPr>
        <w:pStyle w:val="ListBullet"/>
      </w:pPr>
      <w:r>
        <w:t>Customer names or customer counts</w:t>
      </w:r>
    </w:p>
    <w:p>
      <w:pPr>
        <w:pStyle w:val="ListBullet"/>
      </w:pPr>
      <w:r>
        <w:t>Turnover figures</w:t>
      </w:r>
    </w:p>
    <w:p>
      <w:pPr>
        <w:pStyle w:val="ListBullet"/>
      </w:pPr>
      <w:r>
        <w:t>Years of company or customer experience</w:t>
      </w:r>
    </w:p>
    <w:p>
      <w:pPr>
        <w:pStyle w:val="ListBullet"/>
      </w:pPr>
      <w:r>
        <w:t>Security certifications or encryption specifications</w:t>
      </w:r>
    </w:p>
    <w:p>
      <w:pPr>
        <w:pStyle w:val="ListBullet"/>
      </w:pPr>
      <w:r>
        <w:t>Warranty terms or money-back guarantees</w:t>
      </w:r>
    </w:p>
    <w:p>
      <w:pPr>
        <w:pStyle w:val="ListBullet"/>
      </w:pPr>
      <w:r>
        <w:t>Quantified savings or ROI</w:t>
      </w:r>
    </w:p>
    <w:p>
      <w:pPr>
        <w:pStyle w:val="ListBullet"/>
      </w:pPr>
      <w:r>
        <w:t>Implementation guarantees</w:t>
      </w:r>
    </w:p>
    <w:p>
      <w:pPr>
        <w:pStyle w:val="ListBullet"/>
      </w:pPr>
      <w:r>
        <w:t>Product capabilities not established in the supplied source material</w:t>
      </w:r>
    </w:p>
    <w:p>
      <w:pPr>
        <w:pStyle w:val="ListBullet"/>
      </w:pPr>
      <w:r>
        <w:t>Customer references presented as confirmed facts</w:t>
      </w:r>
    </w:p>
    <w:p>
      <w:r>
        <w:t>This boundary was specifically tested during the grounding work and again in the final demonstration through a question about a 3-year warranty and a 100% money-back guarantee.</w:t>
      </w:r>
    </w:p>
    <w:p>
      <w:pPr>
        <w:pStyle w:val="Heading1"/>
      </w:pPr>
      <w:r>
        <w:t>4. AI Tools and Development Method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Tool</w:t>
            </w:r>
          </w:p>
        </w:tc>
        <w:tc>
          <w:tcPr>
            <w:tcW w:type="dxa" w:w="3312"/>
            <w:shd w:fill="1F4E78"/>
          </w:tcPr>
          <w:p>
            <w:r>
              <w:rPr>
                <w:b/>
                <w:color w:val="FFFFFF"/>
              </w:rPr>
              <w:t>Role</w:t>
            </w:r>
          </w:p>
        </w:tc>
        <w:tc>
          <w:tcPr>
            <w:tcW w:type="dxa" w:w="3312"/>
            <w:shd w:fill="1F4E78"/>
          </w:tcPr>
          <w:p>
            <w:r>
              <w:rPr>
                <w:b/>
                <w:color w:val="FFFFFF"/>
              </w:rPr>
              <w:t>Use in project</w:t>
            </w:r>
          </w:p>
        </w:tc>
      </w:tr>
      <w:tr>
        <w:tc>
          <w:tcPr>
            <w:tcW w:type="dxa" w:w="3312"/>
          </w:tcPr>
          <w:p>
            <w:r>
              <w:t>NotebookLM / Gemini</w:t>
            </w:r>
          </w:p>
        </w:tc>
        <w:tc>
          <w:tcPr>
            <w:tcW w:type="dxa" w:w="3312"/>
          </w:tcPr>
          <w:p>
            <w:r>
              <w:t>Ground-truth verification</w:t>
            </w:r>
          </w:p>
        </w:tc>
        <w:tc>
          <w:tcPr>
            <w:tcW w:type="dxa" w:w="3312"/>
          </w:tcPr>
          <w:p>
            <w:r>
              <w:t>Scenario and objection-library retrieval; grounding and hallucination-boundary tests.</w:t>
            </w:r>
          </w:p>
        </w:tc>
      </w:tr>
      <w:tr>
        <w:tc>
          <w:tcPr>
            <w:tcW w:type="dxa" w:w="3312"/>
          </w:tcPr>
          <w:p>
            <w:r>
              <w:t>Google AI Studio</w:t>
            </w:r>
          </w:p>
        </w:tc>
        <w:tc>
          <w:tcPr>
            <w:tcW w:type="dxa" w:w="3312"/>
          </w:tcPr>
          <w:p>
            <w:r>
              <w:t>Prompt laboratory / coaching application</w:t>
            </w:r>
          </w:p>
        </w:tc>
        <w:tc>
          <w:tcPr>
            <w:tcW w:type="dxa" w:w="3312"/>
          </w:tcPr>
          <w:p>
            <w:r>
              <w:t>V1, V2 and final role-play/coaching prompt development and testing.</w:t>
            </w:r>
          </w:p>
        </w:tc>
      </w:tr>
      <w:tr>
        <w:tc>
          <w:tcPr>
            <w:tcW w:type="dxa" w:w="3312"/>
          </w:tcPr>
          <w:p>
            <w:r>
              <w:t>ChatGPT</w:t>
            </w:r>
          </w:p>
        </w:tc>
        <w:tc>
          <w:tcPr>
            <w:tcW w:type="dxa" w:w="3312"/>
          </w:tcPr>
          <w:p>
            <w:r>
              <w:t>Audit and documentation</w:t>
            </w:r>
          </w:p>
        </w:tc>
        <w:tc>
          <w:tcPr>
            <w:tcW w:type="dxa" w:w="3312"/>
          </w:tcPr>
          <w:p>
            <w:r>
              <w:t>Scoring audit, evidence-attribution audit, transcript audit and final project consolidation.</w:t>
            </w:r>
          </w:p>
        </w:tc>
      </w:tr>
    </w:tbl>
    <w:p/>
    <w:p>
      <w:r>
        <w:t>The development followed an iterative workflow: source validation → ground-truth testing → V1 baseline → V1 testing → V2 prompt improvements → scoring design → evidence verification → final coach → final demonstration → audit and packaging.</w:t>
      </w:r>
    </w:p>
    <w:p>
      <w:pPr>
        <w:pStyle w:val="Heading1"/>
      </w:pPr>
      <w:r>
        <w:t>5. Prompt Iterations</w:t>
      </w:r>
    </w:p>
    <w:p>
      <w:pPr>
        <w:pStyle w:val="Heading2"/>
      </w:pPr>
      <w:r>
        <w:t>V1 — Baseline</w:t>
      </w:r>
    </w:p>
    <w:p>
      <w:r>
        <w:t>The V1 prompt established the CloudLedger scenario and asked the model to act as the buyer, raise realistic objections and provide coaching feedback. V1 testing was used to identify grounding, objection-focus and behaviour issues.</w:t>
      </w:r>
    </w:p>
    <w:p>
      <w:pPr>
        <w:pStyle w:val="Heading2"/>
      </w:pPr>
      <w:r>
        <w:t>V2 — Controlled Coach</w:t>
      </w:r>
    </w:p>
    <w:p>
      <w:r>
        <w:t>V2 introduced stricter source grounding, an active-objection lock, response-aware buyer behaviour, unsupported-claim handling, realistic role-play behaviour, separation of practice aids from assessment, and transcript-grounded scoring.</w:t>
      </w:r>
    </w:p>
    <w:p>
      <w:pPr>
        <w:pStyle w:val="Heading2"/>
      </w:pPr>
      <w:r>
        <w:t>Final — Evidence Attribution</w:t>
      </w:r>
    </w:p>
    <w:p>
      <w:r>
        <w:t>The final prompt added an explicit evidence-attribution rule: every citation must directly support the explanation associated with the score. If evidence is insufficient, the coach must state that the evidence is not sufficient rather than infer a finding from a nearby statement.</w:t>
      </w:r>
    </w:p>
    <w:p>
      <w:pPr>
        <w:pStyle w:val="Heading1"/>
      </w:pPr>
      <w:r>
        <w:t>6. V2 Coaching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Objection</w:t>
            </w:r>
          </w:p>
        </w:tc>
        <w:tc>
          <w:tcPr>
            <w:tcW w:type="dxa" w:w="3312"/>
            <w:shd w:fill="1F4E78"/>
          </w:tcPr>
          <w:p>
            <w:r>
              <w:rPr>
                <w:b/>
                <w:color w:val="FFFFFF"/>
              </w:rPr>
              <w:t>Score</w:t>
            </w:r>
          </w:p>
        </w:tc>
        <w:tc>
          <w:tcPr>
            <w:tcW w:type="dxa" w:w="3312"/>
            <w:shd w:fill="1F4E78"/>
          </w:tcPr>
          <w:p>
            <w:r>
              <w:rPr>
                <w:b/>
                <w:color w:val="FFFFFF"/>
              </w:rPr>
              <w:t>Key observation</w:t>
            </w:r>
          </w:p>
        </w:tc>
      </w:tr>
      <w:tr>
        <w:tc>
          <w:tcPr>
            <w:tcW w:type="dxa" w:w="3312"/>
          </w:tcPr>
          <w:p>
            <w:r>
              <w:t>Price</w:t>
            </w:r>
          </w:p>
        </w:tc>
        <w:tc>
          <w:tcPr>
            <w:tcW w:type="dxa" w:w="3312"/>
          </w:tcPr>
          <w:p>
            <w:r>
              <w:t>20/25</w:t>
            </w:r>
          </w:p>
        </w:tc>
        <w:tc>
          <w:tcPr>
            <w:tcW w:type="dxa" w:w="3312"/>
          </w:tcPr>
          <w:p>
            <w:r>
              <w:t>Strong discovery and pilot handling; value/evidence remained conservative.</w:t>
            </w:r>
          </w:p>
        </w:tc>
      </w:tr>
      <w:tr>
        <w:tc>
          <w:tcPr>
            <w:tcW w:type="dxa" w:w="3312"/>
          </w:tcPr>
          <w:p>
            <w:r>
              <w:t>Need</w:t>
            </w:r>
          </w:p>
        </w:tc>
        <w:tc>
          <w:tcPr>
            <w:tcW w:type="dxa" w:w="3312"/>
          </w:tcPr>
          <w:p>
            <w:r>
              <w:t>18/25</w:t>
            </w:r>
          </w:p>
        </w:tc>
        <w:tc>
          <w:tcPr>
            <w:tcW w:type="dxa" w:w="3312"/>
          </w:tcPr>
          <w:p>
            <w:r>
              <w:t>Discovery was good; pilot/next-step evidence was weaker.</w:t>
            </w:r>
          </w:p>
        </w:tc>
      </w:tr>
      <w:tr>
        <w:tc>
          <w:tcPr>
            <w:tcW w:type="dxa" w:w="3312"/>
          </w:tcPr>
          <w:p>
            <w:r>
              <w:t>Competition</w:t>
            </w:r>
          </w:p>
        </w:tc>
        <w:tc>
          <w:tcPr>
            <w:tcW w:type="dxa" w:w="3312"/>
          </w:tcPr>
          <w:p>
            <w:r>
              <w:t>14/25</w:t>
            </w:r>
          </w:p>
        </w:tc>
        <w:tc>
          <w:tcPr>
            <w:tcW w:type="dxa" w:w="3312"/>
          </w:tcPr>
          <w:p>
            <w:r>
              <w:t>Competitive discovery was present; a grounding evidence-attribution issue was identified.</w:t>
            </w:r>
          </w:p>
        </w:tc>
      </w:tr>
      <w:tr>
        <w:tc>
          <w:tcPr>
            <w:tcW w:type="dxa" w:w="3312"/>
          </w:tcPr>
          <w:p>
            <w:r>
              <w:t>Trust</w:t>
            </w:r>
          </w:p>
        </w:tc>
        <w:tc>
          <w:tcPr>
            <w:tcW w:type="dxa" w:w="3312"/>
          </w:tcPr>
          <w:p>
            <w:r>
              <w:t>18/25</w:t>
            </w:r>
          </w:p>
        </w:tc>
        <w:tc>
          <w:tcPr>
            <w:tcW w:type="dxa" w:w="3312"/>
          </w:tcPr>
          <w:p>
            <w:r>
              <w:t>Grounding was strong; direct objection handling was the main weakness.</w:t>
            </w:r>
          </w:p>
        </w:tc>
      </w:tr>
      <w:tr>
        <w:tc>
          <w:tcPr>
            <w:tcW w:type="dxa" w:w="3312"/>
          </w:tcPr>
          <w:p>
            <w:r>
              <w:t>Risk</w:t>
            </w:r>
          </w:p>
        </w:tc>
        <w:tc>
          <w:tcPr>
            <w:tcW w:type="dxa" w:w="3312"/>
          </w:tcPr>
          <w:p>
            <w:r>
              <w:t>20/25</w:t>
            </w:r>
          </w:p>
        </w:tc>
        <w:tc>
          <w:tcPr>
            <w:tcW w:type="dxa" w:w="3312"/>
          </w:tcPr>
          <w:p>
            <w:r>
              <w:t>Good discovery, controlled pilot framing and grounding.</w:t>
            </w:r>
          </w:p>
        </w:tc>
      </w:tr>
    </w:tbl>
    <w:p/>
    <w:p>
      <w:r>
        <w:t>Consolidated V2 result: 90/125, equivalent to 18/25 average and 72%.</w:t>
      </w:r>
    </w:p>
    <w:p>
      <w:r>
        <w:t>Dimension totals across the five V2 reports:</w:t>
      </w:r>
    </w:p>
    <w:p>
      <w:pPr>
        <w:pStyle w:val="ListBullet"/>
      </w:pPr>
      <w:r>
        <w:t>Objection Handling: 18/25</w:t>
      </w:r>
    </w:p>
    <w:p>
      <w:pPr>
        <w:pStyle w:val="ListBullet"/>
      </w:pPr>
      <w:r>
        <w:t>Discovery: 20/25</w:t>
      </w:r>
    </w:p>
    <w:p>
      <w:pPr>
        <w:pStyle w:val="ListBullet"/>
      </w:pPr>
      <w:r>
        <w:t>Value/Evidence: 14/25</w:t>
      </w:r>
    </w:p>
    <w:p>
      <w:pPr>
        <w:pStyle w:val="ListBullet"/>
      </w:pPr>
      <w:r>
        <w:t>Accuracy/Grounding: 22/25</w:t>
      </w:r>
    </w:p>
    <w:p>
      <w:pPr>
        <w:pStyle w:val="ListBullet"/>
      </w:pPr>
      <w:r>
        <w:t>Next-Step/Pilot: 16/25</w:t>
      </w:r>
    </w:p>
    <w:p>
      <w:pPr>
        <w:pStyle w:val="Heading1"/>
      </w:pPr>
      <w:r>
        <w:t>7. Final Demonstration</w:t>
      </w:r>
    </w:p>
    <w:p>
      <w:r>
        <w:t>The final demonstration combined Need, Competition, Price, Trust/Risk and Pilot concerns in one realistic conversation. The buyer began by stating that the current Excel and accountant workflow was already working and that cheaper alternatives existed.</w:t>
      </w:r>
    </w:p>
    <w:p>
      <w:r>
        <w:t>The salesperson explored the current workflow, asked what would matter besides subscription price, explored transition concerns, addressed trust without unsupported reassurance, and proposed a paid 30-day pilot tied to explicit evaluation requirements.</w:t>
      </w:r>
    </w:p>
    <w:p>
      <w:pPr>
        <w:pStyle w:val="Heading2"/>
      </w:pPr>
      <w:r>
        <w:t>Final grounding test</w:t>
      </w:r>
    </w:p>
    <w:p>
      <w:r>
        <w:t>The buyer asked whether CloudLedger provides a 3-year warranty and a 100% money-back guarantee. The coach did not confirm those claims as facts. Instead, the response stated that they were not established in the available information and should be verified rather than assumed.</w:t>
      </w:r>
    </w:p>
    <w:p>
      <w:pPr>
        <w:pStyle w:val="Heading1"/>
      </w:pPr>
      <w:r>
        <w:t>8. Final Scoring</w:t>
      </w:r>
    </w:p>
    <w:tbl>
      <w:tblPr>
        <w:tblStyle w:val="TableGrid"/>
        <w:tblW w:type="auto" w:w="0"/>
        <w:tblLook w:firstColumn="1" w:firstRow="1" w:lastColumn="0" w:lastRow="0" w:noHBand="0" w:noVBand="1" w:val="04A0"/>
      </w:tblPr>
      <w:tblGrid>
        <w:gridCol w:w="3312"/>
        <w:gridCol w:w="3312"/>
        <w:gridCol w:w="3312"/>
      </w:tblGrid>
      <w:tr>
        <w:tc>
          <w:tcPr>
            <w:tcW w:type="dxa" w:w="3312"/>
            <w:shd w:fill="1F4E78"/>
          </w:tcPr>
          <w:p>
            <w:r>
              <w:rPr>
                <w:b/>
                <w:color w:val="FFFFFF"/>
              </w:rPr>
              <w:t>Dimension</w:t>
            </w:r>
          </w:p>
        </w:tc>
        <w:tc>
          <w:tcPr>
            <w:tcW w:type="dxa" w:w="3312"/>
            <w:shd w:fill="1F4E78"/>
          </w:tcPr>
          <w:p>
            <w:r>
              <w:rPr>
                <w:b/>
                <w:color w:val="FFFFFF"/>
              </w:rPr>
              <w:t>Score</w:t>
            </w:r>
          </w:p>
        </w:tc>
        <w:tc>
          <w:tcPr>
            <w:tcW w:type="dxa" w:w="3312"/>
            <w:shd w:fill="1F4E78"/>
          </w:tcPr>
          <w:p>
            <w:r>
              <w:rPr>
                <w:b/>
                <w:color w:val="FFFFFF"/>
              </w:rPr>
              <w:t>Assessment</w:t>
            </w:r>
          </w:p>
        </w:tc>
      </w:tr>
      <w:tr>
        <w:tc>
          <w:tcPr>
            <w:tcW w:type="dxa" w:w="3312"/>
          </w:tcPr>
          <w:p>
            <w:r>
              <w:t>Objection Handling</w:t>
            </w:r>
          </w:p>
        </w:tc>
        <w:tc>
          <w:tcPr>
            <w:tcW w:type="dxa" w:w="3312"/>
          </w:tcPr>
          <w:p>
            <w:r>
              <w:t>4/5</w:t>
            </w:r>
          </w:p>
        </w:tc>
        <w:tc>
          <w:tcPr>
            <w:tcW w:type="dxa" w:w="3312"/>
          </w:tcPr>
          <w:p>
            <w:r>
              <w:t>Objections were acknowledged and directly addressed.</w:t>
            </w:r>
          </w:p>
        </w:tc>
      </w:tr>
      <w:tr>
        <w:tc>
          <w:tcPr>
            <w:tcW w:type="dxa" w:w="3312"/>
          </w:tcPr>
          <w:p>
            <w:r>
              <w:t>Discovery</w:t>
            </w:r>
          </w:p>
        </w:tc>
        <w:tc>
          <w:tcPr>
            <w:tcW w:type="dxa" w:w="3312"/>
          </w:tcPr>
          <w:p>
            <w:r>
              <w:t>4/5</w:t>
            </w:r>
          </w:p>
        </w:tc>
        <w:tc>
          <w:tcPr>
            <w:tcW w:type="dxa" w:w="3312"/>
          </w:tcPr>
          <w:p>
            <w:r>
              <w:t>Specific questions explored workflow, concerns and evaluation criteria.</w:t>
            </w:r>
          </w:p>
        </w:tc>
      </w:tr>
      <w:tr>
        <w:tc>
          <w:tcPr>
            <w:tcW w:type="dxa" w:w="3312"/>
          </w:tcPr>
          <w:p>
            <w:r>
              <w:t>Value / Evidence</w:t>
            </w:r>
          </w:p>
        </w:tc>
        <w:tc>
          <w:tcPr>
            <w:tcW w:type="dxa" w:w="3312"/>
          </w:tcPr>
          <w:p>
            <w:r>
              <w:t>3/5</w:t>
            </w:r>
          </w:p>
        </w:tc>
        <w:tc>
          <w:tcPr>
            <w:tcW w:type="dxa" w:w="3312"/>
          </w:tcPr>
          <w:p>
            <w:r>
              <w:t>Value was reframed without unsupported quantified ROI.</w:t>
            </w:r>
          </w:p>
        </w:tc>
      </w:tr>
      <w:tr>
        <w:tc>
          <w:tcPr>
            <w:tcW w:type="dxa" w:w="3312"/>
          </w:tcPr>
          <w:p>
            <w:r>
              <w:t>Accuracy / Grounding</w:t>
            </w:r>
          </w:p>
        </w:tc>
        <w:tc>
          <w:tcPr>
            <w:tcW w:type="dxa" w:w="3312"/>
          </w:tcPr>
          <w:p>
            <w:r>
              <w:t>5/5</w:t>
            </w:r>
          </w:p>
        </w:tc>
        <w:tc>
          <w:tcPr>
            <w:tcW w:type="dxa" w:w="3312"/>
          </w:tcPr>
          <w:p>
            <w:r>
              <w:t>Unsupported warranty/guarantee claims were not confirmed.</w:t>
            </w:r>
          </w:p>
        </w:tc>
      </w:tr>
      <w:tr>
        <w:tc>
          <w:tcPr>
            <w:tcW w:type="dxa" w:w="3312"/>
          </w:tcPr>
          <w:p>
            <w:r>
              <w:t>Next-Step / Pilot</w:t>
            </w:r>
          </w:p>
        </w:tc>
        <w:tc>
          <w:tcPr>
            <w:tcW w:type="dxa" w:w="3312"/>
          </w:tcPr>
          <w:p>
            <w:r>
              <w:t>4/5</w:t>
            </w:r>
          </w:p>
        </w:tc>
        <w:tc>
          <w:tcPr>
            <w:tcW w:type="dxa" w:w="3312"/>
          </w:tcPr>
          <w:p>
            <w:r>
              <w:t>A paid 30-day pilot and concrete evaluation criteria were proposed.</w:t>
            </w:r>
          </w:p>
        </w:tc>
      </w:tr>
      <w:tr>
        <w:tc>
          <w:tcPr>
            <w:tcW w:type="dxa" w:w="3312"/>
          </w:tcPr>
          <w:p>
            <w:r>
              <w:t>TOTAL</w:t>
            </w:r>
          </w:p>
        </w:tc>
        <w:tc>
          <w:tcPr>
            <w:tcW w:type="dxa" w:w="3312"/>
          </w:tcPr>
          <w:p>
            <w:r>
              <w:t>20/25</w:t>
            </w:r>
          </w:p>
        </w:tc>
        <w:tc>
          <w:tcPr>
            <w:tcW w:type="dxa" w:w="3312"/>
          </w:tcPr>
          <w:p>
            <w:r>
              <w:t>80%</w:t>
            </w:r>
          </w:p>
        </w:tc>
      </w:tr>
    </w:tbl>
    <w:p>
      <w:pPr>
        <w:pStyle w:val="Heading1"/>
      </w:pPr>
      <w:r>
        <w:t>9. Business Insights</w:t>
      </w:r>
    </w:p>
    <w:p>
      <w:pPr>
        <w:pStyle w:val="ListBullet"/>
      </w:pPr>
      <w:r>
        <w:t>Discovery is important before presenting value; the strongest conversations connect the response to the buyer's stated workflow concern.</w:t>
      </w:r>
    </w:p>
    <w:p>
      <w:pPr>
        <w:pStyle w:val="ListBullet"/>
      </w:pPr>
      <w:r>
        <w:t>Competitive objections should not be answered with invented superiority claims. A requirements-based comparison is more consistent with source grounding.</w:t>
      </w:r>
    </w:p>
    <w:p>
      <w:pPr>
        <w:pStyle w:val="ListBullet"/>
      </w:pPr>
      <w:r>
        <w:t>Trust and risk objections can be addressed through evaluation criteria and a controlled paid pilot without promising unsupported guarantees.</w:t>
      </w:r>
    </w:p>
    <w:p>
      <w:pPr>
        <w:pStyle w:val="ListBullet"/>
      </w:pPr>
      <w:r>
        <w:t>The pilot is most effective when it is connected to explicit buyer requirements rather than presented as a generic closing line.</w:t>
      </w:r>
    </w:p>
    <w:p>
      <w:pPr>
        <w:pStyle w:val="ListBullet"/>
      </w:pPr>
      <w:r>
        <w:t>Value/evidence remains constrained by the available source material; the coach should not manufacture ROI, customer stories or product capabilities to obtain a higher score.</w:t>
      </w:r>
    </w:p>
    <w:p>
      <w:pPr>
        <w:pStyle w:val="Heading1"/>
      </w:pPr>
      <w:r>
        <w:t>10. Responsible AI Controls</w:t>
      </w:r>
    </w:p>
    <w:p>
      <w:pPr>
        <w:pStyle w:val="ListBullet"/>
      </w:pPr>
      <w:r>
        <w:t>Scenario and Objection Library treated as the source of truth.</w:t>
      </w:r>
    </w:p>
    <w:p>
      <w:pPr>
        <w:pStyle w:val="ListBullet"/>
      </w:pPr>
      <w:r>
        <w:t>Unsupported product claims explicitly controlled.</w:t>
      </w:r>
    </w:p>
    <w:p>
      <w:pPr>
        <w:pStyle w:val="ListBullet"/>
      </w:pPr>
      <w:r>
        <w:t>Buyer and seller role-play separated from coaching assessment.</w:t>
      </w:r>
    </w:p>
    <w:p>
      <w:pPr>
        <w:pStyle w:val="ListBullet"/>
      </w:pPr>
      <w:r>
        <w:t>Assessment evidence required to come from the actual salesperson statement.</w:t>
      </w:r>
    </w:p>
    <w:p>
      <w:pPr>
        <w:pStyle w:val="ListBullet"/>
      </w:pPr>
      <w:r>
        <w:t>Unsupported findings must be reported as insufficiently evidenced rather than inferred.</w:t>
      </w:r>
    </w:p>
    <w:p>
      <w:pPr>
        <w:pStyle w:val="ListBullet"/>
      </w:pPr>
      <w:r>
        <w:t>Suggested practice aids are kept distinct from established product facts.</w:t>
      </w:r>
    </w:p>
    <w:p>
      <w:pPr>
        <w:pStyle w:val="ListBullet"/>
      </w:pPr>
      <w:r>
        <w:t>The AI Use Log records documented AI activities and decisions.</w:t>
      </w:r>
    </w:p>
    <w:p>
      <w:pPr>
        <w:pStyle w:val="Heading1"/>
      </w:pPr>
      <w:r>
        <w:t>11. Limitations</w:t>
      </w:r>
    </w:p>
    <w:p>
      <w:pPr>
        <w:pStyle w:val="ListBullet"/>
      </w:pPr>
      <w:r>
        <w:t>Repeatability was not statistically tested; the project therefore does not claim statistical repeatability.</w:t>
      </w:r>
    </w:p>
    <w:p>
      <w:pPr>
        <w:pStyle w:val="ListBullet"/>
      </w:pPr>
      <w:r>
        <w:t>The earlier V2 Competition assessment contained an evidence-attribution issue; this was identified and addressed through the final evidence-attribution rule.</w:t>
      </w:r>
    </w:p>
    <w:p>
      <w:pPr>
        <w:pStyle w:val="ListBullet"/>
      </w:pPr>
      <w:r>
        <w:t>The project uses the supplied synthetic CloudLedger scenario rather than real customer data.</w:t>
      </w:r>
    </w:p>
    <w:p>
      <w:pPr>
        <w:pStyle w:val="ListBullet"/>
      </w:pPr>
      <w:r>
        <w:t>The coach's grounding is dependent on the completeness and accuracy of the supplied source material.</w:t>
      </w:r>
    </w:p>
    <w:p>
      <w:pPr>
        <w:pStyle w:val="Heading1"/>
      </w:pPr>
      <w:r>
        <w:t>12. Repository and Submission Package</w:t>
      </w:r>
    </w:p>
    <w:p>
      <w:r>
        <w:t>The recommended GitHub structure is:</w:t>
      </w:r>
    </w:p>
    <w:p>
      <w:pPr>
        <w:pStyle w:val="ListBullet"/>
      </w:pPr>
      <w:r>
        <w:t>01_Source_Materials/</w:t>
      </w:r>
    </w:p>
    <w:p>
      <w:pPr>
        <w:pStyle w:val="ListBullet"/>
      </w:pPr>
      <w:r>
        <w:t>02_Prompts/</w:t>
      </w:r>
    </w:p>
    <w:p>
      <w:pPr>
        <w:pStyle w:val="ListBullet"/>
      </w:pPr>
      <w:r>
        <w:t>03_V1_Testing/</w:t>
      </w:r>
    </w:p>
    <w:p>
      <w:pPr>
        <w:pStyle w:val="ListBullet"/>
      </w:pPr>
      <w:r>
        <w:t>04_V2_Testing/</w:t>
      </w:r>
    </w:p>
    <w:p>
      <w:pPr>
        <w:pStyle w:val="ListBullet"/>
      </w:pPr>
      <w:r>
        <w:t>05_Scoring/</w:t>
      </w:r>
    </w:p>
    <w:p>
      <w:pPr>
        <w:pStyle w:val="ListBullet"/>
      </w:pPr>
      <w:r>
        <w:t>06_Final_Testing/</w:t>
      </w:r>
    </w:p>
    <w:p>
      <w:pPr>
        <w:pStyle w:val="ListBullet"/>
      </w:pPr>
      <w:r>
        <w:t>07_Screenshots/</w:t>
      </w:r>
    </w:p>
    <w:p>
      <w:pPr>
        <w:pStyle w:val="ListBullet"/>
      </w:pPr>
      <w:r>
        <w:t>09_Transcripts/</w:t>
      </w:r>
    </w:p>
    <w:p>
      <w:pPr>
        <w:pStyle w:val="ListBullet"/>
      </w:pPr>
      <w:r>
        <w:t>10_Final_Documents/</w:t>
      </w:r>
    </w:p>
    <w:p>
      <w:pPr>
        <w:pStyle w:val="ListBullet"/>
      </w:pPr>
      <w:r>
        <w:t>T33_Sales_Objection_Handling_Coach_FINAL_MASTER_WITH_AI_USE_LOG.xlsx</w:t>
      </w:r>
    </w:p>
    <w:p>
      <w:pPr>
        <w:pStyle w:val="ListBullet"/>
      </w:pPr>
      <w:r>
        <w:t>README.md</w:t>
      </w:r>
    </w:p>
    <w:p>
      <w:r>
        <w:t>The Master Excel workbook is the central evidence workbook. The final report belongs in 10_Final_Documents, while README.md serves as the GitHub entry point.</w:t>
      </w:r>
    </w:p>
    <w:p>
      <w:pPr>
        <w:pStyle w:val="Heading1"/>
      </w:pPr>
      <w:r>
        <w:t>13. Conclusion</w:t>
      </w:r>
    </w:p>
    <w:p>
      <w:r>
        <w:t>The T33 Sales Objection-Handling Coach demonstrates an iterative approach to building a source-grounded sales coaching application. The project moved from a baseline role-play prompt through controlled grounding, objection-handling and scoring improvements to a final demonstration scoring 20/25 (80%). The most important design outcome is the combination of realistic objection handling with explicit source boundaries: the coach is expected to help the salesperson practise effectively without inventing CloudLedger facts. The final package preserves the development history, evidence, AI Use Log, scoring audits and documented limitations.</w:t>
      </w:r>
    </w:p>
    <w:p/>
    <w:p>
      <w:pPr>
        <w:jc w:val="center"/>
      </w:pPr>
      <w:r>
        <w:rPr>
          <w:b/>
        </w:rPr>
        <w:t>T33 Sales Objection-Handling Coach — Final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