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rFonts w:ascii="Cambria" w:cs="Cambria" w:eastAsia="Cambria" w:hAnsi="Cambria"/>
          <w:b/>
          <w:bCs/>
          <w:color w:val="1E2761"/>
          <w:sz w:val="52"/>
          <w:szCs w:val="52"/>
        </w:rPr>
        <w:t xml:space="preserve">MRPL Sovereign AI Workbench</w:t>
      </w:r>
    </w:p>
    <w:p>
      <w:pPr>
        <w:spacing w:after="120"/>
        <w:jc w:val="center"/>
      </w:pPr>
      <w:r>
        <w:rPr>
          <w:rFonts w:ascii="Cambria" w:cs="Cambria" w:eastAsia="Cambria" w:hAnsi="Cambria"/>
          <w:color w:val="000000"/>
          <w:sz w:val="34"/>
          <w:szCs w:val="34"/>
        </w:rPr>
        <w:t xml:space="preserve">Test &amp; Verification Plan</w:t>
      </w:r>
    </w:p>
    <w:p>
      <w:pPr>
        <w:spacing w:after="60"/>
        <w:jc w:val="center"/>
      </w:pPr>
      <w:r>
        <w:rPr>
          <w:i/>
          <w:iCs/>
          <w:color w:val="595959"/>
          <w:sz w:val="22"/>
          <w:szCs w:val="22"/>
        </w:rPr>
        <w:t xml:space="preserve">Problem Statement 26117 — Smart Automation Theme</w:t>
      </w:r>
    </w:p>
    <w:p>
      <w:pPr>
        <w:spacing w:after="900"/>
        <w:jc w:val="center"/>
      </w:pPr>
      <w:r>
        <w:rPr>
          <w:i/>
          <w:iCs/>
          <w:color w:val="595959"/>
          <w:sz w:val="22"/>
          <w:szCs w:val="22"/>
        </w:rPr>
        <w:t xml:space="preserve">Mangalore Refinery and Petrochemicals Limited (MRPL)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1E2761" w:color="auto" w:val="clear"/>
            <w:tcMar>
              <w:top w:type="dxa" w:w="80"/>
              <w:left w:type="dxa" w:w="100"/>
              <w:bottom w:type="dxa" w:w="80"/>
              <w:right w:type="dxa" w:w="100"/>
            </w:tcMar>
            <w:vAlign w:val="center"/>
          </w:tcPr>
          <w:p>
            <w:pPr>
              <w:jc w:val="left"/>
            </w:pPr>
            <w:r>
              <w:rPr>
                <w:b/>
                <w:bCs/>
                <w:color w:val="FFFFFF"/>
                <w:sz w:val="20"/>
                <w:szCs w:val="20"/>
              </w:rPr>
              <w:t xml:space="preserve">Field</w:t>
            </w:r>
          </w:p>
        </w:tc>
        <w:tc>
          <w:tcPr>
            <w:tcW w:type="dxa" w:w="6150"/>
            <w:shd w:fill="1E2761" w:color="auto" w:val="clear"/>
            <w:tcMar>
              <w:top w:type="dxa" w:w="80"/>
              <w:left w:type="dxa" w:w="100"/>
              <w:bottom w:type="dxa" w:w="80"/>
              <w:right w:type="dxa" w:w="100"/>
            </w:tcMar>
            <w:vAlign w:val="center"/>
          </w:tcPr>
          <w:p>
            <w:pPr>
              <w:jc w:val="left"/>
            </w:pPr>
            <w:r>
              <w:rPr>
                <w:b/>
                <w:bCs/>
                <w:color w:val="FFFFFF"/>
                <w:sz w:val="20"/>
                <w:szCs w:val="20"/>
              </w:rPr>
              <w:t xml:space="preserve">Value</w:t>
            </w:r>
          </w:p>
        </w:tc>
      </w:tr>
      <w:tr>
        <w:tc>
          <w:tcPr>
            <w:tcW w:type="dxa" w:w="32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Document Title</w:t>
            </w:r>
          </w:p>
        </w:tc>
        <w:tc>
          <w:tcPr>
            <w:tcW w:type="dxa" w:w="615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MRPL Sovereign AI Workbench — Test &amp; Verification Plan</w:t>
            </w:r>
          </w:p>
        </w:tc>
      </w:tr>
      <w:tr>
        <w:tc>
          <w:tcPr>
            <w:tcW w:type="dxa" w:w="3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Version</w:t>
            </w:r>
          </w:p>
        </w:tc>
        <w:tc>
          <w:tcPr>
            <w:tcW w:type="dxa" w:w="615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1.0 (Draft — for demo/evaluation testing)</w:t>
            </w:r>
          </w:p>
        </w:tc>
      </w:tr>
      <w:tr>
        <w:tc>
          <w:tcPr>
            <w:tcW w:type="dxa" w:w="32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Date</w:t>
            </w:r>
          </w:p>
        </w:tc>
        <w:tc>
          <w:tcPr>
            <w:tcW w:type="dxa" w:w="615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[Insert date]</w:t>
            </w:r>
          </w:p>
        </w:tc>
      </w:tr>
      <w:tr>
        <w:tc>
          <w:tcPr>
            <w:tcW w:type="dxa" w:w="3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Prepared By</w:t>
            </w:r>
          </w:p>
        </w:tc>
        <w:tc>
          <w:tcPr>
            <w:tcW w:type="dxa" w:w="615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[Insert team / member names]</w:t>
            </w:r>
          </w:p>
        </w:tc>
      </w:tr>
      <w:tr>
        <w:tc>
          <w:tcPr>
            <w:tcW w:type="dxa" w:w="32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Classification</w:t>
            </w:r>
          </w:p>
        </w:tc>
        <w:tc>
          <w:tcPr>
            <w:tcW w:type="dxa" w:w="615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Internal — Confidential</w:t>
            </w:r>
          </w:p>
        </w:tc>
      </w:tr>
      <w:tr>
        <w:tc>
          <w:tcPr>
            <w:tcW w:type="dxa" w:w="3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Related Document</w:t>
            </w:r>
          </w:p>
        </w:tc>
        <w:tc>
          <w:tcPr>
            <w:tcW w:type="dxa" w:w="615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MRPL_Sovereign_AI_Workbench_Workflow.docx (System Overview, Architecture &amp; Workflow)</w:t>
            </w:r>
          </w:p>
        </w:tc>
      </w:tr>
    </w:tbl>
    <w:p>
      <w:r>
        <w:br w:type="page"/>
      </w:r>
    </w:p>
    <w:p>
      <w:pPr>
        <w:pStyle w:val="Heading1"/>
        <w:spacing w:after="160" w:before="320"/>
      </w:pPr>
      <w:r>
        <w:t xml:space="preserve">1. Purpose</w:t>
      </w:r>
    </w:p>
    <w:p>
      <w:pPr>
        <w:spacing w:after="140"/>
      </w:pPr>
      <w:r>
        <w:t xml:space="preserve">This document defines the test plan used to verify that the MRPL Sovereign AI Workbench demo build functions as described in the system architecture and workflow specification. It is intended to be used during internal testing before a live demonstration, and by evaluators to independently verify the claims made about the system — in particular the core sovereignty claim that no data or request ever leaves the local network.</w:t>
      </w:r>
    </w:p>
    <w:p>
      <w:pPr>
        <w:spacing w:after="140"/>
      </w:pPr>
      <w:r>
        <w:t xml:space="preserve">The test plan covers functional testing of each workflow (routing, RAG, vision/OCR, code execution, document generation, email, policy/approval) and a dedicated verification procedure for the air-gapped / zero-external-call claim, since that claim is central to the problem statement and cannot be taken on trust.</w:t>
      </w:r>
    </w:p>
    <w:p>
      <w:pPr>
        <w:pStyle w:val="Heading1"/>
        <w:spacing w:after="160" w:before="320"/>
      </w:pPr>
      <w:r>
        <w:t xml:space="preserve">2. Scope</w:t>
      </w:r>
    </w:p>
    <w:p>
      <w:pPr>
        <w:pStyle w:val="Heading2"/>
        <w:spacing w:after="120" w:before="240"/>
      </w:pPr>
      <w:r>
        <w:t xml:space="preserve">2.1 In Scope</w:t>
      </w:r>
    </w:p>
    <w:p>
      <w:pPr>
        <w:pStyle w:val="ListParagraph"/>
        <w:numPr>
          <w:ilvl w:val="0"/>
          <w:numId w:val="1"/>
        </w:numPr>
        <w:spacing w:after="80"/>
      </w:pPr>
      <w:r>
        <w:t xml:space="preserve">Task routing and automatic model selection across at least two task types (e.g., a coding request vs. a document/summarisation request).</w:t>
      </w:r>
    </w:p>
    <w:p>
      <w:pPr>
        <w:pStyle w:val="ListParagraph"/>
        <w:numPr>
          <w:ilvl w:val="0"/>
          <w:numId w:val="1"/>
        </w:numPr>
        <w:spacing w:after="80"/>
      </w:pPr>
      <w:r>
        <w:t xml:space="preserve">Retrieval-Augmented Generation (RAG) against the local SOP/document knowledge base (ChromaDB).</w:t>
      </w:r>
    </w:p>
    <w:p>
      <w:pPr>
        <w:pStyle w:val="ListParagraph"/>
        <w:numPr>
          <w:ilvl w:val="0"/>
          <w:numId w:val="1"/>
        </w:numPr>
        <w:spacing w:after="80"/>
      </w:pPr>
      <w:r>
        <w:t xml:space="preserve">Vision / OCR understanding of scanned or photographed documents (inspection reports, drawings).</w:t>
      </w:r>
    </w:p>
    <w:p>
      <w:pPr>
        <w:pStyle w:val="ListParagraph"/>
        <w:numPr>
          <w:ilvl w:val="0"/>
          <w:numId w:val="1"/>
        </w:numPr>
        <w:spacing w:after="80"/>
      </w:pPr>
      <w:r>
        <w:t xml:space="preserve">End-to-end agentic workflow: scanned inspection report → extracted findings → SOP-grounded drafting → generated Word approval note.</w:t>
      </w:r>
    </w:p>
    <w:p>
      <w:pPr>
        <w:pStyle w:val="ListParagraph"/>
        <w:numPr>
          <w:ilvl w:val="0"/>
          <w:numId w:val="1"/>
        </w:numPr>
        <w:spacing w:after="80"/>
      </w:pPr>
      <w:r>
        <w:t xml:space="preserve">Sandboxed code generation and execution, including timeout and error handling.</w:t>
      </w:r>
    </w:p>
    <w:p>
      <w:pPr>
        <w:pStyle w:val="ListParagraph"/>
        <w:numPr>
          <w:ilvl w:val="0"/>
          <w:numId w:val="1"/>
        </w:numPr>
        <w:spacing w:after="80"/>
      </w:pPr>
      <w:r>
        <w:t xml:space="preserve">Document generation workflows: DOCX, XLSX, PPTX outputs.</w:t>
      </w:r>
    </w:p>
    <w:p>
      <w:pPr>
        <w:pStyle w:val="ListParagraph"/>
        <w:numPr>
          <w:ilvl w:val="0"/>
          <w:numId w:val="1"/>
        </w:numPr>
        <w:spacing w:after="80"/>
      </w:pPr>
      <w:r>
        <w:t xml:space="preserve">Email drafting and dispatch via local MailHog (or configured SMTP).</w:t>
      </w:r>
    </w:p>
    <w:p>
      <w:pPr>
        <w:pStyle w:val="ListParagraph"/>
        <w:numPr>
          <w:ilvl w:val="0"/>
          <w:numId w:val="1"/>
        </w:numPr>
        <w:spacing w:after="80"/>
      </w:pPr>
      <w:r>
        <w:t xml:space="preserve">Policy layer behaviour for sensitive operations, including the approval-required path.</w:t>
      </w:r>
    </w:p>
    <w:p>
      <w:pPr>
        <w:pStyle w:val="ListParagraph"/>
        <w:numPr>
          <w:ilvl w:val="0"/>
          <w:numId w:val="1"/>
        </w:numPr>
        <w:spacing w:after="80"/>
      </w:pPr>
      <w:r>
        <w:t xml:space="preserve">Network isolation / air-gap verification (proof that no external calls occur during any of the above).</w:t>
      </w:r>
    </w:p>
    <w:p>
      <w:pPr>
        <w:pStyle w:val="Heading2"/>
        <w:spacing w:after="120" w:before="240"/>
      </w:pPr>
      <w:r>
        <w:t xml:space="preserve">2.2 Out of Scope</w:t>
      </w:r>
    </w:p>
    <w:p>
      <w:pPr>
        <w:pStyle w:val="ListParagraph"/>
        <w:numPr>
          <w:ilvl w:val="0"/>
          <w:numId w:val="1"/>
        </w:numPr>
        <w:spacing w:after="80"/>
      </w:pPr>
      <w:r>
        <w:t xml:space="preserve">Performance/load testing under concurrent multi-user access.</w:t>
      </w:r>
    </w:p>
    <w:p>
      <w:pPr>
        <w:pStyle w:val="ListParagraph"/>
        <w:numPr>
          <w:ilvl w:val="0"/>
          <w:numId w:val="1"/>
        </w:numPr>
        <w:spacing w:after="80"/>
      </w:pPr>
      <w:r>
        <w:t xml:space="preserve">Formal security penetration testing (covered separately, if required).</w:t>
      </w:r>
    </w:p>
    <w:p>
      <w:pPr>
        <w:pStyle w:val="ListParagraph"/>
        <w:numPr>
          <w:ilvl w:val="0"/>
          <w:numId w:val="1"/>
        </w:numPr>
        <w:spacing w:after="80"/>
      </w:pPr>
      <w:r>
        <w:t xml:space="preserve">The parallel OMEGA Offline AI Workbench (React/Vite) implementation noted in the workflow document — this plan targets the primary Streamlit-based MRPL workbench.</w:t>
      </w:r>
    </w:p>
    <w:p>
      <w:pPr>
        <w:pStyle w:val="Heading1"/>
        <w:spacing w:after="160" w:before="320"/>
      </w:pPr>
      <w:r>
        <w:t xml:space="preserve">3. System Under Test — Summary</w:t>
      </w:r>
    </w:p>
    <w:p>
      <w:pPr>
        <w:spacing w:after="140"/>
      </w:pPr>
      <w:r>
        <w:t xml:space="preserve">The workbench is a locally deployed, self-hosted assistant built on open-weight models served through Ollama, orchestrated by a Python/Streamlit application. The high-level flow is:</w:t>
      </w:r>
    </w:p>
    <w:p>
      <w:pPr>
        <w:spacing w:after="140"/>
      </w:pPr>
      <w:r>
        <w:rPr>
          <w:i/>
          <w:iCs/>
          <w:color w:val="595959"/>
        </w:rPr>
        <w:t xml:space="preserve">User → Streamlit UI → Task Router → Local Qwen Model(s) → Orchestrator → Policy Check → MCP Tool Layer → RAG / Vision / Code / Document / Email → Evidence &amp; Processing → Final Response / File.</w:t>
      </w:r>
    </w:p>
    <w:p>
      <w:pPr>
        <w:pStyle w:val="Heading2"/>
        <w:spacing w:after="120" w:before="240"/>
      </w:pPr>
      <w:r>
        <w:t xml:space="preserve">3.1 Local Models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1E2761" w:color="auto" w:val="clear"/>
            <w:tcMar>
              <w:top w:type="dxa" w:w="80"/>
              <w:left w:type="dxa" w:w="100"/>
              <w:bottom w:type="dxa" w:w="80"/>
              <w:right w:type="dxa" w:w="100"/>
            </w:tcMar>
            <w:vAlign w:val="center"/>
          </w:tcPr>
          <w:p>
            <w:pPr>
              <w:jc w:val="left"/>
            </w:pPr>
            <w:r>
              <w:rPr>
                <w:b/>
                <w:bCs/>
                <w:color w:val="FFFFFF"/>
                <w:sz w:val="20"/>
                <w:szCs w:val="20"/>
              </w:rPr>
              <w:t xml:space="preserve">Model</w:t>
            </w:r>
          </w:p>
        </w:tc>
        <w:tc>
          <w:tcPr>
            <w:tcW w:type="dxa" w:w="6150"/>
            <w:shd w:fill="1E2761" w:color="auto" w:val="clear"/>
            <w:tcMar>
              <w:top w:type="dxa" w:w="80"/>
              <w:left w:type="dxa" w:w="100"/>
              <w:bottom w:type="dxa" w:w="80"/>
              <w:right w:type="dxa" w:w="100"/>
            </w:tcMar>
            <w:vAlign w:val="center"/>
          </w:tcPr>
          <w:p>
            <w:pPr>
              <w:jc w:val="left"/>
            </w:pPr>
            <w:r>
              <w:rPr>
                <w:b/>
                <w:bCs/>
                <w:color w:val="FFFFFF"/>
                <w:sz w:val="20"/>
                <w:szCs w:val="20"/>
              </w:rPr>
              <w:t xml:space="preserve">Role</w:t>
            </w:r>
          </w:p>
        </w:tc>
      </w:tr>
      <w:tr>
        <w:tc>
          <w:tcPr>
            <w:tcW w:type="dxa" w:w="32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qwen2.5:7b</w:t>
            </w:r>
          </w:p>
        </w:tc>
        <w:tc>
          <w:tcPr>
            <w:tcW w:type="dxa" w:w="615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General chat, reasoning, drafting, summarisation</w:t>
            </w:r>
          </w:p>
        </w:tc>
      </w:tr>
      <w:tr>
        <w:tc>
          <w:tcPr>
            <w:tcW w:type="dxa" w:w="32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qwen2.5-coder:7b</w:t>
            </w:r>
          </w:p>
        </w:tc>
        <w:tc>
          <w:tcPr>
            <w:tcW w:type="dxa" w:w="615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Coding and code-related tasks</w:t>
            </w:r>
          </w:p>
        </w:tc>
      </w:tr>
      <w:tr>
        <w:tc>
          <w:tcPr>
            <w:tcW w:type="dxa" w:w="32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qwen2.5vl:7b</w:t>
            </w:r>
          </w:p>
        </w:tc>
        <w:tc>
          <w:tcPr>
            <w:tcW w:type="dxa" w:w="615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Images, scanned documents, diagrams, visual understanding</w:t>
            </w:r>
          </w:p>
        </w:tc>
      </w:tr>
    </w:tbl>
    <w:p>
      <w:pPr>
        <w:pStyle w:val="Heading2"/>
        <w:spacing w:after="120" w:before="240"/>
      </w:pPr>
      <w:r>
        <w:t xml:space="preserve">3.2 Key Components</w:t>
      </w:r>
    </w:p>
    <w:p>
      <w:pPr>
        <w:pStyle w:val="ListParagraph"/>
        <w:numPr>
          <w:ilvl w:val="0"/>
          <w:numId w:val="1"/>
        </w:numPr>
        <w:spacing w:after="80"/>
      </w:pPr>
      <w:r>
        <w:t xml:space="preserve">app.py — Streamlit UI (chat, uploads, identity, history, approvals, model status, generated files).</w:t>
      </w:r>
    </w:p>
    <w:p>
      <w:pPr>
        <w:pStyle w:val="ListParagraph"/>
        <w:numPr>
          <w:ilvl w:val="0"/>
          <w:numId w:val="1"/>
        </w:numPr>
        <w:spacing w:after="80"/>
      </w:pPr>
      <w:r>
        <w:t xml:space="preserve">router.py — task classification and routing to the correct model/workflow.</w:t>
      </w:r>
    </w:p>
    <w:p>
      <w:pPr>
        <w:pStyle w:val="ListParagraph"/>
        <w:numPr>
          <w:ilvl w:val="0"/>
          <w:numId w:val="1"/>
        </w:numPr>
        <w:spacing w:after="80"/>
      </w:pPr>
      <w:r>
        <w:t xml:space="preserve">orchestrator.py — coordinates planning, context, tool calls and final responses.</w:t>
      </w:r>
    </w:p>
    <w:p>
      <w:pPr>
        <w:pStyle w:val="ListParagraph"/>
        <w:numPr>
          <w:ilvl w:val="0"/>
          <w:numId w:val="1"/>
        </w:numPr>
        <w:spacing w:after="80"/>
      </w:pPr>
      <w:r>
        <w:t xml:space="preserve">policy.py — governs sensitive operations and approval requirements.</w:t>
      </w:r>
    </w:p>
    <w:p>
      <w:pPr>
        <w:pStyle w:val="ListParagraph"/>
        <w:numPr>
          <w:ilvl w:val="0"/>
          <w:numId w:val="1"/>
        </w:numPr>
        <w:spacing w:after="80"/>
      </w:pPr>
      <w:r>
        <w:t xml:space="preserve">MCP tool layer — rag_mcp_server.py, vision_mcp_server.py, docgen_mcp_server.py, xlsx_mcp_server.py, pptx_mcp_server.py, code_exec_mcp_server.py, email_mcp_server.py.</w:t>
      </w:r>
    </w:p>
    <w:p>
      <w:pPr>
        <w:pStyle w:val="ListParagraph"/>
        <w:numPr>
          <w:ilvl w:val="0"/>
          <w:numId w:val="1"/>
        </w:numPr>
        <w:spacing w:after="80"/>
      </w:pPr>
      <w:r>
        <w:t xml:space="preserve">ChromaDB — local vector store for SOP/document retrieval.</w:t>
      </w:r>
    </w:p>
    <w:p>
      <w:pPr>
        <w:pStyle w:val="Heading1"/>
        <w:spacing w:after="160" w:before="320"/>
      </w:pPr>
      <w:r>
        <w:t xml:space="preserve">4. Test Environment &amp; Prerequisites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E2761" w:color="auto" w:val="clear"/>
            <w:tcMar>
              <w:top w:type="dxa" w:w="80"/>
              <w:left w:type="dxa" w:w="100"/>
              <w:bottom w:type="dxa" w:w="80"/>
              <w:right w:type="dxa" w:w="100"/>
            </w:tcMar>
            <w:vAlign w:val="center"/>
          </w:tcPr>
          <w:p>
            <w:pPr>
              <w:jc w:val="left"/>
            </w:pPr>
            <w:r>
              <w:rPr>
                <w:b/>
                <w:bCs/>
                <w:color w:val="FFFFFF"/>
                <w:sz w:val="20"/>
                <w:szCs w:val="20"/>
              </w:rPr>
              <w:t xml:space="preserve">Item</w:t>
            </w:r>
          </w:p>
        </w:tc>
        <w:tc>
          <w:tcPr>
            <w:tcW w:type="dxa" w:w="6750"/>
            <w:shd w:fill="1E2761" w:color="auto" w:val="clear"/>
            <w:tcMar>
              <w:top w:type="dxa" w:w="80"/>
              <w:left w:type="dxa" w:w="100"/>
              <w:bottom w:type="dxa" w:w="80"/>
              <w:right w:type="dxa" w:w="100"/>
            </w:tcMar>
            <w:vAlign w:val="center"/>
          </w:tcPr>
          <w:p>
            <w:pPr>
              <w:jc w:val="left"/>
            </w:pPr>
            <w:r>
              <w:rPr>
                <w:b/>
                <w:bCs/>
                <w:color w:val="FFFFFF"/>
                <w:sz w:val="20"/>
                <w:szCs w:val="20"/>
              </w:rPr>
              <w:t xml:space="preserve">Requirement / Note</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Hardware</w:t>
            </w:r>
          </w:p>
        </w:tc>
        <w:tc>
          <w:tcPr>
            <w:tcW w:type="dxa" w:w="675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Single workstation/server, mid-range GPU (document actual VRAM used, e.g. 16–24 GB)</w:t>
            </w:r>
          </w:p>
        </w:tc>
      </w:tr>
      <w:tr>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Network</w:t>
            </w:r>
          </w:p>
        </w:tc>
        <w:tc>
          <w:tcPr>
            <w:tcW w:type="dxa" w:w="675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Test machine isolated from the internet — no default gateway, or firewall egress rule blocking all outbound traffic, active for the full session</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Runtime</w:t>
            </w:r>
          </w:p>
        </w:tc>
        <w:tc>
          <w:tcPr>
            <w:tcW w:type="dxa" w:w="675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Ollama running locally with qwen2.5:7b, qwen2.5-coder:7b, qwen2.5vl:7b pulled and loaded before testing begins</w:t>
            </w:r>
          </w:p>
        </w:tc>
      </w:tr>
      <w:tr>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Application</w:t>
            </w:r>
          </w:p>
        </w:tc>
        <w:tc>
          <w:tcPr>
            <w:tcW w:type="dxa" w:w="675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app.py (Streamlit) and all MCP servers running and reachable on localhost only</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Knowledge base</w:t>
            </w:r>
          </w:p>
        </w:tc>
        <w:tc>
          <w:tcPr>
            <w:tcW w:type="dxa" w:w="675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ChromaDB pre-populated via ingest_sops.py with sample SOP/manual documents</w:t>
            </w:r>
          </w:p>
        </w:tc>
      </w:tr>
      <w:tr>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Test data</w:t>
            </w:r>
          </w:p>
        </w:tc>
        <w:tc>
          <w:tcPr>
            <w:tcW w:type="dxa" w:w="675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Sample scanned inspection report (image/PDF), sample P&amp;ID or drawing image, sample SOP documents — public/synthetic data only, no real confidential MRPL data</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Monitoring</w:t>
            </w:r>
          </w:p>
        </w:tc>
        <w:tc>
          <w:tcPr>
            <w:tcW w:type="dxa" w:w="675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Network monitor / packet capture tool (e.g. Wireshark, netstat, or OS firewall log) running for the duration of every test to capture the isolation evidence</w:t>
            </w:r>
          </w:p>
        </w:tc>
      </w:tr>
    </w:tbl>
    <w:p>
      <w:pPr>
        <w:pStyle w:val="Heading1"/>
        <w:spacing w:after="160" w:before="320"/>
      </w:pPr>
      <w:r>
        <w:t xml:space="preserve">5. Test Strategy</w:t>
      </w:r>
    </w:p>
    <w:p>
      <w:pPr>
        <w:spacing w:after="140"/>
      </w:pPr>
      <w:r>
        <w:t xml:space="preserve">Testing proceeds in three passes:</w:t>
      </w:r>
    </w:p>
    <w:p>
      <w:pPr>
        <w:pStyle w:val="ListParagraph"/>
        <w:numPr>
          <w:ilvl w:val="0"/>
          <w:numId w:val="1"/>
        </w:numPr>
        <w:spacing w:after="80"/>
      </w:pPr>
      <w:r>
        <w:t xml:space="preserve">Pass 1 — Component-level: each MCP tool and the router are exercised individually against simple inputs to confirm basic function before chaining them.</w:t>
      </w:r>
    </w:p>
    <w:p>
      <w:pPr>
        <w:pStyle w:val="ListParagraph"/>
        <w:numPr>
          <w:ilvl w:val="0"/>
          <w:numId w:val="1"/>
        </w:numPr>
        <w:spacing w:after="80"/>
      </w:pPr>
      <w:r>
        <w:t xml:space="preserve">Pass 2 — Scenario-level (end-to-end): the four scenarios required by the problem statement are run as complete user journeys, from prompt/upload to final artifact.</w:t>
      </w:r>
    </w:p>
    <w:p>
      <w:pPr>
        <w:pStyle w:val="ListParagraph"/>
        <w:numPr>
          <w:ilvl w:val="0"/>
          <w:numId w:val="1"/>
        </w:numPr>
        <w:spacing w:after="80"/>
      </w:pPr>
      <w:r>
        <w:t xml:space="preserve">Pass 3 — Isolation verification: every scenario in Pass 2 is re-run (or reviewed from Pass 2 logs) with network monitoring active, and the capture is checked for zero external destinations.</w:t>
      </w:r>
    </w:p>
    <w:p>
      <w:pPr>
        <w:spacing w:after="140"/>
      </w:pPr>
      <w:r>
        <w:t xml:space="preserve">Each test case in the accompanying Test Case Matrix (companion Excel workbook, MRPL_Test_Case_Matrix.xlsx) is executed, its actual result recorded, and a Pass/Fail/Blocked status assigned. This document defines what to test and why; the matrix is the record of what happened.</w:t>
      </w:r>
    </w:p>
    <w:p>
      <w:pPr>
        <w:pStyle w:val="Heading1"/>
        <w:spacing w:after="160" w:before="320"/>
      </w:pPr>
      <w:r>
        <w:t xml:space="preserve">6. Required Demonstration Scenarios</w:t>
      </w:r>
    </w:p>
    <w:p>
      <w:pPr>
        <w:spacing w:after="140"/>
      </w:pPr>
      <w:r>
        <w:t xml:space="preserve">These four scenarios correspond directly to the "Expected Solution" requirements of Problem Statement 26117 and should be treated as the minimum bar for a successful demo.</w:t>
      </w:r>
    </w:p>
    <w:p>
      <w:pPr>
        <w:pStyle w:val="Heading2"/>
        <w:spacing w:after="120" w:before="240"/>
      </w:pPr>
      <w:r>
        <w:t xml:space="preserve">6.1 Scenario A — Model Auto-Selection Across Task Types</w:t>
      </w:r>
    </w:p>
    <w:p>
      <w:pPr>
        <w:spacing w:after="140"/>
      </w:pPr>
      <w:r>
        <w:t xml:space="preserve">Objective: show that the Task Router correctly classifies at least two different task types and invokes the matching model without manual selection by the user.</w:t>
      </w:r>
    </w:p>
    <w:p>
      <w:pPr>
        <w:pStyle w:val="ListParagraph"/>
        <w:numPr>
          <w:ilvl w:val="0"/>
          <w:numId w:val="1"/>
        </w:numPr>
        <w:spacing w:after="80"/>
      </w:pPr>
      <w:r>
        <w:t xml:space="preserve">Step 1: Submit a coding request (e.g. "write a Python function to parse a CSV of tank levels") and confirm the router selects qwen2.5-coder:7b.</w:t>
      </w:r>
    </w:p>
    <w:p>
      <w:pPr>
        <w:pStyle w:val="ListParagraph"/>
        <w:numPr>
          <w:ilvl w:val="0"/>
          <w:numId w:val="1"/>
        </w:numPr>
        <w:spacing w:after="80"/>
      </w:pPr>
      <w:r>
        <w:t xml:space="preserve">Step 2: Submit a document/summary request (e.g. "summarise this SOP into three bullet points") and confirm the router selects qwen2.5:7b.</w:t>
      </w:r>
    </w:p>
    <w:p>
      <w:pPr>
        <w:pStyle w:val="ListParagraph"/>
        <w:numPr>
          <w:ilvl w:val="0"/>
          <w:numId w:val="1"/>
        </w:numPr>
        <w:spacing w:after="80"/>
      </w:pPr>
      <w:r>
        <w:t xml:space="preserve">Step 3: Submit an image-based request and confirm the router selects qwen2.5vl:7b.</w:t>
      </w:r>
    </w:p>
    <w:p>
      <w:pPr>
        <w:pStyle w:val="ListParagraph"/>
        <w:numPr>
          <w:ilvl w:val="0"/>
          <w:numId w:val="1"/>
        </w:numPr>
        <w:spacing w:after="80"/>
      </w:pPr>
      <w:r>
        <w:t xml:space="preserve">Expected result: model_status / logs show a distinct model name selected per request, matching the task type, with no manual override.</w:t>
      </w:r>
    </w:p>
    <w:p>
      <w:pPr>
        <w:pStyle w:val="Heading2"/>
        <w:spacing w:after="120" w:before="240"/>
      </w:pPr>
      <w:r>
        <w:t xml:space="preserve">6.2 Scenario B — Inspection Report → Approval Note (End-to-End Agentic Task)</w:t>
      </w:r>
    </w:p>
    <w:p>
      <w:pPr>
        <w:spacing w:after="140"/>
      </w:pPr>
      <w:r>
        <w:t xml:space="preserve">Objective: verify the full chain — upload → OCR/vision extraction → RAG grounding → drafting → DOCX generation → validation → download.</w:t>
      </w:r>
    </w:p>
    <w:p>
      <w:pPr>
        <w:pStyle w:val="ListParagraph"/>
        <w:numPr>
          <w:ilvl w:val="0"/>
          <w:numId w:val="1"/>
        </w:numPr>
        <w:spacing w:after="80"/>
      </w:pPr>
      <w:r>
        <w:t xml:space="preserve">Step 1: Upload a sample scanned inspection report.</w:t>
      </w:r>
    </w:p>
    <w:p>
      <w:pPr>
        <w:pStyle w:val="ListParagraph"/>
        <w:numPr>
          <w:ilvl w:val="0"/>
          <w:numId w:val="1"/>
        </w:numPr>
        <w:spacing w:after="80"/>
      </w:pPr>
      <w:r>
        <w:t xml:space="preserve">Step 2: Confirm vision_mcp_server.py extracts text/findings (inspect intermediate output/logs).</w:t>
      </w:r>
    </w:p>
    <w:p>
      <w:pPr>
        <w:pStyle w:val="ListParagraph"/>
        <w:numPr>
          <w:ilvl w:val="0"/>
          <w:numId w:val="1"/>
        </w:numPr>
        <w:spacing w:after="80"/>
      </w:pPr>
      <w:r>
        <w:t xml:space="preserve">Step 3: Confirm rag_mcp_server.py retrieves relevant SOP evidence from ChromaDB for the findings identified.</w:t>
      </w:r>
    </w:p>
    <w:p>
      <w:pPr>
        <w:pStyle w:val="ListParagraph"/>
        <w:numPr>
          <w:ilvl w:val="0"/>
          <w:numId w:val="1"/>
        </w:numPr>
        <w:spacing w:after="80"/>
      </w:pPr>
      <w:r>
        <w:t xml:space="preserve">Step 4: Confirm the model drafts an approval note containing findings, SOP references and a recommendation.</w:t>
      </w:r>
    </w:p>
    <w:p>
      <w:pPr>
        <w:pStyle w:val="ListParagraph"/>
        <w:numPr>
          <w:ilvl w:val="0"/>
          <w:numId w:val="1"/>
        </w:numPr>
        <w:spacing w:after="80"/>
      </w:pPr>
      <w:r>
        <w:t xml:space="preserve">Step 5: Confirm docgen_mcp_server.py produces a downloadable .docx file and artifact_validation.py passes it.</w:t>
      </w:r>
    </w:p>
    <w:p>
      <w:pPr>
        <w:pStyle w:val="ListParagraph"/>
        <w:numPr>
          <w:ilvl w:val="0"/>
          <w:numId w:val="1"/>
        </w:numPr>
        <w:spacing w:after="80"/>
      </w:pPr>
      <w:r>
        <w:t xml:space="preserve">Expected result: a well-formed Word file is produced containing findings, at least one cited SOP reference, and a clear recommendation; no step is skipped or silently failed.</w:t>
      </w:r>
    </w:p>
    <w:p>
      <w:pPr>
        <w:pStyle w:val="Heading2"/>
        <w:spacing w:after="120" w:before="240"/>
      </w:pPr>
      <w:r>
        <w:t xml:space="preserve">6.3 Scenario C — Coding Task in Sandbox</w:t>
      </w:r>
    </w:p>
    <w:p>
      <w:pPr>
        <w:spacing w:after="140"/>
      </w:pPr>
      <w:r>
        <w:t xml:space="preserve">Objective: verify code is generated, executed in an isolated environment, and the result (or error) is returned to the user.</w:t>
      </w:r>
    </w:p>
    <w:p>
      <w:pPr>
        <w:pStyle w:val="ListParagraph"/>
        <w:numPr>
          <w:ilvl w:val="0"/>
          <w:numId w:val="1"/>
        </w:numPr>
        <w:spacing w:after="80"/>
      </w:pPr>
      <w:r>
        <w:t xml:space="preserve">Step 1: Submit a coding request with a verifiable output (e.g. a calculation with a known correct answer).</w:t>
      </w:r>
    </w:p>
    <w:p>
      <w:pPr>
        <w:pStyle w:val="ListParagraph"/>
        <w:numPr>
          <w:ilvl w:val="0"/>
          <w:numId w:val="1"/>
        </w:numPr>
        <w:spacing w:after="80"/>
      </w:pPr>
      <w:r>
        <w:t xml:space="preserve">Step 2: Confirm code_exec_mcp_server.py executes the code outside the main application process.</w:t>
      </w:r>
    </w:p>
    <w:p>
      <w:pPr>
        <w:pStyle w:val="ListParagraph"/>
        <w:numPr>
          <w:ilvl w:val="0"/>
          <w:numId w:val="1"/>
        </w:numPr>
        <w:spacing w:after="80"/>
      </w:pPr>
      <w:r>
        <w:t xml:space="preserve">Step 3: Deliberately submit a request that causes an error or an infinite loop, and confirm timeout/error handling returns control to the user rather than hanging.</w:t>
      </w:r>
    </w:p>
    <w:p>
      <w:pPr>
        <w:pStyle w:val="ListParagraph"/>
        <w:numPr>
          <w:ilvl w:val="0"/>
          <w:numId w:val="1"/>
        </w:numPr>
        <w:spacing w:after="80"/>
      </w:pPr>
      <w:r>
        <w:t xml:space="preserve">Expected result: correct output returned for the valid case; graceful, bounded failure for the error case.</w:t>
      </w:r>
    </w:p>
    <w:p>
      <w:pPr>
        <w:pStyle w:val="Heading2"/>
        <w:spacing w:after="120" w:before="240"/>
      </w:pPr>
      <w:r>
        <w:t xml:space="preserve">6.4 Scenario D — Multimodal / Visual Document Understanding</w:t>
      </w:r>
    </w:p>
    <w:p>
      <w:pPr>
        <w:spacing w:after="140"/>
      </w:pPr>
      <w:r>
        <w:t xml:space="preserve">Objective: verify the vision pipeline can read a non-text input (photograph, scanned document, or engineering drawing/P&amp;ID) and produce an accurate structured answer.</w:t>
      </w:r>
    </w:p>
    <w:p>
      <w:pPr>
        <w:pStyle w:val="ListParagraph"/>
        <w:numPr>
          <w:ilvl w:val="0"/>
          <w:numId w:val="1"/>
        </w:numPr>
        <w:spacing w:after="80"/>
      </w:pPr>
      <w:r>
        <w:t xml:space="preserve">Step 1: Submit a photograph of a handwritten note or a scanned document and ask for a transcription.</w:t>
      </w:r>
    </w:p>
    <w:p>
      <w:pPr>
        <w:pStyle w:val="ListParagraph"/>
        <w:numPr>
          <w:ilvl w:val="0"/>
          <w:numId w:val="1"/>
        </w:numPr>
        <w:spacing w:after="80"/>
      </w:pPr>
      <w:r>
        <w:t xml:space="preserve">Step 2: Submit a sample P&amp;ID or drawing image and ask a specific question about it (e.g. "identify the valve tags shown").</w:t>
      </w:r>
    </w:p>
    <w:p>
      <w:pPr>
        <w:pStyle w:val="ListParagraph"/>
        <w:numPr>
          <w:ilvl w:val="0"/>
          <w:numId w:val="1"/>
        </w:numPr>
        <w:spacing w:after="80"/>
      </w:pPr>
      <w:r>
        <w:t xml:space="preserve">Expected result: transcription/answer materially matches the source image; failures or low-confidence extractions are reported rather than fabricated.</w:t>
      </w:r>
    </w:p>
    <w:p>
      <w:pPr>
        <w:pStyle w:val="Heading2"/>
        <w:spacing w:after="120" w:before="240"/>
      </w:pPr>
      <w:r>
        <w:t xml:space="preserve">6.5 Scenario E — Network Isolation Proof</w:t>
      </w:r>
    </w:p>
    <w:p>
      <w:pPr>
        <w:spacing w:after="140"/>
      </w:pPr>
      <w:r>
        <w:t xml:space="preserve">Objective: demonstrate, with evidence, that no external network call is made at any point during Scenarios A–D.</w:t>
      </w:r>
    </w:p>
    <w:p>
      <w:pPr>
        <w:pStyle w:val="ListParagraph"/>
        <w:numPr>
          <w:ilvl w:val="0"/>
          <w:numId w:val="1"/>
        </w:numPr>
        <w:spacing w:after="80"/>
      </w:pPr>
      <w:r>
        <w:t xml:space="preserve">Step 1: Start packet capture / firewall logging before the session begins.</w:t>
      </w:r>
    </w:p>
    <w:p>
      <w:pPr>
        <w:pStyle w:val="ListParagraph"/>
        <w:numPr>
          <w:ilvl w:val="0"/>
          <w:numId w:val="1"/>
        </w:numPr>
        <w:spacing w:after="80"/>
      </w:pPr>
      <w:r>
        <w:t xml:space="preserve">Step 2: Run Scenarios A–D in sequence.</w:t>
      </w:r>
    </w:p>
    <w:p>
      <w:pPr>
        <w:pStyle w:val="ListParagraph"/>
        <w:numPr>
          <w:ilvl w:val="0"/>
          <w:numId w:val="1"/>
        </w:numPr>
        <w:spacing w:after="80"/>
      </w:pPr>
      <w:r>
        <w:t xml:space="preserve">Step 3: Stop capture and review the log for any outbound connection beyond localhost/the local subnet.</w:t>
      </w:r>
    </w:p>
    <w:p>
      <w:pPr>
        <w:pStyle w:val="ListParagraph"/>
        <w:numPr>
          <w:ilvl w:val="0"/>
          <w:numId w:val="1"/>
        </w:numPr>
        <w:spacing w:after="80"/>
      </w:pPr>
      <w:r>
        <w:t xml:space="preserve">Expected result: capture shows zero external destinations for the full session. Any hit (e.g. an OS telemetry call) must be identified, explained, and — if avoidable — disabled before the demo.</w:t>
      </w:r>
    </w:p>
    <w:p>
      <w:pPr>
        <w:pStyle w:val="Heading1"/>
        <w:spacing w:after="160" w:before="320"/>
      </w:pPr>
      <w:r>
        <w:t xml:space="preserve">7. Entry and Exit Criteria</w:t>
      </w:r>
    </w:p>
    <w:p>
      <w:pPr>
        <w:pStyle w:val="Heading2"/>
        <w:spacing w:after="120" w:before="240"/>
      </w:pPr>
      <w:r>
        <w:t xml:space="preserve">7.1 Entry Criteria</w:t>
      </w:r>
    </w:p>
    <w:p>
      <w:pPr>
        <w:pStyle w:val="ListParagraph"/>
        <w:numPr>
          <w:ilvl w:val="0"/>
          <w:numId w:val="1"/>
        </w:numPr>
        <w:spacing w:after="80"/>
      </w:pPr>
      <w:r>
        <w:t xml:space="preserve">All local models pulled and confirmed running via Ollama.</w:t>
      </w:r>
    </w:p>
    <w:p>
      <w:pPr>
        <w:pStyle w:val="ListParagraph"/>
        <w:numPr>
          <w:ilvl w:val="0"/>
          <w:numId w:val="1"/>
        </w:numPr>
        <w:spacing w:after="80"/>
      </w:pPr>
      <w:r>
        <w:t xml:space="preserve">Streamlit app and all MCP servers start without error.</w:t>
      </w:r>
    </w:p>
    <w:p>
      <w:pPr>
        <w:pStyle w:val="ListParagraph"/>
        <w:numPr>
          <w:ilvl w:val="0"/>
          <w:numId w:val="1"/>
        </w:numPr>
        <w:spacing w:after="80"/>
      </w:pPr>
      <w:r>
        <w:t xml:space="preserve">Sample SOP corpus ingested into ChromaDB.</w:t>
      </w:r>
    </w:p>
    <w:p>
      <w:pPr>
        <w:pStyle w:val="ListParagraph"/>
        <w:numPr>
          <w:ilvl w:val="0"/>
          <w:numId w:val="1"/>
        </w:numPr>
        <w:spacing w:after="80"/>
      </w:pPr>
      <w:r>
        <w:t xml:space="preserve">Test machine confirmed to have no active internet route.</w:t>
      </w:r>
    </w:p>
    <w:p>
      <w:pPr>
        <w:pStyle w:val="Heading2"/>
        <w:spacing w:after="120" w:before="240"/>
      </w:pPr>
      <w:r>
        <w:t xml:space="preserve">7.2 Exit Criteria</w:t>
      </w:r>
    </w:p>
    <w:p>
      <w:pPr>
        <w:pStyle w:val="ListParagraph"/>
        <w:numPr>
          <w:ilvl w:val="0"/>
          <w:numId w:val="1"/>
        </w:numPr>
        <w:spacing w:after="80"/>
      </w:pPr>
      <w:r>
        <w:t xml:space="preserve">All test cases in the Test Case Matrix executed and recorded.</w:t>
      </w:r>
    </w:p>
    <w:p>
      <w:pPr>
        <w:pStyle w:val="ListParagraph"/>
        <w:numPr>
          <w:ilvl w:val="0"/>
          <w:numId w:val="1"/>
        </w:numPr>
        <w:spacing w:after="80"/>
      </w:pPr>
      <w:r>
        <w:t xml:space="preserve">Scenarios A–E (Section 6) each pass without manual workaround.</w:t>
      </w:r>
    </w:p>
    <w:p>
      <w:pPr>
        <w:pStyle w:val="ListParagraph"/>
        <w:numPr>
          <w:ilvl w:val="0"/>
          <w:numId w:val="1"/>
        </w:numPr>
        <w:spacing w:after="80"/>
      </w:pPr>
      <w:r>
        <w:t xml:space="preserve">No unresolved Critical or High severity defects remain open.</w:t>
      </w:r>
    </w:p>
    <w:p>
      <w:pPr>
        <w:pStyle w:val="ListParagraph"/>
        <w:numPr>
          <w:ilvl w:val="0"/>
          <w:numId w:val="1"/>
        </w:numPr>
        <w:spacing w:after="80"/>
      </w:pPr>
      <w:r>
        <w:t xml:space="preserve">Network isolation evidence captured and attached as an artifact for the demo.</w:t>
      </w:r>
    </w:p>
    <w:p>
      <w:pPr>
        <w:pStyle w:val="Heading1"/>
        <w:spacing w:after="160" w:before="320"/>
      </w:pPr>
      <w:r>
        <w:t xml:space="preserve">8. Roles &amp; Responsibilities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E2761" w:color="auto" w:val="clear"/>
            <w:tcMar>
              <w:top w:type="dxa" w:w="80"/>
              <w:left w:type="dxa" w:w="100"/>
              <w:bottom w:type="dxa" w:w="80"/>
              <w:right w:type="dxa" w:w="100"/>
            </w:tcMar>
            <w:vAlign w:val="center"/>
          </w:tcPr>
          <w:p>
            <w:pPr>
              <w:jc w:val="left"/>
            </w:pPr>
            <w:r>
              <w:rPr>
                <w:b/>
                <w:bCs/>
                <w:color w:val="FFFFFF"/>
                <w:sz w:val="20"/>
                <w:szCs w:val="20"/>
              </w:rPr>
              <w:t xml:space="preserve">Role</w:t>
            </w:r>
          </w:p>
        </w:tc>
        <w:tc>
          <w:tcPr>
            <w:tcW w:type="dxa" w:w="6750"/>
            <w:shd w:fill="1E2761" w:color="auto" w:val="clear"/>
            <w:tcMar>
              <w:top w:type="dxa" w:w="80"/>
              <w:left w:type="dxa" w:w="100"/>
              <w:bottom w:type="dxa" w:w="80"/>
              <w:right w:type="dxa" w:w="100"/>
            </w:tcMar>
            <w:vAlign w:val="center"/>
          </w:tcPr>
          <w:p>
            <w:pPr>
              <w:jc w:val="left"/>
            </w:pPr>
            <w:r>
              <w:rPr>
                <w:b/>
                <w:bCs/>
                <w:color w:val="FFFFFF"/>
                <w:sz w:val="20"/>
                <w:szCs w:val="20"/>
              </w:rPr>
              <w:t xml:space="preserve">Responsibility</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Test Lead</w:t>
            </w:r>
          </w:p>
        </w:tc>
        <w:tc>
          <w:tcPr>
            <w:tcW w:type="dxa" w:w="675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Owns this plan, tracks execution status in the Test Case Matrix, signs off readiness</w:t>
            </w:r>
          </w:p>
        </w:tc>
      </w:tr>
      <w:tr>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Component Owner(s)</w:t>
            </w:r>
          </w:p>
        </w:tc>
        <w:tc>
          <w:tcPr>
            <w:tcW w:type="dxa" w:w="675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Execute component-level tests for the MCP server(s) they built; fix defects found</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Demo Presenter</w:t>
            </w:r>
          </w:p>
        </w:tc>
        <w:tc>
          <w:tcPr>
            <w:tcW w:type="dxa" w:w="675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Rehearses Scenarios A–E exactly as tested; does not deviate from validated paths on demo day</w:t>
            </w:r>
          </w:p>
        </w:tc>
      </w:tr>
      <w:tr>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Network/Infra Owner</w:t>
            </w:r>
          </w:p>
        </w:tc>
        <w:tc>
          <w:tcPr>
            <w:tcW w:type="dxa" w:w="675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Confirms and documents the isolation setup; owns the network capture evidence</w:t>
            </w:r>
          </w:p>
        </w:tc>
      </w:tr>
    </w:tbl>
    <w:p>
      <w:pPr>
        <w:pStyle w:val="Heading1"/>
        <w:spacing w:after="160" w:before="320"/>
      </w:pPr>
      <w:r>
        <w:t xml:space="preserve">9. Companion Artifacts</w:t>
      </w:r>
    </w:p>
    <w:p>
      <w:pPr>
        <w:pStyle w:val="ListParagraph"/>
        <w:numPr>
          <w:ilvl w:val="0"/>
          <w:numId w:val="1"/>
        </w:numPr>
        <w:spacing w:after="80"/>
      </w:pPr>
      <w:r>
        <w:t xml:space="preserve">MRPL_Test_Case_Matrix.xlsx — detailed, line-item test cases with steps, expected results and status tracking for every module.</w:t>
      </w:r>
    </w:p>
    <w:p>
      <w:pPr>
        <w:pStyle w:val="ListParagraph"/>
        <w:numPr>
          <w:ilvl w:val="0"/>
          <w:numId w:val="1"/>
        </w:numPr>
        <w:spacing w:after="80"/>
      </w:pPr>
      <w:r>
        <w:t xml:space="preserve">MRPL_Test_Summary.pptx — presentation-ready summary of this test plan and its results, for demo/evaluation audiences.</w:t>
      </w:r>
    </w:p>
    <w:p>
      <w:pPr>
        <w:pStyle w:val="ListParagraph"/>
        <w:numPr>
          <w:ilvl w:val="0"/>
          <w:numId w:val="1"/>
        </w:numPr>
        <w:spacing w:after="80"/>
      </w:pPr>
      <w:r>
        <w:t xml:space="preserve">MRPL_Sovereign_AI_Workbench_Workflow.docx — source architecture and workflow document this plan is derived from.</w:t>
      </w:r>
    </w:p>
    <w:p>
      <w:pPr>
        <w:pStyle w:val="Heading1"/>
        <w:spacing w:after="160" w:before="320"/>
      </w:pPr>
      <w:r>
        <w:t xml:space="preserve">10. Sign-off</w:t>
      </w:r>
    </w:p>
    <w:p>
      <w:pPr>
        <w:spacing w:after="140"/>
      </w:pPr>
      <w:r>
        <w:t xml:space="preserve">This plan and its results should be reviewed and signed off before the workbench is presented for evaluation.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E2761" w:color="auto" w:val="clear"/>
            <w:tcMar>
              <w:top w:type="dxa" w:w="80"/>
              <w:left w:type="dxa" w:w="100"/>
              <w:bottom w:type="dxa" w:w="80"/>
              <w:right w:type="dxa" w:w="100"/>
            </w:tcMar>
            <w:vAlign w:val="center"/>
          </w:tcPr>
          <w:p>
            <w:pPr>
              <w:jc w:val="left"/>
            </w:pPr>
            <w:r>
              <w:rPr>
                <w:b/>
                <w:bCs/>
                <w:color w:val="FFFFFF"/>
                <w:sz w:val="20"/>
                <w:szCs w:val="20"/>
              </w:rPr>
              <w:t xml:space="preserve">Name / Role</w:t>
            </w:r>
          </w:p>
        </w:tc>
        <w:tc>
          <w:tcPr>
            <w:tcW w:type="dxa" w:w="4675"/>
            <w:shd w:fill="1E2761" w:color="auto" w:val="clear"/>
            <w:tcMar>
              <w:top w:type="dxa" w:w="80"/>
              <w:left w:type="dxa" w:w="100"/>
              <w:bottom w:type="dxa" w:w="80"/>
              <w:right w:type="dxa" w:w="100"/>
            </w:tcMar>
            <w:vAlign w:val="center"/>
          </w:tcPr>
          <w:p>
            <w:pPr>
              <w:jc w:val="left"/>
            </w:pPr>
            <w:r>
              <w:rPr>
                <w:b/>
                <w:bCs/>
                <w:color w:val="FFFFFF"/>
                <w:sz w:val="20"/>
                <w:szCs w:val="20"/>
              </w:rPr>
              <w:t xml:space="preserve">Signature &amp; Date</w:t>
            </w:r>
          </w:p>
        </w:tc>
      </w:tr>
      <w:tr>
        <w:tc>
          <w:tcPr>
            <w:tcW w:type="dxa" w:w="4675"/>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Test Lead</w:t>
            </w:r>
          </w:p>
        </w:tc>
        <w:tc>
          <w:tcPr>
            <w:tcW w:type="dxa" w:w="4675"/>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
            </w:r>
          </w:p>
        </w:tc>
      </w:tr>
      <w:tr>
        <w:tc>
          <w:tcPr>
            <w:tcW w:type="dxa" w:w="4675"/>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Project Lead</w:t>
            </w:r>
          </w:p>
        </w:tc>
        <w:tc>
          <w:tcPr>
            <w:tcW w:type="dxa" w:w="4675"/>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
            </w:r>
          </w:p>
        </w:tc>
      </w:tr>
      <w:tr>
        <w:tc>
          <w:tcPr>
            <w:tcW w:type="dxa" w:w="4675"/>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[Additional reviewer]</w:t>
            </w:r>
          </w:p>
        </w:tc>
        <w:tc>
          <w:tcPr>
            <w:tcW w:type="dxa" w:w="4675"/>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
            </w:r>
          </w:p>
        </w:tc>
      </w:tr>
    </w:tbl>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Confidential — Internal Use for Demonstration / Evaluation Purposes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MRPL Sovereign AI Workbench — Test &amp; Verification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pPr>
    <w:rPr>
      <w:rFonts w:ascii="Cambria" w:cs="Cambria" w:eastAsia="Cambria" w:hAnsi="Cambria"/>
      <w:b/>
      <w:bCs/>
      <w:color w:val="1E2761"/>
      <w:sz w:val="30"/>
      <w:szCs w:val="30"/>
    </w:rPr>
  </w:style>
  <w:style w:type="paragraph" w:styleId="Heading2">
    <w:name w:val="Heading 2"/>
    <w:basedOn w:val="Normal"/>
    <w:next w:val="Normal"/>
    <w:pPr>
      <w:spacing w:after="120" w:before="240"/>
    </w:pPr>
    <w:rPr>
      <w:rFonts w:ascii="Cambria" w:cs="Cambria" w:eastAsia="Cambria" w:hAnsi="Cambria"/>
      <w:b/>
      <w:bCs/>
      <w:color w:val="1E27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2026-09-22T06:57:00.986Z</dcterms:created>
  <dcterms:modified xsi:type="dcterms:W3CDTF">2026-09-22T06:57:00.995Z</dcterms:modified>
</cp:coreProperties>
</file>

<file path=docProps/custom.xml><?xml version="1.0" encoding="utf-8"?>
<Properties xmlns="http://schemas.openxmlformats.org/officeDocument/2006/custom-properties" xmlns:vt="http://schemas.openxmlformats.org/officeDocument/2006/docPropsVTypes"/>
</file>